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101CE">
      <w:pPr>
        <w:spacing w:line="500" w:lineRule="atLeast"/>
        <w:jc w:val="center"/>
        <w:divId w:val="1672097766"/>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2101CE">
      <w:pPr>
        <w:spacing w:line="500" w:lineRule="atLeast"/>
        <w:jc w:val="center"/>
        <w:divId w:val="3675318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101CE">
      <w:pPr>
        <w:spacing w:line="500" w:lineRule="atLeast"/>
        <w:jc w:val="right"/>
        <w:divId w:val="43338716"/>
        <w:rPr>
          <w:rFonts w:hint="eastAsia"/>
          <w:sz w:val="30"/>
          <w:szCs w:val="30"/>
        </w:rPr>
      </w:pPr>
      <w:r>
        <w:rPr>
          <w:rFonts w:hint="eastAsia"/>
          <w:sz w:val="30"/>
          <w:szCs w:val="30"/>
        </w:rPr>
        <w:t>（</w:t>
      </w:r>
      <w:r>
        <w:rPr>
          <w:rFonts w:hint="eastAsia"/>
          <w:sz w:val="30"/>
          <w:szCs w:val="30"/>
        </w:rPr>
        <w:t>2020</w:t>
      </w:r>
      <w:r>
        <w:rPr>
          <w:rFonts w:hint="eastAsia"/>
          <w:sz w:val="30"/>
          <w:szCs w:val="30"/>
        </w:rPr>
        <w:t>）沪</w:t>
      </w:r>
      <w:r>
        <w:rPr>
          <w:rFonts w:hint="eastAsia"/>
          <w:sz w:val="30"/>
          <w:szCs w:val="30"/>
        </w:rPr>
        <w:t>02</w:t>
      </w:r>
      <w:r>
        <w:rPr>
          <w:rFonts w:hint="eastAsia"/>
          <w:sz w:val="30"/>
          <w:szCs w:val="30"/>
        </w:rPr>
        <w:t>民终</w:t>
      </w:r>
      <w:r>
        <w:rPr>
          <w:rFonts w:hint="eastAsia"/>
          <w:sz w:val="30"/>
          <w:szCs w:val="30"/>
        </w:rPr>
        <w:t>135</w:t>
      </w:r>
      <w:r>
        <w:rPr>
          <w:rFonts w:hint="eastAsia"/>
          <w:sz w:val="30"/>
          <w:szCs w:val="30"/>
        </w:rPr>
        <w:t>号</w:t>
      </w:r>
    </w:p>
    <w:p w:rsidR="00000000" w:rsidRDefault="002101CE">
      <w:pPr>
        <w:spacing w:line="500" w:lineRule="atLeast"/>
        <w:ind w:firstLine="600"/>
        <w:divId w:val="1417170680"/>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：上海加丹贸易有限公司，住所地上海市青浦区。</w:t>
      </w:r>
    </w:p>
    <w:p w:rsidR="00000000" w:rsidRDefault="002101CE">
      <w:pPr>
        <w:spacing w:line="500" w:lineRule="atLeast"/>
        <w:ind w:firstLine="600"/>
        <w:divId w:val="656540781"/>
        <w:rPr>
          <w:rFonts w:hint="eastAsia"/>
          <w:sz w:val="30"/>
          <w:szCs w:val="30"/>
        </w:rPr>
      </w:pPr>
      <w:r>
        <w:rPr>
          <w:rFonts w:hint="eastAsia"/>
          <w:sz w:val="30"/>
          <w:szCs w:val="30"/>
        </w:rPr>
        <w:t>法定代表人：江海燕，经理。</w:t>
      </w:r>
    </w:p>
    <w:p w:rsidR="00000000" w:rsidRDefault="002101CE">
      <w:pPr>
        <w:spacing w:line="500" w:lineRule="atLeast"/>
        <w:ind w:firstLine="600"/>
        <w:divId w:val="1413503061"/>
        <w:rPr>
          <w:rFonts w:hint="eastAsia"/>
          <w:sz w:val="30"/>
          <w:szCs w:val="30"/>
        </w:rPr>
      </w:pPr>
      <w:r>
        <w:rPr>
          <w:rFonts w:hint="eastAsia"/>
          <w:sz w:val="30"/>
          <w:szCs w:val="30"/>
        </w:rPr>
        <w:t>委托诉讼代理人：孙龙刚，上海申浩律师事务所律师。</w:t>
      </w:r>
    </w:p>
    <w:p w:rsidR="00000000" w:rsidRDefault="002101CE">
      <w:pPr>
        <w:spacing w:line="500" w:lineRule="atLeast"/>
        <w:ind w:firstLine="600"/>
        <w:divId w:val="1540511083"/>
        <w:rPr>
          <w:rFonts w:hint="eastAsia"/>
          <w:sz w:val="30"/>
          <w:szCs w:val="30"/>
        </w:rPr>
      </w:pPr>
      <w:r>
        <w:rPr>
          <w:rFonts w:hint="eastAsia"/>
          <w:sz w:val="30"/>
          <w:szCs w:val="30"/>
        </w:rPr>
        <w:t>委托诉讼代理人：刘麒，上海申浩律师事务所律师。</w:t>
      </w:r>
    </w:p>
    <w:p w:rsidR="00000000" w:rsidRDefault="002101CE">
      <w:pPr>
        <w:spacing w:line="500" w:lineRule="atLeast"/>
        <w:ind w:firstLine="600"/>
        <w:divId w:val="491288790"/>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：蒋秀，女，</w:t>
      </w:r>
      <w:r>
        <w:rPr>
          <w:rFonts w:hint="eastAsia"/>
          <w:sz w:val="30"/>
          <w:szCs w:val="30"/>
        </w:rPr>
        <w:t>1983</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日出生，土家族，户籍地浙江省杭州市。</w:t>
      </w:r>
    </w:p>
    <w:p w:rsidR="00000000" w:rsidRDefault="002101CE">
      <w:pPr>
        <w:spacing w:line="500" w:lineRule="atLeast"/>
        <w:ind w:firstLine="600"/>
        <w:divId w:val="1686861909"/>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：上海沸鸣实业有限公司，住所地上海市浦东新区。</w:t>
      </w:r>
    </w:p>
    <w:p w:rsidR="00000000" w:rsidRDefault="002101CE">
      <w:pPr>
        <w:spacing w:line="500" w:lineRule="atLeast"/>
        <w:ind w:firstLine="600"/>
        <w:divId w:val="1941137319"/>
        <w:rPr>
          <w:rFonts w:hint="eastAsia"/>
          <w:sz w:val="30"/>
          <w:szCs w:val="30"/>
        </w:rPr>
      </w:pPr>
      <w:r>
        <w:rPr>
          <w:rFonts w:hint="eastAsia"/>
          <w:sz w:val="30"/>
          <w:szCs w:val="30"/>
        </w:rPr>
        <w:t>法定代表人：朱文军，董事长。</w:t>
      </w:r>
    </w:p>
    <w:p w:rsidR="00000000" w:rsidRDefault="002101CE">
      <w:pPr>
        <w:spacing w:line="500" w:lineRule="atLeast"/>
        <w:ind w:firstLine="600"/>
        <w:divId w:val="616838987"/>
        <w:rPr>
          <w:rFonts w:hint="eastAsia"/>
          <w:sz w:val="30"/>
          <w:szCs w:val="30"/>
        </w:rPr>
      </w:pPr>
      <w:r>
        <w:rPr>
          <w:rFonts w:hint="eastAsia"/>
          <w:sz w:val="30"/>
          <w:szCs w:val="30"/>
        </w:rPr>
        <w:t>上诉人上海加丹贸易有限公司</w:t>
      </w:r>
      <w:r>
        <w:rPr>
          <w:rFonts w:hint="eastAsia"/>
          <w:sz w:val="30"/>
          <w:szCs w:val="30"/>
        </w:rPr>
        <w:t>(</w:t>
      </w:r>
      <w:r>
        <w:rPr>
          <w:rFonts w:hint="eastAsia"/>
          <w:sz w:val="30"/>
          <w:szCs w:val="30"/>
        </w:rPr>
        <w:t>以下简称加丹公司</w:t>
      </w:r>
      <w:r>
        <w:rPr>
          <w:rFonts w:hint="eastAsia"/>
          <w:sz w:val="30"/>
          <w:szCs w:val="30"/>
        </w:rPr>
        <w:t>)</w:t>
      </w:r>
      <w:r>
        <w:rPr>
          <w:rFonts w:hint="eastAsia"/>
          <w:sz w:val="30"/>
          <w:szCs w:val="30"/>
        </w:rPr>
        <w:t>因与被上诉人蒋秀、被上诉人上海沸鸣实业有限公司</w:t>
      </w:r>
      <w:r>
        <w:rPr>
          <w:rFonts w:hint="eastAsia"/>
          <w:sz w:val="30"/>
          <w:szCs w:val="30"/>
        </w:rPr>
        <w:t>(</w:t>
      </w:r>
      <w:r>
        <w:rPr>
          <w:rFonts w:hint="eastAsia"/>
          <w:sz w:val="30"/>
          <w:szCs w:val="30"/>
        </w:rPr>
        <w:t>以下简称沸鸣公司</w:t>
      </w:r>
      <w:r>
        <w:rPr>
          <w:rFonts w:hint="eastAsia"/>
          <w:sz w:val="30"/>
          <w:szCs w:val="30"/>
        </w:rPr>
        <w:t>)</w:t>
      </w:r>
      <w:r>
        <w:rPr>
          <w:rFonts w:hint="eastAsia"/>
          <w:sz w:val="30"/>
          <w:szCs w:val="30"/>
        </w:rPr>
        <w:t>损害公司利益责任纠纷一案，不服上海市青浦区人民法院</w:t>
      </w:r>
      <w:r>
        <w:rPr>
          <w:rFonts w:hint="eastAsia"/>
          <w:sz w:val="30"/>
          <w:szCs w:val="30"/>
        </w:rPr>
        <w:t>(2019)</w:t>
      </w:r>
      <w:r>
        <w:rPr>
          <w:rFonts w:hint="eastAsia"/>
          <w:sz w:val="30"/>
          <w:szCs w:val="30"/>
        </w:rPr>
        <w:t>沪</w:t>
      </w:r>
      <w:r>
        <w:rPr>
          <w:rFonts w:hint="eastAsia"/>
          <w:sz w:val="30"/>
          <w:szCs w:val="30"/>
        </w:rPr>
        <w:t>0118</w:t>
      </w:r>
      <w:r>
        <w:rPr>
          <w:rFonts w:hint="eastAsia"/>
          <w:sz w:val="30"/>
          <w:szCs w:val="30"/>
        </w:rPr>
        <w:t>民初</w:t>
      </w:r>
      <w:r>
        <w:rPr>
          <w:rFonts w:hint="eastAsia"/>
          <w:sz w:val="30"/>
          <w:szCs w:val="30"/>
        </w:rPr>
        <w:t>14145</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日立案后，依法组成合议庭进行了审理。本案现已审理终结。</w:t>
      </w:r>
    </w:p>
    <w:p w:rsidR="00000000" w:rsidRDefault="002101CE">
      <w:pPr>
        <w:spacing w:line="500" w:lineRule="atLeast"/>
        <w:ind w:firstLine="600"/>
        <w:divId w:val="1422724050"/>
        <w:rPr>
          <w:rFonts w:hint="eastAsia"/>
          <w:sz w:val="30"/>
          <w:szCs w:val="30"/>
        </w:rPr>
      </w:pPr>
      <w:r>
        <w:rPr>
          <w:rFonts w:hint="eastAsia"/>
          <w:sz w:val="30"/>
          <w:szCs w:val="30"/>
        </w:rPr>
        <w:t>上诉人上海加丹贸易有限公司上诉请求：一、撤销一审判决，将本案发回重审或依法改判；二、判令蒋秀在任职期间与其丈夫朱文军成立沸鸣公司的行为违法</w:t>
      </w:r>
      <w:r>
        <w:rPr>
          <w:rFonts w:hint="eastAsia"/>
          <w:sz w:val="30"/>
          <w:szCs w:val="30"/>
        </w:rPr>
        <w:t>(</w:t>
      </w:r>
      <w:r>
        <w:rPr>
          <w:rFonts w:hint="eastAsia"/>
          <w:sz w:val="30"/>
          <w:szCs w:val="30"/>
        </w:rPr>
        <w:t>违反公司法和加丹公司的劳动纪律</w:t>
      </w:r>
      <w:r>
        <w:rPr>
          <w:rFonts w:hint="eastAsia"/>
          <w:sz w:val="30"/>
          <w:szCs w:val="30"/>
        </w:rPr>
        <w:t>)</w:t>
      </w:r>
      <w:r>
        <w:rPr>
          <w:rFonts w:hint="eastAsia"/>
          <w:sz w:val="30"/>
          <w:szCs w:val="30"/>
        </w:rPr>
        <w:t>；三、蒋秀与沸鸣公司向上诉人赔偿损</w:t>
      </w:r>
      <w:r>
        <w:rPr>
          <w:rFonts w:hint="eastAsia"/>
          <w:sz w:val="30"/>
          <w:szCs w:val="30"/>
        </w:rPr>
        <w:t>失</w:t>
      </w:r>
      <w:r>
        <w:rPr>
          <w:rFonts w:hint="eastAsia"/>
          <w:sz w:val="30"/>
          <w:szCs w:val="30"/>
        </w:rPr>
        <w:t>1</w:t>
      </w:r>
      <w:r>
        <w:rPr>
          <w:rFonts w:hint="eastAsia"/>
          <w:sz w:val="30"/>
          <w:szCs w:val="30"/>
        </w:rPr>
        <w:t>万元</w:t>
      </w:r>
      <w:r>
        <w:rPr>
          <w:rFonts w:hint="eastAsia"/>
          <w:sz w:val="30"/>
          <w:szCs w:val="30"/>
        </w:rPr>
        <w:t>(</w:t>
      </w:r>
      <w:r>
        <w:rPr>
          <w:rFonts w:hint="eastAsia"/>
          <w:sz w:val="30"/>
          <w:szCs w:val="30"/>
        </w:rPr>
        <w:t>暂计</w:t>
      </w:r>
      <w:r>
        <w:rPr>
          <w:rFonts w:hint="eastAsia"/>
          <w:sz w:val="30"/>
          <w:szCs w:val="30"/>
        </w:rPr>
        <w:t>)</w:t>
      </w:r>
      <w:r>
        <w:rPr>
          <w:rFonts w:hint="eastAsia"/>
          <w:sz w:val="30"/>
          <w:szCs w:val="30"/>
        </w:rPr>
        <w:t>。事实和理由：第一，一审判决认定蒋秀非公司高管</w:t>
      </w:r>
      <w:r>
        <w:rPr>
          <w:rFonts w:hint="eastAsia"/>
          <w:sz w:val="30"/>
          <w:szCs w:val="30"/>
        </w:rPr>
        <w:t>,</w:t>
      </w:r>
      <w:r>
        <w:rPr>
          <w:rFonts w:hint="eastAsia"/>
          <w:sz w:val="30"/>
          <w:szCs w:val="30"/>
        </w:rPr>
        <w:t>系事实认定错误。蒋秀作为加丹公司的项目执行总监，是实质上的总经理，被授权全权负责某区域公司所有项目、对公司进行掌控，从加丹公司提供的邮件可以看出，蒋秀安排、指派工作</w:t>
      </w:r>
      <w:r>
        <w:rPr>
          <w:rFonts w:hint="eastAsia"/>
          <w:sz w:val="30"/>
          <w:szCs w:val="30"/>
        </w:rPr>
        <w:lastRenderedPageBreak/>
        <w:t>任务给其他下属，并指令财务进行付款，而且蒋秀无需公司考勤，应当从实质上进行判断，认定蒋秀属于高级管理人员。第二，蒋秀存在违反公司法忠实义务的违法行为，其在职期间自行开设公司，且经营范围与加丹公司几乎完全相同，并且利用公司资源来开展副业，即利用职务便利为自己或他人谋取属于公司的商业机会</w:t>
      </w:r>
      <w:r>
        <w:rPr>
          <w:rFonts w:hint="eastAsia"/>
          <w:sz w:val="30"/>
          <w:szCs w:val="30"/>
        </w:rPr>
        <w:t>,</w:t>
      </w:r>
      <w:r>
        <w:rPr>
          <w:rFonts w:hint="eastAsia"/>
          <w:sz w:val="30"/>
          <w:szCs w:val="30"/>
        </w:rPr>
        <w:t>自营或为他人经营与所任职公司同类的业务，蒋秀与沸鸣公司的收入应当归加丹公司所有。第三，关于赔偿数额问题，加丹公司申请开具调查令，查询蒋秀、沸鸣公司银行账户、支付宝、微信流水，请求二审法院对此予以查明。</w:t>
      </w:r>
    </w:p>
    <w:p w:rsidR="00000000" w:rsidRDefault="002101CE">
      <w:pPr>
        <w:spacing w:line="500" w:lineRule="atLeast"/>
        <w:ind w:firstLine="600"/>
        <w:divId w:val="308829134"/>
        <w:rPr>
          <w:rFonts w:hint="eastAsia"/>
          <w:sz w:val="30"/>
          <w:szCs w:val="30"/>
        </w:rPr>
      </w:pPr>
      <w:r>
        <w:rPr>
          <w:rFonts w:hint="eastAsia"/>
          <w:sz w:val="30"/>
          <w:szCs w:val="30"/>
        </w:rPr>
        <w:t>被上诉人蒋秀辩称，加丹公司的上诉请求没有事实和法律依据，应予驳回。蒋秀仅仅是加丹公司的普通采购人员，劳动合同约定的内容为采购，实际工作也是采购，加丹公司未能提供蒋秀作为高管的证据，邮件及名片显示的项目总监，是应公司要求，方便对外开展业务。沸鸣公司与加丹公司的经营范围并不重合，沸鸣公司成立以后，并未实际经营。</w:t>
      </w:r>
      <w:r>
        <w:rPr>
          <w:rFonts w:hint="eastAsia"/>
          <w:sz w:val="30"/>
          <w:szCs w:val="30"/>
        </w:rPr>
        <w:t>一审法院认定的事实正确无误，适用法律准确，加丹公司的上诉理由不能成立，请求二审驳回上诉，维持原判。</w:t>
      </w:r>
    </w:p>
    <w:p w:rsidR="00000000" w:rsidRDefault="002101CE">
      <w:pPr>
        <w:spacing w:line="500" w:lineRule="atLeast"/>
        <w:ind w:firstLine="600"/>
        <w:divId w:val="12343728"/>
        <w:rPr>
          <w:rFonts w:hint="eastAsia"/>
          <w:sz w:val="30"/>
          <w:szCs w:val="30"/>
        </w:rPr>
      </w:pPr>
      <w:r>
        <w:rPr>
          <w:rFonts w:hint="eastAsia"/>
          <w:sz w:val="30"/>
          <w:szCs w:val="30"/>
        </w:rPr>
        <w:t>被上诉人上海沸鸣实业有限公司未到庭答辩。</w:t>
      </w:r>
    </w:p>
    <w:p w:rsidR="00000000" w:rsidRDefault="002101CE">
      <w:pPr>
        <w:spacing w:line="500" w:lineRule="atLeast"/>
        <w:ind w:firstLine="600"/>
        <w:divId w:val="1785923777"/>
        <w:rPr>
          <w:rFonts w:hint="eastAsia"/>
          <w:sz w:val="30"/>
          <w:szCs w:val="30"/>
        </w:rPr>
      </w:pPr>
      <w:r>
        <w:rPr>
          <w:rFonts w:hint="eastAsia"/>
          <w:sz w:val="30"/>
          <w:szCs w:val="30"/>
        </w:rPr>
        <w:t>上诉人上海加丹贸易有限公司向一审法院起诉请求：一、判令蒋秀与沸鸣公司返还加丹公司侵占款项暂计</w:t>
      </w:r>
      <w:r>
        <w:rPr>
          <w:rFonts w:hint="eastAsia"/>
          <w:sz w:val="30"/>
          <w:szCs w:val="30"/>
        </w:rPr>
        <w:t>5</w:t>
      </w:r>
      <w:r>
        <w:rPr>
          <w:rFonts w:hint="eastAsia"/>
          <w:sz w:val="30"/>
          <w:szCs w:val="30"/>
        </w:rPr>
        <w:t>万元；二、确定蒋秀在任职期间与其丈夫朱文军以沸鸣公司名义对外经营</w:t>
      </w:r>
      <w:r>
        <w:rPr>
          <w:rFonts w:hint="eastAsia"/>
          <w:sz w:val="30"/>
          <w:szCs w:val="30"/>
        </w:rPr>
        <w:t>(</w:t>
      </w:r>
      <w:r>
        <w:rPr>
          <w:rFonts w:hint="eastAsia"/>
          <w:sz w:val="30"/>
          <w:szCs w:val="30"/>
        </w:rPr>
        <w:t>与上诉人的业务同类</w:t>
      </w:r>
      <w:r>
        <w:rPr>
          <w:rFonts w:hint="eastAsia"/>
          <w:sz w:val="30"/>
          <w:szCs w:val="30"/>
        </w:rPr>
        <w:t>)</w:t>
      </w:r>
      <w:r>
        <w:rPr>
          <w:rFonts w:hint="eastAsia"/>
          <w:sz w:val="30"/>
          <w:szCs w:val="30"/>
        </w:rPr>
        <w:t>的行为是违法行为；三、判令蒋秀与沸鸣公司向加丹公司赔偿损失暂计</w:t>
      </w:r>
      <w:r>
        <w:rPr>
          <w:rFonts w:hint="eastAsia"/>
          <w:sz w:val="30"/>
          <w:szCs w:val="30"/>
        </w:rPr>
        <w:t>30</w:t>
      </w:r>
      <w:r>
        <w:rPr>
          <w:rFonts w:hint="eastAsia"/>
          <w:sz w:val="30"/>
          <w:szCs w:val="30"/>
        </w:rPr>
        <w:t>万元。一审庭审中，加丹公司撤回第一项诉讼请求。</w:t>
      </w:r>
    </w:p>
    <w:p w:rsidR="00000000" w:rsidRDefault="002101CE">
      <w:pPr>
        <w:spacing w:line="500" w:lineRule="atLeast"/>
        <w:ind w:firstLine="600"/>
        <w:divId w:val="1291741791"/>
        <w:rPr>
          <w:rFonts w:hint="eastAsia"/>
          <w:sz w:val="30"/>
          <w:szCs w:val="30"/>
        </w:rPr>
      </w:pPr>
      <w:r>
        <w:rPr>
          <w:rFonts w:hint="eastAsia"/>
          <w:sz w:val="30"/>
          <w:szCs w:val="30"/>
        </w:rPr>
        <w:t>一审法院认定事实：加丹公司成立于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日，江海燕为法定代表人及执</w:t>
      </w:r>
      <w:r>
        <w:rPr>
          <w:rFonts w:hint="eastAsia"/>
          <w:sz w:val="30"/>
          <w:szCs w:val="30"/>
        </w:rPr>
        <w:t>行董事</w:t>
      </w:r>
      <w:r>
        <w:rPr>
          <w:rFonts w:hint="eastAsia"/>
          <w:sz w:val="30"/>
          <w:szCs w:val="30"/>
        </w:rPr>
        <w:t>(</w:t>
      </w:r>
      <w:r>
        <w:rPr>
          <w:rFonts w:hint="eastAsia"/>
          <w:sz w:val="30"/>
          <w:szCs w:val="30"/>
        </w:rPr>
        <w:t>持股比利</w:t>
      </w:r>
      <w:r>
        <w:rPr>
          <w:rFonts w:hint="eastAsia"/>
          <w:sz w:val="30"/>
          <w:szCs w:val="30"/>
        </w:rPr>
        <w:t>90%)</w:t>
      </w:r>
      <w:r>
        <w:rPr>
          <w:rFonts w:hint="eastAsia"/>
          <w:sz w:val="30"/>
          <w:szCs w:val="30"/>
        </w:rPr>
        <w:t>，江明为监事</w:t>
      </w:r>
      <w:r>
        <w:rPr>
          <w:rFonts w:hint="eastAsia"/>
          <w:sz w:val="30"/>
          <w:szCs w:val="30"/>
        </w:rPr>
        <w:t>(</w:t>
      </w:r>
      <w:r>
        <w:rPr>
          <w:rFonts w:hint="eastAsia"/>
          <w:sz w:val="30"/>
          <w:szCs w:val="30"/>
        </w:rPr>
        <w:t>持股比利</w:t>
      </w:r>
      <w:r>
        <w:rPr>
          <w:rFonts w:hint="eastAsia"/>
          <w:sz w:val="30"/>
          <w:szCs w:val="30"/>
        </w:rPr>
        <w:t>10%)</w:t>
      </w:r>
      <w:r>
        <w:rPr>
          <w:rFonts w:hint="eastAsia"/>
          <w:sz w:val="30"/>
          <w:szCs w:val="30"/>
        </w:rPr>
        <w:t>。</w:t>
      </w:r>
      <w:r>
        <w:rPr>
          <w:rFonts w:hint="eastAsia"/>
          <w:sz w:val="30"/>
          <w:szCs w:val="30"/>
        </w:rPr>
        <w:t>2008</w:t>
      </w:r>
      <w:r>
        <w:rPr>
          <w:rFonts w:hint="eastAsia"/>
          <w:sz w:val="30"/>
          <w:szCs w:val="30"/>
        </w:rPr>
        <w:t>年，加丹公司作为甲方与蒋秀作为乙方</w:t>
      </w:r>
      <w:r>
        <w:rPr>
          <w:rFonts w:hint="eastAsia"/>
          <w:sz w:val="30"/>
          <w:szCs w:val="30"/>
        </w:rPr>
        <w:lastRenderedPageBreak/>
        <w:t>签订《劳动合同》</w:t>
      </w:r>
      <w:r>
        <w:rPr>
          <w:rFonts w:hint="eastAsia"/>
          <w:sz w:val="30"/>
          <w:szCs w:val="30"/>
        </w:rPr>
        <w:t>(</w:t>
      </w:r>
      <w:r>
        <w:rPr>
          <w:rFonts w:hint="eastAsia"/>
          <w:sz w:val="30"/>
          <w:szCs w:val="30"/>
        </w:rPr>
        <w:t>简称劳动合同一</w:t>
      </w:r>
      <w:r>
        <w:rPr>
          <w:rFonts w:hint="eastAsia"/>
          <w:sz w:val="30"/>
          <w:szCs w:val="30"/>
        </w:rPr>
        <w:t>)</w:t>
      </w:r>
      <w:r>
        <w:rPr>
          <w:rFonts w:hint="eastAsia"/>
          <w:sz w:val="30"/>
          <w:szCs w:val="30"/>
        </w:rPr>
        <w:t>一份，约定：其一，合同期限自</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日起至</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止，乙方职位为亚洲区采购。其二，劳动纪律：乙方同意，未经甲方书面同意，在其受雇期间，乙方不得雇佣于第三方或兼职甲方以外的任何职务，特别不得直接或间接受雇于甲方的竞争者及甲方的客户，以及不得直接或间接，或导致他人与甲方或其继受人、受让人的业务竞争；未经甲方书面批准，在乙方受雇甲方期间，乙方不可以利用甲方或其相关公</w:t>
      </w:r>
      <w:r>
        <w:rPr>
          <w:rFonts w:hint="eastAsia"/>
          <w:sz w:val="30"/>
          <w:szCs w:val="30"/>
        </w:rPr>
        <w:t>司的名义、设备以及工作上的便利条件，从事甲方以外的商业活动或收取劳务或服务费；凡发生上述情况，均属严重违反劳动纪律，甲方有权予以提前解除劳动合同，并由乙方赔偿由此给甲方带来的经济损失等内容。</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日，双方再次签订《劳动合同》</w:t>
      </w:r>
      <w:r>
        <w:rPr>
          <w:rFonts w:hint="eastAsia"/>
          <w:sz w:val="30"/>
          <w:szCs w:val="30"/>
        </w:rPr>
        <w:t>(</w:t>
      </w:r>
      <w:r>
        <w:rPr>
          <w:rFonts w:hint="eastAsia"/>
          <w:sz w:val="30"/>
          <w:szCs w:val="30"/>
        </w:rPr>
        <w:t>简称劳动合同二</w:t>
      </w:r>
      <w:r>
        <w:rPr>
          <w:rFonts w:hint="eastAsia"/>
          <w:sz w:val="30"/>
          <w:szCs w:val="30"/>
        </w:rPr>
        <w:t>)</w:t>
      </w:r>
      <w:r>
        <w:rPr>
          <w:rFonts w:hint="eastAsia"/>
          <w:sz w:val="30"/>
          <w:szCs w:val="30"/>
        </w:rPr>
        <w:t>一份，合同期限自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日，工作内容为按照公司要求从事采购工作等</w:t>
      </w:r>
      <w:r>
        <w:rPr>
          <w:rFonts w:hint="eastAsia"/>
          <w:sz w:val="30"/>
          <w:szCs w:val="30"/>
        </w:rPr>
        <w:t>,</w:t>
      </w:r>
      <w:r>
        <w:rPr>
          <w:rFonts w:hint="eastAsia"/>
          <w:sz w:val="30"/>
          <w:szCs w:val="30"/>
        </w:rPr>
        <w:t>其中未有合同一关于劳动纪律内容的约定。加丹公司与蒋秀均确认双方劳动关系于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日解除。</w:t>
      </w:r>
    </w:p>
    <w:p w:rsidR="00000000" w:rsidRDefault="002101CE">
      <w:pPr>
        <w:spacing w:line="500" w:lineRule="atLeast"/>
        <w:ind w:firstLine="600"/>
        <w:divId w:val="1932470717"/>
        <w:rPr>
          <w:rFonts w:hint="eastAsia"/>
          <w:sz w:val="30"/>
          <w:szCs w:val="30"/>
        </w:rPr>
      </w:pPr>
      <w:r>
        <w:rPr>
          <w:rFonts w:hint="eastAsia"/>
          <w:sz w:val="30"/>
          <w:szCs w:val="30"/>
        </w:rPr>
        <w:t>一审另查明，沸鸣公司于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日设立，税务登记日期为</w:t>
      </w:r>
      <w:r>
        <w:rPr>
          <w:rFonts w:hint="eastAsia"/>
          <w:sz w:val="30"/>
          <w:szCs w:val="30"/>
        </w:rPr>
        <w:t>201</w:t>
      </w:r>
      <w:r>
        <w:rPr>
          <w:rFonts w:hint="eastAsia"/>
          <w:sz w:val="30"/>
          <w:szCs w:val="30"/>
        </w:rPr>
        <w:t>7</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日，截至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日该公司税务申报金额均为</w:t>
      </w:r>
      <w:r>
        <w:rPr>
          <w:rFonts w:hint="eastAsia"/>
          <w:sz w:val="30"/>
          <w:szCs w:val="30"/>
        </w:rPr>
        <w:t>0</w:t>
      </w:r>
      <w:r>
        <w:rPr>
          <w:rFonts w:hint="eastAsia"/>
          <w:sz w:val="30"/>
          <w:szCs w:val="30"/>
        </w:rPr>
        <w:t>。该公司登记股东为蒋秀及朱文军</w:t>
      </w:r>
      <w:r>
        <w:rPr>
          <w:rFonts w:hint="eastAsia"/>
          <w:sz w:val="30"/>
          <w:szCs w:val="30"/>
        </w:rPr>
        <w:t>(</w:t>
      </w:r>
      <w:r>
        <w:rPr>
          <w:rFonts w:hint="eastAsia"/>
          <w:sz w:val="30"/>
          <w:szCs w:val="30"/>
        </w:rPr>
        <w:t>加丹公司沸鸣公司均确认其系蒋秀丈夫</w:t>
      </w:r>
      <w:r>
        <w:rPr>
          <w:rFonts w:hint="eastAsia"/>
          <w:sz w:val="30"/>
          <w:szCs w:val="30"/>
        </w:rPr>
        <w:t>)</w:t>
      </w:r>
      <w:r>
        <w:rPr>
          <w:rFonts w:hint="eastAsia"/>
          <w:sz w:val="30"/>
          <w:szCs w:val="30"/>
        </w:rPr>
        <w:t>，两人各持有</w:t>
      </w:r>
      <w:r>
        <w:rPr>
          <w:rFonts w:hint="eastAsia"/>
          <w:sz w:val="30"/>
          <w:szCs w:val="30"/>
        </w:rPr>
        <w:t>50%</w:t>
      </w:r>
      <w:r>
        <w:rPr>
          <w:rFonts w:hint="eastAsia"/>
          <w:sz w:val="30"/>
          <w:szCs w:val="30"/>
        </w:rPr>
        <w:t>的股份，同时蒋秀担任监事一职。</w:t>
      </w:r>
    </w:p>
    <w:p w:rsidR="00000000" w:rsidRDefault="002101CE">
      <w:pPr>
        <w:spacing w:line="500" w:lineRule="atLeast"/>
        <w:ind w:firstLine="600"/>
        <w:divId w:val="1038581731"/>
        <w:rPr>
          <w:rFonts w:hint="eastAsia"/>
          <w:sz w:val="30"/>
          <w:szCs w:val="30"/>
        </w:rPr>
      </w:pPr>
      <w:r>
        <w:rPr>
          <w:rFonts w:hint="eastAsia"/>
          <w:sz w:val="30"/>
          <w:szCs w:val="30"/>
        </w:rPr>
        <w:t>一审法院认为，双方的争议焦点为：蒋秀是否为加丹公司的高管并违法了相应的忠实义务。对于高级管理人员是否违反了忠实义务，需从高级管理人员身份的认定以及高级管理人员忠实义务的内容来判断。首先，对于公司高级管理人员身份的认定。公司法规定，高级管理人员，是指公司的经理、副经理、财务负责人，上市公司董事会秘书和公司章程规定的其他人员。蒋秀</w:t>
      </w:r>
      <w:r>
        <w:rPr>
          <w:rFonts w:hint="eastAsia"/>
          <w:sz w:val="30"/>
          <w:szCs w:val="30"/>
        </w:rPr>
        <w:t>是否具有加丹公司高级管理人员的身份除了考察蒋秀是否具有加丹公司任命的高级管理人员身份之外，还需要考察其实际履职情况。加丹公司提供劳动合同一中显示蒋秀职位为亚洲区采购，蒋秀与沸鸣公司提供劳动合同二显示其职务为采购，加丹公司称后来重新口头任命蒋秀为项目执行总监，但并未提供证据证明，且无论采购还是项目执行总监均非法律所规定的高级管理人员；加丹公司认为项目执行总监是对于公司全局的把控，负责管理公司全部的项目，亦未有证据佐证。就蒋秀工作的实质而言，加丹公司认为蒋秀与其他员工之间、与客户之间的往来邮件可以显示，蒋秀与其</w:t>
      </w:r>
      <w:r>
        <w:rPr>
          <w:rFonts w:hint="eastAsia"/>
          <w:sz w:val="30"/>
          <w:szCs w:val="30"/>
        </w:rPr>
        <w:t>他员工之间系上下级关系，有直接安排其他员工工作内容的权限。但根据加丹公司提供的邮件，无论是蒋秀与同事之间对于工作内容的沟通、与客户的对外联络，还是因业务付款而向同事发送的请款邮件，均无法直接表明蒋秀具有高级管理人员的身份。且对于蒋秀的高管身份，除邮件外加丹公司亦未进一步补充其他证据予以佐证，故对加丹公司对蒋秀高管身份的主张，一审法院不予采信。其次，公司高级管理人员忠实义务的内容。结合公司法的规定与加丹公司主张，构成违反忠实义务的行为需三个要件：一是未经股东会同意，二是公司高级管理人员利用了职务便利，三是公司</w:t>
      </w:r>
      <w:r>
        <w:rPr>
          <w:rFonts w:hint="eastAsia"/>
          <w:sz w:val="30"/>
          <w:szCs w:val="30"/>
        </w:rPr>
        <w:t>高级管理人员将获得的商机用于自营或为他人经营与所任职公司同类的业务。本案中，蒋秀与他人成立沸鸣公司显然未经股东会同意，但如前所述，蒋秀并非加丹公司的高级管理人员；且加丹公司并未提供任何证据证明蒋秀利用职务便利抢夺了加丹公司客户，进而以沸鸣公司名义开展过同类业务。相反，根据蒋秀与沸鸣公司提供的税务申报记录显示，自</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日沸鸣公司设立、直至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日蒋秀离职，沸鸣公司的税务申报金额均为零元。综上，一审法院认为，蒋秀并非加丹公司高级管理人员，且不存在违反公司法定忠实义务的违法行为。</w:t>
      </w:r>
    </w:p>
    <w:p w:rsidR="00000000" w:rsidRDefault="002101CE">
      <w:pPr>
        <w:spacing w:line="500" w:lineRule="atLeast"/>
        <w:ind w:firstLine="600"/>
        <w:divId w:val="1530289566"/>
        <w:rPr>
          <w:rFonts w:hint="eastAsia"/>
          <w:sz w:val="30"/>
          <w:szCs w:val="30"/>
        </w:rPr>
      </w:pPr>
      <w:r>
        <w:rPr>
          <w:rFonts w:hint="eastAsia"/>
          <w:sz w:val="30"/>
          <w:szCs w:val="30"/>
        </w:rPr>
        <w:t>加丹公司认</w:t>
      </w:r>
      <w:r>
        <w:rPr>
          <w:rFonts w:hint="eastAsia"/>
          <w:sz w:val="30"/>
          <w:szCs w:val="30"/>
        </w:rPr>
        <w:t>为其主张的损失赔偿，系依据公司法规定而享有的归入权和侵权损失。首先，因蒋秀没有以高级管理人员身份违反忠实义务侵害加丹公司权益，所以归入权没有行使的基础；其次，加丹公司并未对其损失进行任何举证，且在庭审中自认没有证据证明蒋秀抢夺了加丹公司客户，并以沸鸣公司名义进行同类业务的开展；再次，加丹公司称蒋秀与沸鸣公司损害其利益期间为</w:t>
      </w:r>
      <w:r>
        <w:rPr>
          <w:rFonts w:hint="eastAsia"/>
          <w:sz w:val="30"/>
          <w:szCs w:val="30"/>
        </w:rPr>
        <w:t>2017</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月，但沸鸣公司于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日才完成税务登记、直至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月税务申报金额均为零元。综上，一审法院对加丹公司赔偿损失的主张不予支持。</w:t>
      </w:r>
    </w:p>
    <w:p w:rsidR="00000000" w:rsidRDefault="002101CE">
      <w:pPr>
        <w:spacing w:line="500" w:lineRule="atLeast"/>
        <w:ind w:firstLine="600"/>
        <w:divId w:val="526526981"/>
        <w:rPr>
          <w:rFonts w:hint="eastAsia"/>
          <w:sz w:val="30"/>
          <w:szCs w:val="30"/>
        </w:rPr>
      </w:pPr>
      <w:r>
        <w:rPr>
          <w:rFonts w:hint="eastAsia"/>
          <w:sz w:val="30"/>
          <w:szCs w:val="30"/>
        </w:rPr>
        <w:t>一审法院据此作出</w:t>
      </w:r>
      <w:r>
        <w:rPr>
          <w:rFonts w:hint="eastAsia"/>
          <w:sz w:val="30"/>
          <w:szCs w:val="30"/>
        </w:rPr>
        <w:t>判决：驳回上海加丹贸易有限公司的全部诉讼请求。一审案件受理费</w:t>
      </w:r>
      <w:r>
        <w:rPr>
          <w:rFonts w:hint="eastAsia"/>
          <w:sz w:val="30"/>
          <w:szCs w:val="30"/>
        </w:rPr>
        <w:t>5,800</w:t>
      </w:r>
      <w:r>
        <w:rPr>
          <w:rFonts w:hint="eastAsia"/>
          <w:sz w:val="30"/>
          <w:szCs w:val="30"/>
        </w:rPr>
        <w:t>元，减半收取计</w:t>
      </w:r>
      <w:r>
        <w:rPr>
          <w:rFonts w:hint="eastAsia"/>
          <w:sz w:val="30"/>
          <w:szCs w:val="30"/>
        </w:rPr>
        <w:t>2,900</w:t>
      </w:r>
      <w:r>
        <w:rPr>
          <w:rFonts w:hint="eastAsia"/>
          <w:sz w:val="30"/>
          <w:szCs w:val="30"/>
        </w:rPr>
        <w:t>元，由上海加丹贸易有限公司负担。</w:t>
      </w:r>
    </w:p>
    <w:p w:rsidR="00000000" w:rsidRDefault="002101CE">
      <w:pPr>
        <w:spacing w:line="500" w:lineRule="atLeast"/>
        <w:ind w:firstLine="600"/>
        <w:divId w:val="218126786"/>
        <w:rPr>
          <w:rFonts w:hint="eastAsia"/>
          <w:sz w:val="30"/>
          <w:szCs w:val="30"/>
        </w:rPr>
      </w:pPr>
      <w:r>
        <w:rPr>
          <w:rFonts w:hint="eastAsia"/>
          <w:sz w:val="30"/>
          <w:szCs w:val="30"/>
        </w:rPr>
        <w:t>本院二审期间，当事人没有提交新证据。本院经审理查明，一审认定事实无误，本院对一审查明的事实予以确认。</w:t>
      </w:r>
    </w:p>
    <w:p w:rsidR="00000000" w:rsidRDefault="002101CE">
      <w:pPr>
        <w:spacing w:line="500" w:lineRule="atLeast"/>
        <w:ind w:firstLine="600"/>
        <w:divId w:val="25720166"/>
        <w:rPr>
          <w:rFonts w:hint="eastAsia"/>
          <w:sz w:val="30"/>
          <w:szCs w:val="30"/>
        </w:rPr>
      </w:pPr>
      <w:r>
        <w:rPr>
          <w:rFonts w:hint="eastAsia"/>
          <w:sz w:val="30"/>
          <w:szCs w:val="30"/>
        </w:rPr>
        <w:t>本院认为，本案的争议焦点为：一、蒋秀是否为加丹公司的高级管理人员；二、蒋秀是否利用职务便利，谋取加丹公司的商业机会进行同业竞争。关于焦点一，我国《公司法》中高级管理人员的用语含义为，公司的经理、副经理、财务负责人，上市公司董事会秘书和公司章程规定的其他人员。据此，即便加丹公司提供的</w:t>
      </w:r>
      <w:r>
        <w:rPr>
          <w:rFonts w:hint="eastAsia"/>
          <w:sz w:val="30"/>
          <w:szCs w:val="30"/>
        </w:rPr>
        <w:t>名片及邀请函显示蒋秀为项目执行总监，蒋秀在形式上也不满足高管的上述条件，应当从蒋秀的实质职权进一步判断。劳动合同一中蒋秀职位为亚洲区采购，劳动合同二中其职务为采购，现加丹公司提供的邮件所载蒋秀与同事、客户的沟通内容，均未超出蒋秀作为采购人员的履职范畴，因此，一审法院未将蒋秀认定为加丹公司的高级管理人员，并无不当，本院予以确认。虽然蒋秀并非高级管理人员，但如果蒋秀利用履职的便利，谋取公司商业机会进行同业竞争的，亦应承担相应赔偿责任。关于焦点二，加丹公司未提供证据证明蒋秀谋取公司商业机会导致客户流失，亦未提供证</w:t>
      </w:r>
      <w:r>
        <w:rPr>
          <w:rFonts w:hint="eastAsia"/>
          <w:sz w:val="30"/>
          <w:szCs w:val="30"/>
        </w:rPr>
        <w:t>据证明沸鸣公司已实际开展业务，蒋秀于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月离职前，沸鸣公司的税务申报金额为</w:t>
      </w:r>
      <w:r>
        <w:rPr>
          <w:rFonts w:hint="eastAsia"/>
          <w:sz w:val="30"/>
          <w:szCs w:val="30"/>
        </w:rPr>
        <w:t>0</w:t>
      </w:r>
      <w:r>
        <w:rPr>
          <w:rFonts w:hint="eastAsia"/>
          <w:sz w:val="30"/>
          <w:szCs w:val="30"/>
        </w:rPr>
        <w:t>元，在蒋秀不当行为与加丹公司损失均难以确定的情况下，一审法院驳回加丹公司的全部诉请，于法不悖，本院予以认可。</w:t>
      </w:r>
    </w:p>
    <w:p w:rsidR="00000000" w:rsidRDefault="002101CE">
      <w:pPr>
        <w:spacing w:line="500" w:lineRule="atLeast"/>
        <w:ind w:firstLine="600"/>
        <w:divId w:val="101922917"/>
        <w:rPr>
          <w:rFonts w:hint="eastAsia"/>
          <w:sz w:val="30"/>
          <w:szCs w:val="30"/>
        </w:rPr>
      </w:pPr>
      <w:r>
        <w:rPr>
          <w:rFonts w:hint="eastAsia"/>
          <w:sz w:val="30"/>
          <w:szCs w:val="30"/>
        </w:rPr>
        <w:t>综上所述，上诉人上海加丹贸易有限公司的上诉请求不能成立，应予驳回；一审判决认定事实清楚，适用法律正确，应予维持。依照《中华人民共和国民事诉讼法》第一百七十条第一款第一项规定，判决如下：</w:t>
      </w:r>
    </w:p>
    <w:p w:rsidR="00000000" w:rsidRDefault="002101CE">
      <w:pPr>
        <w:spacing w:line="500" w:lineRule="atLeast"/>
        <w:ind w:firstLine="600"/>
        <w:divId w:val="604658149"/>
        <w:rPr>
          <w:rFonts w:hint="eastAsia"/>
          <w:sz w:val="30"/>
          <w:szCs w:val="30"/>
        </w:rPr>
      </w:pPr>
      <w:r>
        <w:rPr>
          <w:rFonts w:hint="eastAsia"/>
          <w:sz w:val="30"/>
          <w:szCs w:val="30"/>
        </w:rPr>
        <w:t>驳回上诉，维持原判。</w:t>
      </w:r>
    </w:p>
    <w:p w:rsidR="00000000" w:rsidRDefault="002101CE">
      <w:pPr>
        <w:spacing w:line="500" w:lineRule="atLeast"/>
        <w:ind w:firstLine="600"/>
        <w:divId w:val="1191648874"/>
        <w:rPr>
          <w:rFonts w:hint="eastAsia"/>
          <w:sz w:val="30"/>
          <w:szCs w:val="30"/>
        </w:rPr>
      </w:pPr>
      <w:r>
        <w:rPr>
          <w:rFonts w:hint="eastAsia"/>
          <w:sz w:val="30"/>
          <w:szCs w:val="30"/>
        </w:rPr>
        <w:t>二审案件受理费人民币</w:t>
      </w:r>
      <w:r>
        <w:rPr>
          <w:rFonts w:hint="eastAsia"/>
          <w:sz w:val="30"/>
          <w:szCs w:val="30"/>
        </w:rPr>
        <w:t>50</w:t>
      </w:r>
      <w:r>
        <w:rPr>
          <w:rFonts w:hint="eastAsia"/>
          <w:sz w:val="30"/>
          <w:szCs w:val="30"/>
        </w:rPr>
        <w:t>元，由上诉人上海加丹贸易有限公司负担。</w:t>
      </w:r>
    </w:p>
    <w:p w:rsidR="00000000" w:rsidRDefault="002101CE">
      <w:pPr>
        <w:spacing w:line="500" w:lineRule="atLeast"/>
        <w:ind w:firstLine="600"/>
        <w:divId w:val="1552691311"/>
        <w:rPr>
          <w:rFonts w:hint="eastAsia"/>
          <w:sz w:val="30"/>
          <w:szCs w:val="30"/>
        </w:rPr>
      </w:pPr>
      <w:r>
        <w:rPr>
          <w:rFonts w:hint="eastAsia"/>
          <w:sz w:val="30"/>
          <w:szCs w:val="30"/>
        </w:rPr>
        <w:t>本判决为终审判决。</w:t>
      </w:r>
    </w:p>
    <w:p w:rsidR="00000000" w:rsidRDefault="002101CE">
      <w:pPr>
        <w:spacing w:line="500" w:lineRule="atLeast"/>
        <w:ind w:firstLine="600"/>
        <w:divId w:val="636642997"/>
        <w:rPr>
          <w:rFonts w:hint="eastAsia"/>
          <w:sz w:val="30"/>
          <w:szCs w:val="30"/>
        </w:rPr>
      </w:pPr>
      <w:r>
        <w:rPr>
          <w:rFonts w:hint="eastAsia"/>
          <w:sz w:val="30"/>
          <w:szCs w:val="30"/>
        </w:rPr>
        <w:t>法官助理柳洋</w:t>
      </w:r>
    </w:p>
    <w:p w:rsidR="00000000" w:rsidRDefault="002101CE">
      <w:pPr>
        <w:spacing w:line="500" w:lineRule="atLeast"/>
        <w:jc w:val="right"/>
        <w:divId w:val="1419447463"/>
        <w:rPr>
          <w:rFonts w:hint="eastAsia"/>
          <w:sz w:val="30"/>
          <w:szCs w:val="30"/>
        </w:rPr>
      </w:pPr>
      <w:r>
        <w:rPr>
          <w:rFonts w:hint="eastAsia"/>
          <w:sz w:val="30"/>
          <w:szCs w:val="30"/>
        </w:rPr>
        <w:t>审判长　　张晓菁</w:t>
      </w:r>
    </w:p>
    <w:p w:rsidR="00000000" w:rsidRDefault="002101CE">
      <w:pPr>
        <w:spacing w:line="500" w:lineRule="atLeast"/>
        <w:jc w:val="right"/>
        <w:divId w:val="1914974382"/>
        <w:rPr>
          <w:rFonts w:hint="eastAsia"/>
          <w:sz w:val="30"/>
          <w:szCs w:val="30"/>
        </w:rPr>
      </w:pPr>
      <w:r>
        <w:rPr>
          <w:rFonts w:hint="eastAsia"/>
          <w:sz w:val="30"/>
          <w:szCs w:val="30"/>
        </w:rPr>
        <w:t>审判员　　高中伟</w:t>
      </w:r>
    </w:p>
    <w:p w:rsidR="00000000" w:rsidRDefault="002101CE">
      <w:pPr>
        <w:spacing w:line="500" w:lineRule="atLeast"/>
        <w:jc w:val="right"/>
        <w:divId w:val="291402001"/>
        <w:rPr>
          <w:rFonts w:hint="eastAsia"/>
          <w:sz w:val="30"/>
          <w:szCs w:val="30"/>
        </w:rPr>
      </w:pPr>
      <w:r>
        <w:rPr>
          <w:rFonts w:hint="eastAsia"/>
          <w:sz w:val="30"/>
          <w:szCs w:val="30"/>
        </w:rPr>
        <w:t>审判员　　杨怡鸣</w:t>
      </w:r>
    </w:p>
    <w:p w:rsidR="00000000" w:rsidRDefault="002101CE">
      <w:pPr>
        <w:spacing w:line="500" w:lineRule="atLeast"/>
        <w:jc w:val="right"/>
        <w:divId w:val="1052851061"/>
        <w:rPr>
          <w:rFonts w:hint="eastAsia"/>
          <w:sz w:val="30"/>
          <w:szCs w:val="30"/>
        </w:rPr>
      </w:pPr>
      <w:r>
        <w:rPr>
          <w:rFonts w:hint="eastAsia"/>
          <w:sz w:val="30"/>
          <w:szCs w:val="30"/>
        </w:rPr>
        <w:t>二〇二〇年二月十二日</w:t>
      </w:r>
    </w:p>
    <w:p w:rsidR="00000000" w:rsidRDefault="002101CE">
      <w:pPr>
        <w:spacing w:line="500" w:lineRule="atLeast"/>
        <w:jc w:val="right"/>
        <w:divId w:val="133064292"/>
        <w:rPr>
          <w:rFonts w:hint="eastAsia"/>
          <w:sz w:val="30"/>
          <w:szCs w:val="30"/>
        </w:rPr>
      </w:pPr>
      <w:r>
        <w:rPr>
          <w:rFonts w:hint="eastAsia"/>
          <w:sz w:val="30"/>
          <w:szCs w:val="30"/>
        </w:rPr>
        <w:t>书记员　　李佳纯</w:t>
      </w:r>
    </w:p>
    <w:p w:rsidR="00000000" w:rsidRDefault="002101CE">
      <w:pPr>
        <w:spacing w:line="500" w:lineRule="atLeast"/>
        <w:ind w:firstLine="600"/>
        <w:divId w:val="762726230"/>
        <w:rPr>
          <w:rFonts w:hint="eastAsia"/>
          <w:sz w:val="30"/>
          <w:szCs w:val="30"/>
        </w:rPr>
      </w:pPr>
      <w:r>
        <w:rPr>
          <w:rFonts w:hint="eastAsia"/>
          <w:sz w:val="30"/>
          <w:szCs w:val="30"/>
        </w:rPr>
        <w:t>附：相关法律条文</w:t>
      </w:r>
    </w:p>
    <w:p w:rsidR="00000000" w:rsidRDefault="002101CE">
      <w:pPr>
        <w:spacing w:line="500" w:lineRule="atLeast"/>
        <w:ind w:firstLine="600"/>
        <w:divId w:val="1561089927"/>
        <w:rPr>
          <w:rFonts w:hint="eastAsia"/>
          <w:sz w:val="30"/>
          <w:szCs w:val="30"/>
        </w:rPr>
      </w:pPr>
      <w:r>
        <w:rPr>
          <w:rFonts w:hint="eastAsia"/>
          <w:sz w:val="30"/>
          <w:szCs w:val="30"/>
        </w:rPr>
        <w:t>附：相关的法律条文</w:t>
      </w:r>
    </w:p>
    <w:p w:rsidR="00000000" w:rsidRDefault="002101CE">
      <w:pPr>
        <w:spacing w:line="500" w:lineRule="atLeast"/>
        <w:ind w:firstLine="600"/>
        <w:divId w:val="1813477436"/>
        <w:rPr>
          <w:rFonts w:hint="eastAsia"/>
          <w:sz w:val="30"/>
          <w:szCs w:val="30"/>
        </w:rPr>
      </w:pPr>
      <w:r>
        <w:rPr>
          <w:rFonts w:hint="eastAsia"/>
          <w:sz w:val="30"/>
          <w:szCs w:val="30"/>
        </w:rPr>
        <w:t>《中华人民共和国民事诉讼法》</w:t>
      </w:r>
    </w:p>
    <w:p w:rsidR="00000000" w:rsidRDefault="002101CE">
      <w:pPr>
        <w:spacing w:line="500" w:lineRule="atLeast"/>
        <w:ind w:firstLine="600"/>
        <w:divId w:val="1225533332"/>
        <w:rPr>
          <w:rFonts w:hint="eastAsia"/>
          <w:sz w:val="30"/>
          <w:szCs w:val="30"/>
        </w:rPr>
      </w:pPr>
      <w:r>
        <w:rPr>
          <w:rFonts w:hint="eastAsia"/>
          <w:sz w:val="30"/>
          <w:szCs w:val="30"/>
        </w:rPr>
        <w:t>第一百七十条第二审人民法院对上诉案件，经过审理，按照下列情形，分别处理：</w:t>
      </w:r>
    </w:p>
    <w:p w:rsidR="00000000" w:rsidRDefault="002101CE">
      <w:pPr>
        <w:spacing w:line="500" w:lineRule="atLeast"/>
        <w:ind w:firstLine="600"/>
        <w:divId w:val="2046061296"/>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原判决、裁定认定事实清楚，适用法律正确的，以判决、裁定方式驳回上诉，维持原判决、裁定；</w:t>
      </w:r>
    </w:p>
    <w:p w:rsidR="00000000" w:rsidRDefault="002101CE">
      <w:pPr>
        <w:spacing w:line="500" w:lineRule="atLeast"/>
        <w:ind w:firstLine="600"/>
        <w:divId w:val="731345089"/>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1CE" w:rsidRDefault="002101CE" w:rsidP="002101CE">
      <w:r>
        <w:separator/>
      </w:r>
    </w:p>
  </w:endnote>
  <w:endnote w:type="continuationSeparator" w:id="0">
    <w:p w:rsidR="002101CE" w:rsidRDefault="002101CE" w:rsidP="0021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1CE" w:rsidRDefault="002101CE" w:rsidP="002101CE">
      <w:r>
        <w:separator/>
      </w:r>
    </w:p>
  </w:footnote>
  <w:footnote w:type="continuationSeparator" w:id="0">
    <w:p w:rsidR="002101CE" w:rsidRDefault="002101CE" w:rsidP="002101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01CE"/>
    <w:rsid w:val="0021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101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01CE"/>
    <w:rPr>
      <w:rFonts w:ascii="宋体" w:eastAsia="宋体" w:hAnsi="宋体" w:cs="宋体"/>
      <w:sz w:val="18"/>
      <w:szCs w:val="18"/>
    </w:rPr>
  </w:style>
  <w:style w:type="paragraph" w:styleId="a5">
    <w:name w:val="footer"/>
    <w:basedOn w:val="a"/>
    <w:link w:val="a6"/>
    <w:uiPriority w:val="99"/>
    <w:unhideWhenUsed/>
    <w:rsid w:val="002101CE"/>
    <w:pPr>
      <w:tabs>
        <w:tab w:val="center" w:pos="4153"/>
        <w:tab w:val="right" w:pos="8306"/>
      </w:tabs>
      <w:snapToGrid w:val="0"/>
    </w:pPr>
    <w:rPr>
      <w:sz w:val="18"/>
      <w:szCs w:val="18"/>
    </w:rPr>
  </w:style>
  <w:style w:type="character" w:customStyle="1" w:styleId="a6">
    <w:name w:val="页脚 字符"/>
    <w:basedOn w:val="a0"/>
    <w:link w:val="a5"/>
    <w:uiPriority w:val="99"/>
    <w:rsid w:val="002101C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728">
      <w:marLeft w:val="0"/>
      <w:marRight w:val="0"/>
      <w:marTop w:val="10"/>
      <w:marBottom w:val="10"/>
      <w:divBdr>
        <w:top w:val="none" w:sz="0" w:space="0" w:color="auto"/>
        <w:left w:val="none" w:sz="0" w:space="0" w:color="auto"/>
        <w:bottom w:val="none" w:sz="0" w:space="0" w:color="auto"/>
        <w:right w:val="none" w:sz="0" w:space="0" w:color="auto"/>
      </w:divBdr>
    </w:div>
    <w:div w:id="25720166">
      <w:marLeft w:val="0"/>
      <w:marRight w:val="0"/>
      <w:marTop w:val="10"/>
      <w:marBottom w:val="10"/>
      <w:divBdr>
        <w:top w:val="none" w:sz="0" w:space="0" w:color="auto"/>
        <w:left w:val="none" w:sz="0" w:space="0" w:color="auto"/>
        <w:bottom w:val="none" w:sz="0" w:space="0" w:color="auto"/>
        <w:right w:val="none" w:sz="0" w:space="0" w:color="auto"/>
      </w:divBdr>
    </w:div>
    <w:div w:id="43338716">
      <w:marLeft w:val="0"/>
      <w:marRight w:val="0"/>
      <w:marTop w:val="10"/>
      <w:marBottom w:val="10"/>
      <w:divBdr>
        <w:top w:val="none" w:sz="0" w:space="0" w:color="auto"/>
        <w:left w:val="none" w:sz="0" w:space="0" w:color="auto"/>
        <w:bottom w:val="none" w:sz="0" w:space="0" w:color="auto"/>
        <w:right w:val="none" w:sz="0" w:space="0" w:color="auto"/>
      </w:divBdr>
    </w:div>
    <w:div w:id="101922917">
      <w:marLeft w:val="0"/>
      <w:marRight w:val="0"/>
      <w:marTop w:val="10"/>
      <w:marBottom w:val="10"/>
      <w:divBdr>
        <w:top w:val="none" w:sz="0" w:space="0" w:color="auto"/>
        <w:left w:val="none" w:sz="0" w:space="0" w:color="auto"/>
        <w:bottom w:val="none" w:sz="0" w:space="0" w:color="auto"/>
        <w:right w:val="none" w:sz="0" w:space="0" w:color="auto"/>
      </w:divBdr>
    </w:div>
    <w:div w:id="133064292">
      <w:marLeft w:val="0"/>
      <w:marRight w:val="720"/>
      <w:marTop w:val="10"/>
      <w:marBottom w:val="10"/>
      <w:divBdr>
        <w:top w:val="none" w:sz="0" w:space="0" w:color="auto"/>
        <w:left w:val="none" w:sz="0" w:space="0" w:color="auto"/>
        <w:bottom w:val="none" w:sz="0" w:space="0" w:color="auto"/>
        <w:right w:val="none" w:sz="0" w:space="0" w:color="auto"/>
      </w:divBdr>
    </w:div>
    <w:div w:id="218126786">
      <w:marLeft w:val="0"/>
      <w:marRight w:val="0"/>
      <w:marTop w:val="10"/>
      <w:marBottom w:val="10"/>
      <w:divBdr>
        <w:top w:val="none" w:sz="0" w:space="0" w:color="auto"/>
        <w:left w:val="none" w:sz="0" w:space="0" w:color="auto"/>
        <w:bottom w:val="none" w:sz="0" w:space="0" w:color="auto"/>
        <w:right w:val="none" w:sz="0" w:space="0" w:color="auto"/>
      </w:divBdr>
    </w:div>
    <w:div w:id="291402001">
      <w:marLeft w:val="0"/>
      <w:marRight w:val="720"/>
      <w:marTop w:val="10"/>
      <w:marBottom w:val="10"/>
      <w:divBdr>
        <w:top w:val="none" w:sz="0" w:space="0" w:color="auto"/>
        <w:left w:val="none" w:sz="0" w:space="0" w:color="auto"/>
        <w:bottom w:val="none" w:sz="0" w:space="0" w:color="auto"/>
        <w:right w:val="none" w:sz="0" w:space="0" w:color="auto"/>
      </w:divBdr>
    </w:div>
    <w:div w:id="308829134">
      <w:marLeft w:val="0"/>
      <w:marRight w:val="0"/>
      <w:marTop w:val="10"/>
      <w:marBottom w:val="10"/>
      <w:divBdr>
        <w:top w:val="none" w:sz="0" w:space="0" w:color="auto"/>
        <w:left w:val="none" w:sz="0" w:space="0" w:color="auto"/>
        <w:bottom w:val="none" w:sz="0" w:space="0" w:color="auto"/>
        <w:right w:val="none" w:sz="0" w:space="0" w:color="auto"/>
      </w:divBdr>
    </w:div>
    <w:div w:id="367531850">
      <w:marLeft w:val="0"/>
      <w:marRight w:val="0"/>
      <w:marTop w:val="10"/>
      <w:marBottom w:val="10"/>
      <w:divBdr>
        <w:top w:val="none" w:sz="0" w:space="0" w:color="auto"/>
        <w:left w:val="none" w:sz="0" w:space="0" w:color="auto"/>
        <w:bottom w:val="none" w:sz="0" w:space="0" w:color="auto"/>
        <w:right w:val="none" w:sz="0" w:space="0" w:color="auto"/>
      </w:divBdr>
    </w:div>
    <w:div w:id="491288790">
      <w:marLeft w:val="0"/>
      <w:marRight w:val="0"/>
      <w:marTop w:val="10"/>
      <w:marBottom w:val="10"/>
      <w:divBdr>
        <w:top w:val="none" w:sz="0" w:space="0" w:color="auto"/>
        <w:left w:val="none" w:sz="0" w:space="0" w:color="auto"/>
        <w:bottom w:val="none" w:sz="0" w:space="0" w:color="auto"/>
        <w:right w:val="none" w:sz="0" w:space="0" w:color="auto"/>
      </w:divBdr>
    </w:div>
    <w:div w:id="526526981">
      <w:marLeft w:val="0"/>
      <w:marRight w:val="0"/>
      <w:marTop w:val="10"/>
      <w:marBottom w:val="10"/>
      <w:divBdr>
        <w:top w:val="none" w:sz="0" w:space="0" w:color="auto"/>
        <w:left w:val="none" w:sz="0" w:space="0" w:color="auto"/>
        <w:bottom w:val="none" w:sz="0" w:space="0" w:color="auto"/>
        <w:right w:val="none" w:sz="0" w:space="0" w:color="auto"/>
      </w:divBdr>
    </w:div>
    <w:div w:id="604658149">
      <w:marLeft w:val="0"/>
      <w:marRight w:val="0"/>
      <w:marTop w:val="10"/>
      <w:marBottom w:val="10"/>
      <w:divBdr>
        <w:top w:val="none" w:sz="0" w:space="0" w:color="auto"/>
        <w:left w:val="none" w:sz="0" w:space="0" w:color="auto"/>
        <w:bottom w:val="none" w:sz="0" w:space="0" w:color="auto"/>
        <w:right w:val="none" w:sz="0" w:space="0" w:color="auto"/>
      </w:divBdr>
    </w:div>
    <w:div w:id="616838987">
      <w:marLeft w:val="0"/>
      <w:marRight w:val="0"/>
      <w:marTop w:val="10"/>
      <w:marBottom w:val="10"/>
      <w:divBdr>
        <w:top w:val="none" w:sz="0" w:space="0" w:color="auto"/>
        <w:left w:val="none" w:sz="0" w:space="0" w:color="auto"/>
        <w:bottom w:val="none" w:sz="0" w:space="0" w:color="auto"/>
        <w:right w:val="none" w:sz="0" w:space="0" w:color="auto"/>
      </w:divBdr>
    </w:div>
    <w:div w:id="636642997">
      <w:marLeft w:val="0"/>
      <w:marRight w:val="0"/>
      <w:marTop w:val="10"/>
      <w:marBottom w:val="10"/>
      <w:divBdr>
        <w:top w:val="none" w:sz="0" w:space="0" w:color="auto"/>
        <w:left w:val="none" w:sz="0" w:space="0" w:color="auto"/>
        <w:bottom w:val="none" w:sz="0" w:space="0" w:color="auto"/>
        <w:right w:val="none" w:sz="0" w:space="0" w:color="auto"/>
      </w:divBdr>
    </w:div>
    <w:div w:id="656540781">
      <w:marLeft w:val="0"/>
      <w:marRight w:val="0"/>
      <w:marTop w:val="10"/>
      <w:marBottom w:val="10"/>
      <w:divBdr>
        <w:top w:val="none" w:sz="0" w:space="0" w:color="auto"/>
        <w:left w:val="none" w:sz="0" w:space="0" w:color="auto"/>
        <w:bottom w:val="none" w:sz="0" w:space="0" w:color="auto"/>
        <w:right w:val="none" w:sz="0" w:space="0" w:color="auto"/>
      </w:divBdr>
    </w:div>
    <w:div w:id="731345089">
      <w:marLeft w:val="0"/>
      <w:marRight w:val="0"/>
      <w:marTop w:val="10"/>
      <w:marBottom w:val="10"/>
      <w:divBdr>
        <w:top w:val="none" w:sz="0" w:space="0" w:color="auto"/>
        <w:left w:val="none" w:sz="0" w:space="0" w:color="auto"/>
        <w:bottom w:val="none" w:sz="0" w:space="0" w:color="auto"/>
        <w:right w:val="none" w:sz="0" w:space="0" w:color="auto"/>
      </w:divBdr>
    </w:div>
    <w:div w:id="762726230">
      <w:marLeft w:val="0"/>
      <w:marRight w:val="0"/>
      <w:marTop w:val="10"/>
      <w:marBottom w:val="10"/>
      <w:divBdr>
        <w:top w:val="none" w:sz="0" w:space="0" w:color="auto"/>
        <w:left w:val="none" w:sz="0" w:space="0" w:color="auto"/>
        <w:bottom w:val="none" w:sz="0" w:space="0" w:color="auto"/>
        <w:right w:val="none" w:sz="0" w:space="0" w:color="auto"/>
      </w:divBdr>
    </w:div>
    <w:div w:id="1038581731">
      <w:marLeft w:val="0"/>
      <w:marRight w:val="0"/>
      <w:marTop w:val="10"/>
      <w:marBottom w:val="10"/>
      <w:divBdr>
        <w:top w:val="none" w:sz="0" w:space="0" w:color="auto"/>
        <w:left w:val="none" w:sz="0" w:space="0" w:color="auto"/>
        <w:bottom w:val="none" w:sz="0" w:space="0" w:color="auto"/>
        <w:right w:val="none" w:sz="0" w:space="0" w:color="auto"/>
      </w:divBdr>
    </w:div>
    <w:div w:id="1052851061">
      <w:marLeft w:val="0"/>
      <w:marRight w:val="720"/>
      <w:marTop w:val="10"/>
      <w:marBottom w:val="10"/>
      <w:divBdr>
        <w:top w:val="none" w:sz="0" w:space="0" w:color="auto"/>
        <w:left w:val="none" w:sz="0" w:space="0" w:color="auto"/>
        <w:bottom w:val="none" w:sz="0" w:space="0" w:color="auto"/>
        <w:right w:val="none" w:sz="0" w:space="0" w:color="auto"/>
      </w:divBdr>
    </w:div>
    <w:div w:id="1191648874">
      <w:marLeft w:val="0"/>
      <w:marRight w:val="0"/>
      <w:marTop w:val="10"/>
      <w:marBottom w:val="10"/>
      <w:divBdr>
        <w:top w:val="none" w:sz="0" w:space="0" w:color="auto"/>
        <w:left w:val="none" w:sz="0" w:space="0" w:color="auto"/>
        <w:bottom w:val="none" w:sz="0" w:space="0" w:color="auto"/>
        <w:right w:val="none" w:sz="0" w:space="0" w:color="auto"/>
      </w:divBdr>
    </w:div>
    <w:div w:id="1225533332">
      <w:marLeft w:val="0"/>
      <w:marRight w:val="0"/>
      <w:marTop w:val="10"/>
      <w:marBottom w:val="10"/>
      <w:divBdr>
        <w:top w:val="none" w:sz="0" w:space="0" w:color="auto"/>
        <w:left w:val="none" w:sz="0" w:space="0" w:color="auto"/>
        <w:bottom w:val="none" w:sz="0" w:space="0" w:color="auto"/>
        <w:right w:val="none" w:sz="0" w:space="0" w:color="auto"/>
      </w:divBdr>
    </w:div>
    <w:div w:id="1291741791">
      <w:marLeft w:val="0"/>
      <w:marRight w:val="0"/>
      <w:marTop w:val="10"/>
      <w:marBottom w:val="10"/>
      <w:divBdr>
        <w:top w:val="none" w:sz="0" w:space="0" w:color="auto"/>
        <w:left w:val="none" w:sz="0" w:space="0" w:color="auto"/>
        <w:bottom w:val="none" w:sz="0" w:space="0" w:color="auto"/>
        <w:right w:val="none" w:sz="0" w:space="0" w:color="auto"/>
      </w:divBdr>
    </w:div>
    <w:div w:id="1413503061">
      <w:marLeft w:val="0"/>
      <w:marRight w:val="0"/>
      <w:marTop w:val="10"/>
      <w:marBottom w:val="10"/>
      <w:divBdr>
        <w:top w:val="none" w:sz="0" w:space="0" w:color="auto"/>
        <w:left w:val="none" w:sz="0" w:space="0" w:color="auto"/>
        <w:bottom w:val="none" w:sz="0" w:space="0" w:color="auto"/>
        <w:right w:val="none" w:sz="0" w:space="0" w:color="auto"/>
      </w:divBdr>
    </w:div>
    <w:div w:id="1417170680">
      <w:marLeft w:val="0"/>
      <w:marRight w:val="0"/>
      <w:marTop w:val="10"/>
      <w:marBottom w:val="10"/>
      <w:divBdr>
        <w:top w:val="none" w:sz="0" w:space="0" w:color="auto"/>
        <w:left w:val="none" w:sz="0" w:space="0" w:color="auto"/>
        <w:bottom w:val="none" w:sz="0" w:space="0" w:color="auto"/>
        <w:right w:val="none" w:sz="0" w:space="0" w:color="auto"/>
      </w:divBdr>
    </w:div>
    <w:div w:id="1419447463">
      <w:marLeft w:val="0"/>
      <w:marRight w:val="720"/>
      <w:marTop w:val="10"/>
      <w:marBottom w:val="10"/>
      <w:divBdr>
        <w:top w:val="none" w:sz="0" w:space="0" w:color="auto"/>
        <w:left w:val="none" w:sz="0" w:space="0" w:color="auto"/>
        <w:bottom w:val="none" w:sz="0" w:space="0" w:color="auto"/>
        <w:right w:val="none" w:sz="0" w:space="0" w:color="auto"/>
      </w:divBdr>
    </w:div>
    <w:div w:id="1422724050">
      <w:marLeft w:val="0"/>
      <w:marRight w:val="0"/>
      <w:marTop w:val="10"/>
      <w:marBottom w:val="10"/>
      <w:divBdr>
        <w:top w:val="none" w:sz="0" w:space="0" w:color="auto"/>
        <w:left w:val="none" w:sz="0" w:space="0" w:color="auto"/>
        <w:bottom w:val="none" w:sz="0" w:space="0" w:color="auto"/>
        <w:right w:val="none" w:sz="0" w:space="0" w:color="auto"/>
      </w:divBdr>
    </w:div>
    <w:div w:id="1530289566">
      <w:marLeft w:val="0"/>
      <w:marRight w:val="0"/>
      <w:marTop w:val="10"/>
      <w:marBottom w:val="10"/>
      <w:divBdr>
        <w:top w:val="none" w:sz="0" w:space="0" w:color="auto"/>
        <w:left w:val="none" w:sz="0" w:space="0" w:color="auto"/>
        <w:bottom w:val="none" w:sz="0" w:space="0" w:color="auto"/>
        <w:right w:val="none" w:sz="0" w:space="0" w:color="auto"/>
      </w:divBdr>
    </w:div>
    <w:div w:id="1540511083">
      <w:marLeft w:val="0"/>
      <w:marRight w:val="0"/>
      <w:marTop w:val="10"/>
      <w:marBottom w:val="10"/>
      <w:divBdr>
        <w:top w:val="none" w:sz="0" w:space="0" w:color="auto"/>
        <w:left w:val="none" w:sz="0" w:space="0" w:color="auto"/>
        <w:bottom w:val="none" w:sz="0" w:space="0" w:color="auto"/>
        <w:right w:val="none" w:sz="0" w:space="0" w:color="auto"/>
      </w:divBdr>
    </w:div>
    <w:div w:id="1552691311">
      <w:marLeft w:val="0"/>
      <w:marRight w:val="0"/>
      <w:marTop w:val="10"/>
      <w:marBottom w:val="10"/>
      <w:divBdr>
        <w:top w:val="none" w:sz="0" w:space="0" w:color="auto"/>
        <w:left w:val="none" w:sz="0" w:space="0" w:color="auto"/>
        <w:bottom w:val="none" w:sz="0" w:space="0" w:color="auto"/>
        <w:right w:val="none" w:sz="0" w:space="0" w:color="auto"/>
      </w:divBdr>
    </w:div>
    <w:div w:id="1561089927">
      <w:marLeft w:val="0"/>
      <w:marRight w:val="0"/>
      <w:marTop w:val="10"/>
      <w:marBottom w:val="10"/>
      <w:divBdr>
        <w:top w:val="none" w:sz="0" w:space="0" w:color="auto"/>
        <w:left w:val="none" w:sz="0" w:space="0" w:color="auto"/>
        <w:bottom w:val="none" w:sz="0" w:space="0" w:color="auto"/>
        <w:right w:val="none" w:sz="0" w:space="0" w:color="auto"/>
      </w:divBdr>
    </w:div>
    <w:div w:id="1672097766">
      <w:marLeft w:val="0"/>
      <w:marRight w:val="0"/>
      <w:marTop w:val="10"/>
      <w:marBottom w:val="10"/>
      <w:divBdr>
        <w:top w:val="none" w:sz="0" w:space="0" w:color="auto"/>
        <w:left w:val="none" w:sz="0" w:space="0" w:color="auto"/>
        <w:bottom w:val="none" w:sz="0" w:space="0" w:color="auto"/>
        <w:right w:val="none" w:sz="0" w:space="0" w:color="auto"/>
      </w:divBdr>
    </w:div>
    <w:div w:id="1686861909">
      <w:marLeft w:val="0"/>
      <w:marRight w:val="0"/>
      <w:marTop w:val="10"/>
      <w:marBottom w:val="10"/>
      <w:divBdr>
        <w:top w:val="none" w:sz="0" w:space="0" w:color="auto"/>
        <w:left w:val="none" w:sz="0" w:space="0" w:color="auto"/>
        <w:bottom w:val="none" w:sz="0" w:space="0" w:color="auto"/>
        <w:right w:val="none" w:sz="0" w:space="0" w:color="auto"/>
      </w:divBdr>
    </w:div>
    <w:div w:id="1785923777">
      <w:marLeft w:val="0"/>
      <w:marRight w:val="0"/>
      <w:marTop w:val="10"/>
      <w:marBottom w:val="10"/>
      <w:divBdr>
        <w:top w:val="none" w:sz="0" w:space="0" w:color="auto"/>
        <w:left w:val="none" w:sz="0" w:space="0" w:color="auto"/>
        <w:bottom w:val="none" w:sz="0" w:space="0" w:color="auto"/>
        <w:right w:val="none" w:sz="0" w:space="0" w:color="auto"/>
      </w:divBdr>
    </w:div>
    <w:div w:id="1813477436">
      <w:marLeft w:val="0"/>
      <w:marRight w:val="0"/>
      <w:marTop w:val="10"/>
      <w:marBottom w:val="10"/>
      <w:divBdr>
        <w:top w:val="none" w:sz="0" w:space="0" w:color="auto"/>
        <w:left w:val="none" w:sz="0" w:space="0" w:color="auto"/>
        <w:bottom w:val="none" w:sz="0" w:space="0" w:color="auto"/>
        <w:right w:val="none" w:sz="0" w:space="0" w:color="auto"/>
      </w:divBdr>
    </w:div>
    <w:div w:id="1914974382">
      <w:marLeft w:val="0"/>
      <w:marRight w:val="720"/>
      <w:marTop w:val="10"/>
      <w:marBottom w:val="10"/>
      <w:divBdr>
        <w:top w:val="none" w:sz="0" w:space="0" w:color="auto"/>
        <w:left w:val="none" w:sz="0" w:space="0" w:color="auto"/>
        <w:bottom w:val="none" w:sz="0" w:space="0" w:color="auto"/>
        <w:right w:val="none" w:sz="0" w:space="0" w:color="auto"/>
      </w:divBdr>
    </w:div>
    <w:div w:id="1932470717">
      <w:marLeft w:val="0"/>
      <w:marRight w:val="0"/>
      <w:marTop w:val="10"/>
      <w:marBottom w:val="10"/>
      <w:divBdr>
        <w:top w:val="none" w:sz="0" w:space="0" w:color="auto"/>
        <w:left w:val="none" w:sz="0" w:space="0" w:color="auto"/>
        <w:bottom w:val="none" w:sz="0" w:space="0" w:color="auto"/>
        <w:right w:val="none" w:sz="0" w:space="0" w:color="auto"/>
      </w:divBdr>
    </w:div>
    <w:div w:id="1941137319">
      <w:marLeft w:val="0"/>
      <w:marRight w:val="0"/>
      <w:marTop w:val="10"/>
      <w:marBottom w:val="10"/>
      <w:divBdr>
        <w:top w:val="none" w:sz="0" w:space="0" w:color="auto"/>
        <w:left w:val="none" w:sz="0" w:space="0" w:color="auto"/>
        <w:bottom w:val="none" w:sz="0" w:space="0" w:color="auto"/>
        <w:right w:val="none" w:sz="0" w:space="0" w:color="auto"/>
      </w:divBdr>
    </w:div>
    <w:div w:id="204606129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