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F7B9D">
      <w:pPr>
        <w:spacing w:line="500" w:lineRule="atLeast"/>
        <w:jc w:val="center"/>
        <w:divId w:val="1712463000"/>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3F7B9D">
      <w:pPr>
        <w:spacing w:line="500" w:lineRule="atLeast"/>
        <w:jc w:val="center"/>
        <w:divId w:val="970260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F7B9D">
      <w:pPr>
        <w:spacing w:line="500" w:lineRule="atLeast"/>
        <w:jc w:val="right"/>
        <w:divId w:val="14504373"/>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02</w:t>
      </w:r>
      <w:r>
        <w:rPr>
          <w:rFonts w:hint="eastAsia"/>
          <w:sz w:val="30"/>
          <w:szCs w:val="30"/>
        </w:rPr>
        <w:t>民终</w:t>
      </w:r>
      <w:r>
        <w:rPr>
          <w:rFonts w:hint="eastAsia"/>
          <w:sz w:val="30"/>
          <w:szCs w:val="30"/>
        </w:rPr>
        <w:t>3777</w:t>
      </w:r>
      <w:r>
        <w:rPr>
          <w:rFonts w:hint="eastAsia"/>
          <w:sz w:val="30"/>
          <w:szCs w:val="30"/>
        </w:rPr>
        <w:t>号</w:t>
      </w:r>
    </w:p>
    <w:p w:rsidR="00000000" w:rsidRDefault="003F7B9D">
      <w:pPr>
        <w:spacing w:line="500" w:lineRule="atLeast"/>
        <w:ind w:firstLine="600"/>
        <w:divId w:val="518011374"/>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：上海昌安汽车销售服务有限公司，住所地上海市宝山区。</w:t>
      </w:r>
    </w:p>
    <w:p w:rsidR="00000000" w:rsidRDefault="003F7B9D">
      <w:pPr>
        <w:spacing w:line="500" w:lineRule="atLeast"/>
        <w:ind w:firstLine="600"/>
        <w:divId w:val="1817646535"/>
        <w:rPr>
          <w:rFonts w:hint="eastAsia"/>
          <w:sz w:val="30"/>
          <w:szCs w:val="30"/>
        </w:rPr>
      </w:pPr>
      <w:r>
        <w:rPr>
          <w:rFonts w:hint="eastAsia"/>
          <w:sz w:val="30"/>
          <w:szCs w:val="30"/>
        </w:rPr>
        <w:t>法定代表人：钱瑶，董事长。</w:t>
      </w:r>
    </w:p>
    <w:p w:rsidR="00000000" w:rsidRDefault="003F7B9D">
      <w:pPr>
        <w:spacing w:line="500" w:lineRule="atLeast"/>
        <w:ind w:firstLine="600"/>
        <w:divId w:val="1991596949"/>
        <w:rPr>
          <w:rFonts w:hint="eastAsia"/>
          <w:sz w:val="30"/>
          <w:szCs w:val="30"/>
        </w:rPr>
      </w:pPr>
      <w:r>
        <w:rPr>
          <w:rFonts w:hint="eastAsia"/>
          <w:sz w:val="30"/>
          <w:szCs w:val="30"/>
        </w:rPr>
        <w:t>诉讼代表人：黄豪杰，监事。</w:t>
      </w:r>
    </w:p>
    <w:p w:rsidR="00000000" w:rsidRDefault="003F7B9D">
      <w:pPr>
        <w:spacing w:line="500" w:lineRule="atLeast"/>
        <w:ind w:firstLine="600"/>
        <w:divId w:val="359547805"/>
        <w:rPr>
          <w:rFonts w:hint="eastAsia"/>
          <w:sz w:val="30"/>
          <w:szCs w:val="30"/>
        </w:rPr>
      </w:pPr>
      <w:r>
        <w:rPr>
          <w:rFonts w:hint="eastAsia"/>
          <w:sz w:val="30"/>
          <w:szCs w:val="30"/>
        </w:rPr>
        <w:t>委托诉讼代理人：周喜清，上海市中天信律师事务所律师。</w:t>
      </w:r>
    </w:p>
    <w:p w:rsidR="00000000" w:rsidRDefault="003F7B9D">
      <w:pPr>
        <w:spacing w:line="500" w:lineRule="atLeast"/>
        <w:ind w:firstLine="600"/>
        <w:divId w:val="184369874"/>
        <w:rPr>
          <w:rFonts w:hint="eastAsia"/>
          <w:sz w:val="30"/>
          <w:szCs w:val="30"/>
        </w:rPr>
      </w:pPr>
      <w:r>
        <w:rPr>
          <w:rFonts w:hint="eastAsia"/>
          <w:sz w:val="30"/>
          <w:szCs w:val="30"/>
        </w:rPr>
        <w:t>委托诉讼代理人：钮玲，上海市中天信律师事务所律师。</w:t>
      </w:r>
    </w:p>
    <w:p w:rsidR="00000000" w:rsidRDefault="003F7B9D">
      <w:pPr>
        <w:spacing w:line="500" w:lineRule="atLeast"/>
        <w:ind w:firstLine="600"/>
        <w:divId w:val="463742399"/>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：钱瑶，女，</w:t>
      </w:r>
      <w:r>
        <w:rPr>
          <w:rFonts w:hint="eastAsia"/>
          <w:sz w:val="30"/>
          <w:szCs w:val="30"/>
        </w:rPr>
        <w:t>1992</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日出生，汉族，住上海市杨浦区。</w:t>
      </w:r>
    </w:p>
    <w:p w:rsidR="00000000" w:rsidRDefault="003F7B9D">
      <w:pPr>
        <w:spacing w:line="500" w:lineRule="atLeast"/>
        <w:ind w:firstLine="600"/>
        <w:divId w:val="689599418"/>
        <w:rPr>
          <w:rFonts w:hint="eastAsia"/>
          <w:sz w:val="30"/>
          <w:szCs w:val="30"/>
        </w:rPr>
      </w:pPr>
      <w:r>
        <w:rPr>
          <w:rFonts w:hint="eastAsia"/>
          <w:sz w:val="30"/>
          <w:szCs w:val="30"/>
        </w:rPr>
        <w:t>委托诉讼代理人：石炜洋。</w:t>
      </w:r>
    </w:p>
    <w:p w:rsidR="00000000" w:rsidRDefault="003F7B9D">
      <w:pPr>
        <w:spacing w:line="500" w:lineRule="atLeast"/>
        <w:ind w:firstLine="600"/>
        <w:divId w:val="1659311047"/>
        <w:rPr>
          <w:rFonts w:hint="eastAsia"/>
          <w:sz w:val="30"/>
          <w:szCs w:val="30"/>
        </w:rPr>
      </w:pPr>
      <w:r>
        <w:rPr>
          <w:rFonts w:hint="eastAsia"/>
          <w:sz w:val="30"/>
          <w:szCs w:val="30"/>
        </w:rPr>
        <w:t>上诉人上海昌安汽车销售服务有限公司</w:t>
      </w:r>
      <w:r>
        <w:rPr>
          <w:rFonts w:hint="eastAsia"/>
          <w:sz w:val="30"/>
          <w:szCs w:val="30"/>
        </w:rPr>
        <w:t>(</w:t>
      </w:r>
      <w:r>
        <w:rPr>
          <w:rFonts w:hint="eastAsia"/>
          <w:sz w:val="30"/>
          <w:szCs w:val="30"/>
        </w:rPr>
        <w:t>以下简称昌安公司</w:t>
      </w:r>
      <w:r>
        <w:rPr>
          <w:rFonts w:hint="eastAsia"/>
          <w:sz w:val="30"/>
          <w:szCs w:val="30"/>
        </w:rPr>
        <w:t>)</w:t>
      </w:r>
      <w:r>
        <w:rPr>
          <w:rFonts w:hint="eastAsia"/>
          <w:sz w:val="30"/>
          <w:szCs w:val="30"/>
        </w:rPr>
        <w:t>因与被上诉人钱瑶损害公司利益责任纠纷一案，不服上海市宝山区人民法院</w:t>
      </w:r>
      <w:r>
        <w:rPr>
          <w:rFonts w:hint="eastAsia"/>
          <w:sz w:val="30"/>
          <w:szCs w:val="30"/>
        </w:rPr>
        <w:t>(2018)</w:t>
      </w:r>
      <w:r>
        <w:rPr>
          <w:rFonts w:hint="eastAsia"/>
          <w:sz w:val="30"/>
          <w:szCs w:val="30"/>
        </w:rPr>
        <w:t>沪</w:t>
      </w:r>
      <w:r>
        <w:rPr>
          <w:rFonts w:hint="eastAsia"/>
          <w:sz w:val="30"/>
          <w:szCs w:val="30"/>
        </w:rPr>
        <w:t>0113</w:t>
      </w:r>
      <w:r>
        <w:rPr>
          <w:rFonts w:hint="eastAsia"/>
          <w:sz w:val="30"/>
          <w:szCs w:val="30"/>
        </w:rPr>
        <w:t>民初</w:t>
      </w:r>
      <w:r>
        <w:rPr>
          <w:rFonts w:hint="eastAsia"/>
          <w:sz w:val="30"/>
          <w:szCs w:val="30"/>
        </w:rPr>
        <w:t>10133</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日立案后，依法组成合议庭进行了审理，本案现已审理终结。</w:t>
      </w:r>
    </w:p>
    <w:p w:rsidR="00000000" w:rsidRDefault="003F7B9D">
      <w:pPr>
        <w:spacing w:line="500" w:lineRule="atLeast"/>
        <w:ind w:firstLine="600"/>
        <w:divId w:val="1233081053"/>
        <w:rPr>
          <w:rFonts w:hint="eastAsia"/>
          <w:sz w:val="30"/>
          <w:szCs w:val="30"/>
        </w:rPr>
      </w:pPr>
      <w:r>
        <w:rPr>
          <w:rFonts w:hint="eastAsia"/>
          <w:sz w:val="30"/>
          <w:szCs w:val="30"/>
        </w:rPr>
        <w:t>上诉人昌安公司上诉请求：撤销上海市宝山区人民法院</w:t>
      </w:r>
      <w:r>
        <w:rPr>
          <w:rFonts w:hint="eastAsia"/>
          <w:sz w:val="30"/>
          <w:szCs w:val="30"/>
        </w:rPr>
        <w:t>(2018)</w:t>
      </w:r>
      <w:r>
        <w:rPr>
          <w:rFonts w:hint="eastAsia"/>
          <w:sz w:val="30"/>
          <w:szCs w:val="30"/>
        </w:rPr>
        <w:t>沪</w:t>
      </w:r>
      <w:r>
        <w:rPr>
          <w:rFonts w:hint="eastAsia"/>
          <w:sz w:val="30"/>
          <w:szCs w:val="30"/>
        </w:rPr>
        <w:t>0113</w:t>
      </w:r>
      <w:r>
        <w:rPr>
          <w:rFonts w:hint="eastAsia"/>
          <w:sz w:val="30"/>
          <w:szCs w:val="30"/>
        </w:rPr>
        <w:t>民初</w:t>
      </w:r>
      <w:r>
        <w:rPr>
          <w:rFonts w:hint="eastAsia"/>
          <w:sz w:val="30"/>
          <w:szCs w:val="30"/>
        </w:rPr>
        <w:t>10133</w:t>
      </w:r>
      <w:r>
        <w:rPr>
          <w:rFonts w:hint="eastAsia"/>
          <w:sz w:val="30"/>
          <w:szCs w:val="30"/>
        </w:rPr>
        <w:t>号民事判决，改判支持昌安公司的一审诉讼请求。事实及理由：一、一审判决认定昌安公司与钱瑶设立的上海亭卫汽车销售服务有限公司</w:t>
      </w:r>
      <w:r>
        <w:rPr>
          <w:rFonts w:hint="eastAsia"/>
          <w:sz w:val="30"/>
          <w:szCs w:val="30"/>
        </w:rPr>
        <w:t>(</w:t>
      </w:r>
      <w:r>
        <w:rPr>
          <w:rFonts w:hint="eastAsia"/>
          <w:sz w:val="30"/>
          <w:szCs w:val="30"/>
        </w:rPr>
        <w:t>以下简称亭卫公司</w:t>
      </w:r>
      <w:r>
        <w:rPr>
          <w:rFonts w:hint="eastAsia"/>
          <w:sz w:val="30"/>
          <w:szCs w:val="30"/>
        </w:rPr>
        <w:t>)</w:t>
      </w:r>
      <w:r>
        <w:rPr>
          <w:rFonts w:hint="eastAsia"/>
          <w:sz w:val="30"/>
          <w:szCs w:val="30"/>
        </w:rPr>
        <w:t>的主要业务基本不重合属于</w:t>
      </w:r>
      <w:r>
        <w:rPr>
          <w:rFonts w:hint="eastAsia"/>
          <w:sz w:val="30"/>
          <w:szCs w:val="30"/>
        </w:rPr>
        <w:t>认定事实不清。昌安公司与亭卫公司的经营范围高度重合。一审庭审中昌安公司、钱瑶均认可两家公司的主要业务同为销售长安公司的车辆。《中华人民共和国公司法》</w:t>
      </w:r>
      <w:r>
        <w:rPr>
          <w:rFonts w:hint="eastAsia"/>
          <w:sz w:val="30"/>
          <w:szCs w:val="30"/>
        </w:rPr>
        <w:t>(</w:t>
      </w:r>
      <w:r>
        <w:rPr>
          <w:rFonts w:hint="eastAsia"/>
          <w:sz w:val="30"/>
          <w:szCs w:val="30"/>
        </w:rPr>
        <w:t>以下简称《公司法》</w:t>
      </w:r>
      <w:r>
        <w:rPr>
          <w:rFonts w:hint="eastAsia"/>
          <w:sz w:val="30"/>
          <w:szCs w:val="30"/>
        </w:rPr>
        <w:t>)</w:t>
      </w:r>
      <w:r>
        <w:rPr>
          <w:rFonts w:hint="eastAsia"/>
          <w:sz w:val="30"/>
          <w:szCs w:val="30"/>
        </w:rPr>
        <w:t>和昌安公司《公司章程》都规定“董事、高管不得利用职务便利自用所任职公司同类业</w:t>
      </w:r>
      <w:r>
        <w:rPr>
          <w:rFonts w:hint="eastAsia"/>
          <w:sz w:val="30"/>
          <w:szCs w:val="30"/>
        </w:rPr>
        <w:lastRenderedPageBreak/>
        <w:t>务”，而非“主要业务”，故一审判决以“主要业务”替代“同类业务”显属适用法律错误。二、钱瑶提供的昌安公司《股东会决议》没有法律效力。《股东会决议》系钱瑶单方制作，并未依法通知昌安公司另一股东，决议上也无另一股东签字。一审法院以昌安公司不认可股东会决议但未提交任何证据</w:t>
      </w:r>
      <w:r>
        <w:rPr>
          <w:rFonts w:hint="eastAsia"/>
          <w:sz w:val="30"/>
          <w:szCs w:val="30"/>
        </w:rPr>
        <w:t>推翻为由，对股东会决议内容予以确认，属于认定事实不清。钱瑶未在举证期限届满前提交《股东会决议》，应承担举证不能的责任，一审不应采纳该证据。该《股东会决议》原件纸质崭新，昌安公司不认可其形成时间，要求进行鉴定，但一审法院不予接受。三、一审法院对昌安公司要求向重庆长安汽车股份有限公司</w:t>
      </w:r>
      <w:r>
        <w:rPr>
          <w:rFonts w:hint="eastAsia"/>
          <w:sz w:val="30"/>
          <w:szCs w:val="30"/>
        </w:rPr>
        <w:t>(</w:t>
      </w:r>
      <w:r>
        <w:rPr>
          <w:rFonts w:hint="eastAsia"/>
          <w:sz w:val="30"/>
          <w:szCs w:val="30"/>
        </w:rPr>
        <w:t>以下简称长安公司</w:t>
      </w:r>
      <w:r>
        <w:rPr>
          <w:rFonts w:hint="eastAsia"/>
          <w:sz w:val="30"/>
          <w:szCs w:val="30"/>
        </w:rPr>
        <w:t>)</w:t>
      </w:r>
      <w:r>
        <w:rPr>
          <w:rFonts w:hint="eastAsia"/>
          <w:sz w:val="30"/>
          <w:szCs w:val="30"/>
        </w:rPr>
        <w:t>进行调查的申请不予准许，又以昌安公司举证不能为由认定钱瑶未在亭卫公司处获利，自相矛盾。公司和小股东难以控制大股东行为是不争事实，钱瑶作为昌安公司大股东另设亭卫公司，昌安公司无法直接知晓亭卫公司获利情况，昌安公司只</w:t>
      </w:r>
      <w:r>
        <w:rPr>
          <w:rFonts w:hint="eastAsia"/>
          <w:sz w:val="30"/>
          <w:szCs w:val="30"/>
        </w:rPr>
        <w:t>能申请向亭卫公司的唯一供应商长安公司调查取证。亭卫公司系钱瑶设立的一人公司，故只要有证据证明亭卫公司获利，即不再需要证明钱瑶是否在亭卫公司处获利。四、一审严重违反审限，程序违法。本案案情并不复杂，但审限长达</w:t>
      </w:r>
      <w:r>
        <w:rPr>
          <w:rFonts w:hint="eastAsia"/>
          <w:sz w:val="30"/>
          <w:szCs w:val="30"/>
        </w:rPr>
        <w:t>14</w:t>
      </w:r>
      <w:r>
        <w:rPr>
          <w:rFonts w:hint="eastAsia"/>
          <w:sz w:val="30"/>
          <w:szCs w:val="30"/>
        </w:rPr>
        <w:t>个月，虽超审限对案件判决的实质影响不大，但昌安公司获知亭卫公司在诉讼后已逐渐停止经营，昌安公司即便胜诉也可能面临执行不能。</w:t>
      </w:r>
    </w:p>
    <w:p w:rsidR="00000000" w:rsidRDefault="003F7B9D">
      <w:pPr>
        <w:spacing w:line="500" w:lineRule="atLeast"/>
        <w:ind w:firstLine="600"/>
        <w:divId w:val="317802704"/>
        <w:rPr>
          <w:rFonts w:hint="eastAsia"/>
          <w:sz w:val="30"/>
          <w:szCs w:val="30"/>
        </w:rPr>
      </w:pPr>
      <w:r>
        <w:rPr>
          <w:rFonts w:hint="eastAsia"/>
          <w:sz w:val="30"/>
          <w:szCs w:val="30"/>
        </w:rPr>
        <w:t>被上诉人钱瑶辩称：一、昌安公司与亭卫公司并未经营同类业务。钱瑶是基于长安公司建立</w:t>
      </w:r>
      <w:r>
        <w:rPr>
          <w:rFonts w:hint="eastAsia"/>
          <w:sz w:val="30"/>
          <w:szCs w:val="30"/>
        </w:rPr>
        <w:t>B</w:t>
      </w:r>
      <w:r>
        <w:rPr>
          <w:rFonts w:hint="eastAsia"/>
          <w:sz w:val="30"/>
          <w:szCs w:val="30"/>
        </w:rPr>
        <w:t>网销售的要求才设立亭卫公司，亭卫公司所销售的车型与昌安公司不同，故两家公司不能认定为经营同类业务</w:t>
      </w:r>
      <w:r>
        <w:rPr>
          <w:rFonts w:hint="eastAsia"/>
          <w:sz w:val="30"/>
          <w:szCs w:val="30"/>
        </w:rPr>
        <w:t>。二、钱瑶设立亭卫公司经过昌安公司股东会同意。钱瑶提供的涉案股东会决议系其本人亲自签字，真实合法。该决议能够证明钱瑶设立亭卫公司行为未违反《公</w:t>
      </w:r>
      <w:r>
        <w:rPr>
          <w:rFonts w:hint="eastAsia"/>
          <w:sz w:val="30"/>
          <w:szCs w:val="30"/>
        </w:rPr>
        <w:lastRenderedPageBreak/>
        <w:t>司法》关于忠实义务的规定。三、无论是否对长安公司进行调查，亭卫公司本身就是亏损状态，钱瑶未从亭卫公司取得收入，也不存在向昌安公司返还的问题。</w:t>
      </w:r>
    </w:p>
    <w:p w:rsidR="00000000" w:rsidRDefault="003F7B9D">
      <w:pPr>
        <w:spacing w:line="500" w:lineRule="atLeast"/>
        <w:ind w:firstLine="600"/>
        <w:divId w:val="2085562984"/>
        <w:rPr>
          <w:rFonts w:hint="eastAsia"/>
          <w:sz w:val="30"/>
          <w:szCs w:val="30"/>
        </w:rPr>
      </w:pPr>
      <w:r>
        <w:rPr>
          <w:rFonts w:hint="eastAsia"/>
          <w:sz w:val="30"/>
          <w:szCs w:val="30"/>
        </w:rPr>
        <w:t>上诉人昌安公司向一审法院起诉请求：</w:t>
      </w:r>
      <w:r>
        <w:rPr>
          <w:rFonts w:hint="eastAsia"/>
          <w:sz w:val="30"/>
          <w:szCs w:val="30"/>
        </w:rPr>
        <w:t>1</w:t>
      </w:r>
      <w:r>
        <w:rPr>
          <w:rFonts w:hint="eastAsia"/>
          <w:sz w:val="30"/>
          <w:szCs w:val="30"/>
        </w:rPr>
        <w:t>、钱瑶停止投资经营亭卫公司；</w:t>
      </w:r>
      <w:r>
        <w:rPr>
          <w:rFonts w:hint="eastAsia"/>
          <w:sz w:val="30"/>
          <w:szCs w:val="30"/>
        </w:rPr>
        <w:t>2</w:t>
      </w:r>
      <w:r>
        <w:rPr>
          <w:rFonts w:hint="eastAsia"/>
          <w:sz w:val="30"/>
          <w:szCs w:val="30"/>
        </w:rPr>
        <w:t>、钱瑶因投资经营亭卫公司获取的收入暂计人民币</w:t>
      </w:r>
      <w:r>
        <w:rPr>
          <w:rFonts w:hint="eastAsia"/>
          <w:sz w:val="30"/>
          <w:szCs w:val="30"/>
        </w:rPr>
        <w:t>1</w:t>
      </w:r>
      <w:r>
        <w:rPr>
          <w:rFonts w:hint="eastAsia"/>
          <w:sz w:val="30"/>
          <w:szCs w:val="30"/>
        </w:rPr>
        <w:t>万元归昌安公司所有。</w:t>
      </w:r>
    </w:p>
    <w:p w:rsidR="00000000" w:rsidRDefault="003F7B9D">
      <w:pPr>
        <w:spacing w:line="500" w:lineRule="atLeast"/>
        <w:ind w:firstLine="600"/>
        <w:divId w:val="1533421175"/>
        <w:rPr>
          <w:rFonts w:hint="eastAsia"/>
          <w:sz w:val="30"/>
          <w:szCs w:val="30"/>
        </w:rPr>
      </w:pPr>
      <w:r>
        <w:rPr>
          <w:rFonts w:hint="eastAsia"/>
          <w:sz w:val="30"/>
          <w:szCs w:val="30"/>
        </w:rPr>
        <w:t>一审法院认定事实：昌安公司成立于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日，公司注册资本为</w:t>
      </w:r>
      <w:r>
        <w:rPr>
          <w:rFonts w:hint="eastAsia"/>
          <w:sz w:val="30"/>
          <w:szCs w:val="30"/>
        </w:rPr>
        <w:t>500</w:t>
      </w:r>
      <w:r>
        <w:rPr>
          <w:rFonts w:hint="eastAsia"/>
          <w:sz w:val="30"/>
          <w:szCs w:val="30"/>
        </w:rPr>
        <w:t>万元，昌安公司股东及其</w:t>
      </w:r>
      <w:r>
        <w:rPr>
          <w:rFonts w:hint="eastAsia"/>
          <w:sz w:val="30"/>
          <w:szCs w:val="30"/>
        </w:rPr>
        <w:t>出资额分别为：钱瑶出资</w:t>
      </w:r>
      <w:r>
        <w:rPr>
          <w:rFonts w:hint="eastAsia"/>
          <w:sz w:val="30"/>
          <w:szCs w:val="30"/>
        </w:rPr>
        <w:t>450</w:t>
      </w:r>
      <w:r>
        <w:rPr>
          <w:rFonts w:hint="eastAsia"/>
          <w:sz w:val="30"/>
          <w:szCs w:val="30"/>
        </w:rPr>
        <w:t>万元、黄豪杰出资</w:t>
      </w:r>
      <w:r>
        <w:rPr>
          <w:rFonts w:hint="eastAsia"/>
          <w:sz w:val="30"/>
          <w:szCs w:val="30"/>
        </w:rPr>
        <w:t>50</w:t>
      </w:r>
      <w:r>
        <w:rPr>
          <w:rFonts w:hint="eastAsia"/>
          <w:sz w:val="30"/>
          <w:szCs w:val="30"/>
        </w:rPr>
        <w:t>万元。钱瑶担任昌安公司的法定代表人及执行董事。昌安公司的经营范围为：商用车及九座以上乘用车、汽车配件、电子产品、长安轿车品牌汽车、二手车销售；汽车租赁；机动车辆保险；二类机动车维修</w:t>
      </w:r>
      <w:r>
        <w:rPr>
          <w:rFonts w:hint="eastAsia"/>
          <w:sz w:val="30"/>
          <w:szCs w:val="30"/>
        </w:rPr>
        <w:t>(</w:t>
      </w:r>
      <w:r>
        <w:rPr>
          <w:rFonts w:hint="eastAsia"/>
          <w:sz w:val="30"/>
          <w:szCs w:val="30"/>
        </w:rPr>
        <w:t>小型车辆维修</w:t>
      </w:r>
      <w:r>
        <w:rPr>
          <w:rFonts w:hint="eastAsia"/>
          <w:sz w:val="30"/>
          <w:szCs w:val="30"/>
        </w:rPr>
        <w:t>)</w:t>
      </w:r>
      <w:r>
        <w:rPr>
          <w:rFonts w:hint="eastAsia"/>
          <w:sz w:val="30"/>
          <w:szCs w:val="30"/>
        </w:rPr>
        <w:t>。昌安公司章程第四十一条规定，执行董事、高级管理人员不得有下列行为：……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w:t>
      </w:r>
    </w:p>
    <w:p w:rsidR="00000000" w:rsidRDefault="003F7B9D">
      <w:pPr>
        <w:spacing w:line="500" w:lineRule="atLeast"/>
        <w:ind w:firstLine="600"/>
        <w:divId w:val="1236668383"/>
        <w:rPr>
          <w:rFonts w:hint="eastAsia"/>
          <w:sz w:val="30"/>
          <w:szCs w:val="30"/>
        </w:rPr>
      </w:pPr>
      <w:r>
        <w:rPr>
          <w:rFonts w:hint="eastAsia"/>
          <w:sz w:val="30"/>
          <w:szCs w:val="30"/>
        </w:rPr>
        <w:t>亭卫公司成立于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日，公司类型为一人有限责任公司</w:t>
      </w:r>
      <w:r>
        <w:rPr>
          <w:rFonts w:hint="eastAsia"/>
          <w:sz w:val="30"/>
          <w:szCs w:val="30"/>
        </w:rPr>
        <w:t>(</w:t>
      </w:r>
      <w:r>
        <w:rPr>
          <w:rFonts w:hint="eastAsia"/>
          <w:sz w:val="30"/>
          <w:szCs w:val="30"/>
        </w:rPr>
        <w:t>自然人独资</w:t>
      </w:r>
      <w:r>
        <w:rPr>
          <w:rFonts w:hint="eastAsia"/>
          <w:sz w:val="30"/>
          <w:szCs w:val="30"/>
        </w:rPr>
        <w:t>)</w:t>
      </w:r>
      <w:r>
        <w:rPr>
          <w:rFonts w:hint="eastAsia"/>
          <w:sz w:val="30"/>
          <w:szCs w:val="30"/>
        </w:rPr>
        <w:t>，法</w:t>
      </w:r>
      <w:r>
        <w:rPr>
          <w:rFonts w:hint="eastAsia"/>
          <w:sz w:val="30"/>
          <w:szCs w:val="30"/>
        </w:rPr>
        <w:t>定代表人及股东均为钱瑶。亭卫公司的经营范围为：汽车、汽车配件、电子产品销售，自有汽车租赁、二类机动车维修</w:t>
      </w:r>
      <w:r>
        <w:rPr>
          <w:rFonts w:hint="eastAsia"/>
          <w:sz w:val="30"/>
          <w:szCs w:val="30"/>
        </w:rPr>
        <w:t>(</w:t>
      </w:r>
      <w:r>
        <w:rPr>
          <w:rFonts w:hint="eastAsia"/>
          <w:sz w:val="30"/>
          <w:szCs w:val="30"/>
        </w:rPr>
        <w:t>小型车辆维修</w:t>
      </w:r>
      <w:r>
        <w:rPr>
          <w:rFonts w:hint="eastAsia"/>
          <w:sz w:val="30"/>
          <w:szCs w:val="30"/>
        </w:rPr>
        <w:t>)</w:t>
      </w:r>
      <w:r>
        <w:rPr>
          <w:rFonts w:hint="eastAsia"/>
          <w:sz w:val="30"/>
          <w:szCs w:val="30"/>
        </w:rPr>
        <w:t>。</w:t>
      </w:r>
    </w:p>
    <w:p w:rsidR="00000000" w:rsidRDefault="003F7B9D">
      <w:pPr>
        <w:spacing w:line="500" w:lineRule="atLeast"/>
        <w:ind w:firstLine="600"/>
        <w:divId w:val="2014524537"/>
        <w:rPr>
          <w:rFonts w:hint="eastAsia"/>
          <w:sz w:val="30"/>
          <w:szCs w:val="30"/>
        </w:rPr>
      </w:pPr>
      <w:r>
        <w:rPr>
          <w:rFonts w:hint="eastAsia"/>
          <w:sz w:val="30"/>
          <w:szCs w:val="30"/>
        </w:rPr>
        <w:t>审理中，昌安公司和钱瑶均认可，昌安公司与亭卫公司的主要业务均为销售长安公司的车辆。钱瑶提交了长安公司出具的《通知》两份、《证明》一份。钱瑶主张上述材料能够证明钱瑶是根据长安公司要求建立</w:t>
      </w:r>
      <w:r>
        <w:rPr>
          <w:rFonts w:hint="eastAsia"/>
          <w:sz w:val="30"/>
          <w:szCs w:val="30"/>
        </w:rPr>
        <w:t>B</w:t>
      </w:r>
      <w:r>
        <w:rPr>
          <w:rFonts w:hint="eastAsia"/>
          <w:sz w:val="30"/>
          <w:szCs w:val="30"/>
        </w:rPr>
        <w:t>销售网络而设立亭卫公司的，且亭卫公司的</w:t>
      </w:r>
      <w:r>
        <w:rPr>
          <w:rFonts w:hint="eastAsia"/>
          <w:sz w:val="30"/>
          <w:szCs w:val="30"/>
        </w:rPr>
        <w:t>B</w:t>
      </w:r>
      <w:r>
        <w:rPr>
          <w:rFonts w:hint="eastAsia"/>
          <w:sz w:val="30"/>
          <w:szCs w:val="30"/>
        </w:rPr>
        <w:t>销售网络所销售车型与昌安公司销售的</w:t>
      </w:r>
      <w:r>
        <w:rPr>
          <w:rFonts w:hint="eastAsia"/>
          <w:sz w:val="30"/>
          <w:szCs w:val="30"/>
        </w:rPr>
        <w:t>A</w:t>
      </w:r>
      <w:r>
        <w:rPr>
          <w:rFonts w:hint="eastAsia"/>
          <w:sz w:val="30"/>
          <w:szCs w:val="30"/>
        </w:rPr>
        <w:t>销售网络的车型不同。其中</w:t>
      </w:r>
      <w:r>
        <w:rPr>
          <w:rFonts w:hint="eastAsia"/>
          <w:sz w:val="30"/>
          <w:szCs w:val="30"/>
        </w:rPr>
        <w:t>A</w:t>
      </w:r>
      <w:r>
        <w:rPr>
          <w:rFonts w:hint="eastAsia"/>
          <w:sz w:val="30"/>
          <w:szCs w:val="30"/>
        </w:rPr>
        <w:t>、</w:t>
      </w:r>
      <w:r>
        <w:rPr>
          <w:rFonts w:hint="eastAsia"/>
          <w:sz w:val="30"/>
          <w:szCs w:val="30"/>
        </w:rPr>
        <w:t>B</w:t>
      </w:r>
      <w:r>
        <w:rPr>
          <w:rFonts w:hint="eastAsia"/>
          <w:sz w:val="30"/>
          <w:szCs w:val="30"/>
        </w:rPr>
        <w:t>网络均销售的睿骋车型所销售的数量是长安公司各自分派，销售数量并未重合。昌安公司对上述材料形式上的</w:t>
      </w:r>
      <w:r>
        <w:rPr>
          <w:rFonts w:hint="eastAsia"/>
          <w:sz w:val="30"/>
          <w:szCs w:val="30"/>
        </w:rPr>
        <w:t>真实性没有异议，但认为长安公司要求昌安公司开设分公司进行</w:t>
      </w:r>
      <w:r>
        <w:rPr>
          <w:rFonts w:hint="eastAsia"/>
          <w:sz w:val="30"/>
          <w:szCs w:val="30"/>
        </w:rPr>
        <w:t>A</w:t>
      </w:r>
      <w:r>
        <w:rPr>
          <w:rFonts w:hint="eastAsia"/>
          <w:sz w:val="30"/>
          <w:szCs w:val="30"/>
        </w:rPr>
        <w:t>、</w:t>
      </w:r>
      <w:r>
        <w:rPr>
          <w:rFonts w:hint="eastAsia"/>
          <w:sz w:val="30"/>
          <w:szCs w:val="30"/>
        </w:rPr>
        <w:t>B</w:t>
      </w:r>
      <w:r>
        <w:rPr>
          <w:rFonts w:hint="eastAsia"/>
          <w:sz w:val="30"/>
          <w:szCs w:val="30"/>
        </w:rPr>
        <w:t>网络销售，而不是另外设立独立的法人。</w:t>
      </w:r>
    </w:p>
    <w:p w:rsidR="00000000" w:rsidRDefault="003F7B9D">
      <w:pPr>
        <w:spacing w:line="500" w:lineRule="atLeast"/>
        <w:ind w:firstLine="600"/>
        <w:divId w:val="371459802"/>
        <w:rPr>
          <w:rFonts w:hint="eastAsia"/>
          <w:sz w:val="30"/>
          <w:szCs w:val="30"/>
        </w:rPr>
      </w:pPr>
      <w:r>
        <w:rPr>
          <w:rFonts w:hint="eastAsia"/>
          <w:sz w:val="30"/>
          <w:szCs w:val="30"/>
        </w:rPr>
        <w:t>钱瑶提交了</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日的昌安公司股东会决议一份。钱瑶认为上述股东会决议能够证明钱瑶作为昌安公司的</w:t>
      </w:r>
      <w:r>
        <w:rPr>
          <w:rFonts w:hint="eastAsia"/>
          <w:sz w:val="30"/>
          <w:szCs w:val="30"/>
        </w:rPr>
        <w:t>90%</w:t>
      </w:r>
      <w:r>
        <w:rPr>
          <w:rFonts w:hint="eastAsia"/>
          <w:sz w:val="30"/>
          <w:szCs w:val="30"/>
        </w:rPr>
        <w:t>股东作出的股东会决议成立亭卫公司。昌安公司认为上述股东会决议不像是</w:t>
      </w:r>
      <w:r>
        <w:rPr>
          <w:rFonts w:hint="eastAsia"/>
          <w:sz w:val="30"/>
          <w:szCs w:val="30"/>
        </w:rPr>
        <w:t>2014</w:t>
      </w:r>
      <w:r>
        <w:rPr>
          <w:rFonts w:hint="eastAsia"/>
          <w:sz w:val="30"/>
          <w:szCs w:val="30"/>
        </w:rPr>
        <w:t>年形成的。关于股东会，钱瑶并没有尽到会议通知的义务，昌安公司的另一股东黄豪杰也没有在股东会决议上签过任何字，对于股东会决议的证明内容不予认可。</w:t>
      </w:r>
    </w:p>
    <w:p w:rsidR="00000000" w:rsidRDefault="003F7B9D">
      <w:pPr>
        <w:spacing w:line="500" w:lineRule="atLeast"/>
        <w:ind w:firstLine="600"/>
        <w:divId w:val="1911229763"/>
        <w:rPr>
          <w:rFonts w:hint="eastAsia"/>
          <w:sz w:val="30"/>
          <w:szCs w:val="30"/>
        </w:rPr>
      </w:pPr>
      <w:r>
        <w:rPr>
          <w:rFonts w:hint="eastAsia"/>
          <w:sz w:val="30"/>
          <w:szCs w:val="30"/>
        </w:rPr>
        <w:t>昌安公司提交了</w:t>
      </w:r>
      <w:r>
        <w:rPr>
          <w:rFonts w:hint="eastAsia"/>
          <w:sz w:val="30"/>
          <w:szCs w:val="30"/>
        </w:rPr>
        <w:t>2016</w:t>
      </w:r>
      <w:r>
        <w:rPr>
          <w:rFonts w:hint="eastAsia"/>
          <w:sz w:val="30"/>
          <w:szCs w:val="30"/>
        </w:rPr>
        <w:t>年度及</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月到</w:t>
      </w:r>
      <w:r>
        <w:rPr>
          <w:rFonts w:hint="eastAsia"/>
          <w:sz w:val="30"/>
          <w:szCs w:val="30"/>
        </w:rPr>
        <w:t>9</w:t>
      </w:r>
      <w:r>
        <w:rPr>
          <w:rFonts w:hint="eastAsia"/>
          <w:sz w:val="30"/>
          <w:szCs w:val="30"/>
        </w:rPr>
        <w:t>月的财务报表及审计报告，拟证明昌安公司</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月到</w:t>
      </w:r>
      <w:r>
        <w:rPr>
          <w:rFonts w:hint="eastAsia"/>
          <w:sz w:val="30"/>
          <w:szCs w:val="30"/>
        </w:rPr>
        <w:t>9</w:t>
      </w:r>
      <w:r>
        <w:rPr>
          <w:rFonts w:hint="eastAsia"/>
          <w:sz w:val="30"/>
          <w:szCs w:val="30"/>
        </w:rPr>
        <w:t>月期间经营利润严重下滑。钱瑶对上述证据的真实性无异议，但认为不能证明钱瑶设立亭卫公司侵害了昌安公司的合法权益，导致昌安公司业绩下滑，两者没有因果关系。</w:t>
      </w:r>
    </w:p>
    <w:p w:rsidR="00000000" w:rsidRDefault="003F7B9D">
      <w:pPr>
        <w:spacing w:line="500" w:lineRule="atLeast"/>
        <w:ind w:firstLine="600"/>
        <w:divId w:val="1579484129"/>
        <w:rPr>
          <w:rFonts w:hint="eastAsia"/>
          <w:sz w:val="30"/>
          <w:szCs w:val="30"/>
        </w:rPr>
      </w:pPr>
      <w:r>
        <w:rPr>
          <w:rFonts w:hint="eastAsia"/>
          <w:sz w:val="30"/>
          <w:szCs w:val="30"/>
        </w:rPr>
        <w:t>以上事实，由昌安公司提交的昌安公司工商登记信息、公司章程、亭卫公司工商登记信息、昌安公司财务报表及审计报告；钱瑶提交的</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日股东会决议、长安公司《通知》《证明》等书面证据，以及双方的相关陈述予以证实。</w:t>
      </w:r>
    </w:p>
    <w:p w:rsidR="00000000" w:rsidRDefault="003F7B9D">
      <w:pPr>
        <w:spacing w:line="500" w:lineRule="atLeast"/>
        <w:ind w:firstLine="600"/>
        <w:divId w:val="1362124339"/>
        <w:rPr>
          <w:rFonts w:hint="eastAsia"/>
          <w:sz w:val="30"/>
          <w:szCs w:val="30"/>
        </w:rPr>
      </w:pPr>
      <w:r>
        <w:rPr>
          <w:rFonts w:hint="eastAsia"/>
          <w:sz w:val="30"/>
          <w:szCs w:val="30"/>
        </w:rPr>
        <w:t>一审法院认为，按照法律规定，公司董事、高级管理人员对公司负有忠实和勤勉义务，违反忠实义务的行为应当予以禁止，给公司造成损失的，</w:t>
      </w:r>
      <w:r>
        <w:rPr>
          <w:rFonts w:hint="eastAsia"/>
          <w:sz w:val="30"/>
          <w:szCs w:val="30"/>
        </w:rPr>
        <w:t>应当承担相应的赔偿责任。本案中，钱瑶作为昌安公司的董事长，应属竞业禁止的义务主体，对昌安公司负有忠实义务。但钱瑶设立亭卫公司的行为并未违反竞业禁止及忠实的义务，理由如下：</w:t>
      </w:r>
    </w:p>
    <w:p w:rsidR="00000000" w:rsidRDefault="003F7B9D">
      <w:pPr>
        <w:spacing w:line="500" w:lineRule="atLeast"/>
        <w:ind w:firstLine="600"/>
        <w:divId w:val="2045016815"/>
        <w:rPr>
          <w:rFonts w:hint="eastAsia"/>
          <w:sz w:val="30"/>
          <w:szCs w:val="30"/>
        </w:rPr>
      </w:pPr>
      <w:r>
        <w:rPr>
          <w:rFonts w:hint="eastAsia"/>
          <w:sz w:val="30"/>
          <w:szCs w:val="30"/>
        </w:rPr>
        <w:t>首先，昌安公司与亭卫公司的主要业务基本不重合。双方当事人均认可昌安公司与亭卫公司的主要业务均为销售长安公司的车辆。但亭卫公司与昌安公司所销售的车型基本不符，故亭卫公司与昌安公司的主要业务基本不重合。</w:t>
      </w:r>
    </w:p>
    <w:p w:rsidR="00000000" w:rsidRDefault="003F7B9D">
      <w:pPr>
        <w:spacing w:line="500" w:lineRule="atLeast"/>
        <w:ind w:firstLine="600"/>
        <w:divId w:val="1395396630"/>
        <w:rPr>
          <w:rFonts w:hint="eastAsia"/>
          <w:sz w:val="30"/>
          <w:szCs w:val="30"/>
        </w:rPr>
      </w:pPr>
      <w:r>
        <w:rPr>
          <w:rFonts w:hint="eastAsia"/>
          <w:sz w:val="30"/>
          <w:szCs w:val="30"/>
        </w:rPr>
        <w:t>其次，钱瑶是经昌安公司股东会同意而设立的亭卫公司。昌安公司虽然不认可钱瑶提交的股东会决议，但对此并未提交任何证据推翻该股东会决议，故对于钱瑶</w:t>
      </w:r>
      <w:r>
        <w:rPr>
          <w:rFonts w:hint="eastAsia"/>
          <w:sz w:val="30"/>
          <w:szCs w:val="30"/>
        </w:rPr>
        <w:t>的上述股东会决议的证明内容予以确认，即钱瑶是经昌安公司股东会同意而设立了亭卫公司。</w:t>
      </w:r>
    </w:p>
    <w:p w:rsidR="00000000" w:rsidRDefault="003F7B9D">
      <w:pPr>
        <w:spacing w:line="500" w:lineRule="atLeast"/>
        <w:ind w:firstLine="600"/>
        <w:divId w:val="637031478"/>
        <w:rPr>
          <w:rFonts w:hint="eastAsia"/>
          <w:sz w:val="30"/>
          <w:szCs w:val="30"/>
        </w:rPr>
      </w:pPr>
      <w:r>
        <w:rPr>
          <w:rFonts w:hint="eastAsia"/>
          <w:sz w:val="30"/>
          <w:szCs w:val="30"/>
        </w:rPr>
        <w:t>退一步而言，即使钱瑶设立亭卫公司的行为违反了竞业禁止及忠实义务，对此，昌安公司可同时行使公司归入权与损害赔偿请求权。就归入权而言，按照公司法规定，董事违反竞业禁止义务所取得的收入应当归公司所有。因而该项请求是否成立首先应当考量钱瑶在亭卫公司处是否获利之事实。目前，昌安公司未提交任何证据证明钱瑶在亭卫公司处所获得利益的情况，故昌安公司主张的归入权基础事实不充分，法院对此难以认定。就损害赔偿请求权而言，《公司法》也明确规定，董事</w:t>
      </w:r>
      <w:r>
        <w:rPr>
          <w:rFonts w:hint="eastAsia"/>
          <w:sz w:val="30"/>
          <w:szCs w:val="30"/>
        </w:rPr>
        <w:t>等高级管理人员执行公司职务时违反法律、行政法规或者公司章程的规定，给公司造成损失的，应当承担赔偿责任。昌安公司对此虽提交了财务报表及审计报告拟证明其经营利润下滑，但并未提交证据证明上述利润下滑与钱瑶设立亭卫公司之间存在关联性，故昌安公司主张实际损失的基础事实亦不能成立。</w:t>
      </w:r>
    </w:p>
    <w:p w:rsidR="00000000" w:rsidRDefault="003F7B9D">
      <w:pPr>
        <w:spacing w:line="500" w:lineRule="atLeast"/>
        <w:ind w:firstLine="600"/>
        <w:divId w:val="1052731216"/>
        <w:rPr>
          <w:rFonts w:hint="eastAsia"/>
          <w:sz w:val="30"/>
          <w:szCs w:val="30"/>
        </w:rPr>
      </w:pPr>
      <w:r>
        <w:rPr>
          <w:rFonts w:hint="eastAsia"/>
          <w:sz w:val="30"/>
          <w:szCs w:val="30"/>
        </w:rPr>
        <w:t>据此，一审法院依据《公司法》第一百四十八条第一款第五项、第二款、第一百四十九条及《中华人民共和国民事诉讼法》第一百四十二条、《最高人民法院关于适用〈中华人民共和国民事诉讼法〉的解释》第九十条之规定，判决：对昌安公司的诉讼请求不予支持。</w:t>
      </w:r>
    </w:p>
    <w:p w:rsidR="00000000" w:rsidRDefault="003F7B9D">
      <w:pPr>
        <w:spacing w:line="500" w:lineRule="atLeast"/>
        <w:ind w:firstLine="600"/>
        <w:divId w:val="2122795687"/>
        <w:rPr>
          <w:rFonts w:hint="eastAsia"/>
          <w:sz w:val="30"/>
          <w:szCs w:val="30"/>
        </w:rPr>
      </w:pPr>
      <w:r>
        <w:rPr>
          <w:rFonts w:hint="eastAsia"/>
          <w:sz w:val="30"/>
          <w:szCs w:val="30"/>
        </w:rPr>
        <w:t>本院</w:t>
      </w:r>
      <w:r>
        <w:rPr>
          <w:rFonts w:hint="eastAsia"/>
          <w:sz w:val="30"/>
          <w:szCs w:val="30"/>
        </w:rPr>
        <w:t>二审期间，当事人围绕上诉请求依法提交了证据。本院组织当事人进行了证据交换和质证。钱瑶为证明其主张，向本院提交了亭卫公司</w:t>
      </w:r>
      <w:r>
        <w:rPr>
          <w:rFonts w:hint="eastAsia"/>
          <w:sz w:val="30"/>
          <w:szCs w:val="30"/>
        </w:rPr>
        <w:t>2018</w:t>
      </w:r>
      <w:r>
        <w:rPr>
          <w:rFonts w:hint="eastAsia"/>
          <w:sz w:val="30"/>
          <w:szCs w:val="30"/>
        </w:rPr>
        <w:t>年度财务报表、审计报告，亭卫公司章程及</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日的股东会决议，旨在证明亭卫公司处于亏损状况以及钱瑶已将亭卫公司股权转让给案外人钱石和钱玉林。经质证，昌安公司认为因缺乏财务账簿和财务凭证，无法确认亭卫公司</w:t>
      </w:r>
      <w:r>
        <w:rPr>
          <w:rFonts w:hint="eastAsia"/>
          <w:sz w:val="30"/>
          <w:szCs w:val="30"/>
        </w:rPr>
        <w:t>2018</w:t>
      </w:r>
      <w:r>
        <w:rPr>
          <w:rFonts w:hint="eastAsia"/>
          <w:sz w:val="30"/>
          <w:szCs w:val="30"/>
        </w:rPr>
        <w:t>年度财务报表及审计报告的真实性及合法性，且该证据无法证明</w:t>
      </w:r>
      <w:r>
        <w:rPr>
          <w:rFonts w:hint="eastAsia"/>
          <w:sz w:val="30"/>
          <w:szCs w:val="30"/>
        </w:rPr>
        <w:t>2018</w:t>
      </w:r>
      <w:r>
        <w:rPr>
          <w:rFonts w:hint="eastAsia"/>
          <w:sz w:val="30"/>
          <w:szCs w:val="30"/>
        </w:rPr>
        <w:t>年前亭卫公司的财产处理情况。亭卫公司经营状况一直良好，该证据所证事实与实际情况不符。昌安公司对亭卫公司章</w:t>
      </w:r>
      <w:r>
        <w:rPr>
          <w:rFonts w:hint="eastAsia"/>
          <w:sz w:val="30"/>
          <w:szCs w:val="30"/>
        </w:rPr>
        <w:t>程及</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日股东会决议的合法性与真实性无异议，但认为与昌安公司行使归入权无关联性。</w:t>
      </w:r>
    </w:p>
    <w:p w:rsidR="00000000" w:rsidRDefault="003F7B9D">
      <w:pPr>
        <w:spacing w:line="500" w:lineRule="atLeast"/>
        <w:ind w:firstLine="600"/>
        <w:divId w:val="37708873"/>
        <w:rPr>
          <w:rFonts w:hint="eastAsia"/>
          <w:sz w:val="30"/>
          <w:szCs w:val="30"/>
        </w:rPr>
      </w:pPr>
      <w:r>
        <w:rPr>
          <w:rFonts w:hint="eastAsia"/>
          <w:sz w:val="30"/>
          <w:szCs w:val="30"/>
        </w:rPr>
        <w:t>本院对一审法院查明的法律事实无误，本院予以确认。</w:t>
      </w:r>
    </w:p>
    <w:p w:rsidR="00000000" w:rsidRDefault="003F7B9D">
      <w:pPr>
        <w:spacing w:line="500" w:lineRule="atLeast"/>
        <w:ind w:firstLine="600"/>
        <w:divId w:val="2052341278"/>
        <w:rPr>
          <w:rFonts w:hint="eastAsia"/>
          <w:sz w:val="30"/>
          <w:szCs w:val="30"/>
        </w:rPr>
      </w:pPr>
      <w:r>
        <w:rPr>
          <w:rFonts w:hint="eastAsia"/>
          <w:sz w:val="30"/>
          <w:szCs w:val="30"/>
        </w:rPr>
        <w:t>本院另查明，上海鼎邦会计师事务所</w:t>
      </w:r>
      <w:r>
        <w:rPr>
          <w:rFonts w:hint="eastAsia"/>
          <w:sz w:val="30"/>
          <w:szCs w:val="30"/>
        </w:rPr>
        <w:t>(</w:t>
      </w:r>
      <w:r>
        <w:rPr>
          <w:rFonts w:hint="eastAsia"/>
          <w:sz w:val="30"/>
          <w:szCs w:val="30"/>
        </w:rPr>
        <w:t>普通合伙</w:t>
      </w:r>
      <w:r>
        <w:rPr>
          <w:rFonts w:hint="eastAsia"/>
          <w:sz w:val="30"/>
          <w:szCs w:val="30"/>
        </w:rPr>
        <w:t>)</w:t>
      </w:r>
      <w:r>
        <w:rPr>
          <w:rFonts w:hint="eastAsia"/>
          <w:sz w:val="30"/>
          <w:szCs w:val="30"/>
        </w:rPr>
        <w:t>出具的亭卫公司</w:t>
      </w:r>
      <w:r>
        <w:rPr>
          <w:rFonts w:hint="eastAsia"/>
          <w:sz w:val="30"/>
          <w:szCs w:val="30"/>
        </w:rPr>
        <w:t>2018</w:t>
      </w:r>
      <w:r>
        <w:rPr>
          <w:rFonts w:hint="eastAsia"/>
          <w:sz w:val="30"/>
          <w:szCs w:val="30"/>
        </w:rPr>
        <w:t>年度财务报表及审计报告显示，亭卫公司</w:t>
      </w:r>
      <w:r>
        <w:rPr>
          <w:rFonts w:hint="eastAsia"/>
          <w:sz w:val="30"/>
          <w:szCs w:val="30"/>
        </w:rPr>
        <w:t>2018</w:t>
      </w:r>
      <w:r>
        <w:rPr>
          <w:rFonts w:hint="eastAsia"/>
          <w:sz w:val="30"/>
          <w:szCs w:val="30"/>
        </w:rPr>
        <w:t>年度期末未分配利润为</w:t>
      </w:r>
      <w:r>
        <w:rPr>
          <w:rFonts w:hint="eastAsia"/>
          <w:sz w:val="30"/>
          <w:szCs w:val="30"/>
        </w:rPr>
        <w:t>-6,745,791.01</w:t>
      </w:r>
      <w:r>
        <w:rPr>
          <w:rFonts w:hint="eastAsia"/>
          <w:sz w:val="30"/>
          <w:szCs w:val="30"/>
        </w:rPr>
        <w:t>元。亭卫公司章程载明亭卫公司股东及出资情况为股东钱石出资</w:t>
      </w:r>
      <w:r>
        <w:rPr>
          <w:rFonts w:hint="eastAsia"/>
          <w:sz w:val="30"/>
          <w:szCs w:val="30"/>
        </w:rPr>
        <w:t>1,800</w:t>
      </w:r>
      <w:r>
        <w:rPr>
          <w:rFonts w:hint="eastAsia"/>
          <w:sz w:val="30"/>
          <w:szCs w:val="30"/>
        </w:rPr>
        <w:t>万元，股东钱云林出资</w:t>
      </w:r>
      <w:r>
        <w:rPr>
          <w:rFonts w:hint="eastAsia"/>
          <w:sz w:val="30"/>
          <w:szCs w:val="30"/>
        </w:rPr>
        <w:t>200</w:t>
      </w:r>
      <w:r>
        <w:rPr>
          <w:rFonts w:hint="eastAsia"/>
          <w:sz w:val="30"/>
          <w:szCs w:val="30"/>
        </w:rPr>
        <w:t>万元。亭卫公司于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日召开临时股东会并作出决议，选举钱云林为公司执行董事，免除钱瑶执行董事职务。</w:t>
      </w:r>
    </w:p>
    <w:p w:rsidR="00000000" w:rsidRDefault="003F7B9D">
      <w:pPr>
        <w:spacing w:line="500" w:lineRule="atLeast"/>
        <w:ind w:firstLine="600"/>
        <w:divId w:val="214658453"/>
        <w:rPr>
          <w:rFonts w:hint="eastAsia"/>
          <w:sz w:val="30"/>
          <w:szCs w:val="30"/>
        </w:rPr>
      </w:pPr>
      <w:r>
        <w:rPr>
          <w:rFonts w:hint="eastAsia"/>
          <w:sz w:val="30"/>
          <w:szCs w:val="30"/>
        </w:rPr>
        <w:t>本院认为，根据《公司法》第一百四十八条第一款第五项及第二款规定，董事、高级管理人员不得未经股东会或者股东大会同意，利用职务便利为自己或者他人谋取属于公司的商业机会，自营或者为他人经营与所任职公司同类的业务，董事、高级管理人员违反该规定所得的收入应当归公司所有。现昌安公司依据该条规定，以其董事钱瑶违反竞业禁止和忠实义务为由主张对钱瑶在亭卫公司的收入行使归入权，对此，本院认为，应结合《公司法》规定的要件对钱瑶设立亭卫公司的行为进行判断，依此认定昌安公司能否行使归入权。</w:t>
      </w:r>
    </w:p>
    <w:p w:rsidR="00000000" w:rsidRDefault="003F7B9D">
      <w:pPr>
        <w:spacing w:line="500" w:lineRule="atLeast"/>
        <w:ind w:firstLine="600"/>
        <w:divId w:val="561064138"/>
        <w:rPr>
          <w:rFonts w:hint="eastAsia"/>
          <w:sz w:val="30"/>
          <w:szCs w:val="30"/>
        </w:rPr>
      </w:pPr>
      <w:r>
        <w:rPr>
          <w:rFonts w:hint="eastAsia"/>
          <w:sz w:val="30"/>
          <w:szCs w:val="30"/>
        </w:rPr>
        <w:t>首先，关于亭卫公司与昌安公司是否从事同类业</w:t>
      </w:r>
      <w:r>
        <w:rPr>
          <w:rFonts w:hint="eastAsia"/>
          <w:sz w:val="30"/>
          <w:szCs w:val="30"/>
        </w:rPr>
        <w:t>务。本院认为，从事同类业务并不仅指两个主体经营完全相同的产品，还应结合实际经营业务类型及经营领域的相似性进行判断。根据在案证据及双方陈述，亭卫公司的经营范围与昌安公司重合，均包括汽车、汽车配件销售，汽车租赁及二类机动车维修</w:t>
      </w:r>
      <w:r>
        <w:rPr>
          <w:rFonts w:hint="eastAsia"/>
          <w:sz w:val="30"/>
          <w:szCs w:val="30"/>
        </w:rPr>
        <w:t>(</w:t>
      </w:r>
      <w:r>
        <w:rPr>
          <w:rFonts w:hint="eastAsia"/>
          <w:sz w:val="30"/>
          <w:szCs w:val="30"/>
        </w:rPr>
        <w:t>小型车辆维修</w:t>
      </w:r>
      <w:r>
        <w:rPr>
          <w:rFonts w:hint="eastAsia"/>
          <w:sz w:val="30"/>
          <w:szCs w:val="30"/>
        </w:rPr>
        <w:t>)</w:t>
      </w:r>
      <w:r>
        <w:rPr>
          <w:rFonts w:hint="eastAsia"/>
          <w:sz w:val="30"/>
          <w:szCs w:val="30"/>
        </w:rPr>
        <w:t>等，且两家公司均实际开展前述业务，故可认定亭卫公司与昌安公司从事同类业务。</w:t>
      </w:r>
    </w:p>
    <w:p w:rsidR="00000000" w:rsidRDefault="003F7B9D">
      <w:pPr>
        <w:spacing w:line="500" w:lineRule="atLeast"/>
        <w:ind w:firstLine="600"/>
        <w:divId w:val="1807309030"/>
        <w:rPr>
          <w:rFonts w:hint="eastAsia"/>
          <w:sz w:val="30"/>
          <w:szCs w:val="30"/>
        </w:rPr>
      </w:pPr>
      <w:r>
        <w:rPr>
          <w:rFonts w:hint="eastAsia"/>
          <w:sz w:val="30"/>
          <w:szCs w:val="30"/>
        </w:rPr>
        <w:t>其次，关于钱瑶开设亭卫公司是否经昌安公司股东会同意。本案中，钱瑶提供了昌安公司股东会决议以证明其开设亭卫公司已经昌安公司股东会同意，昌安公司以该证据文本形成时间存疑且召开股东会时未通知另一股东为由，</w:t>
      </w:r>
      <w:r>
        <w:rPr>
          <w:rFonts w:hint="eastAsia"/>
          <w:sz w:val="30"/>
          <w:szCs w:val="30"/>
        </w:rPr>
        <w:t>对该份股东会决议的真实性及决议效力不予认可，并以此认定钱瑶开设亭卫公司未经昌安公司股东会同意。对此，本院认为，从公司治理结构及法律规定来看，主张否定公司股东会决议效力的，应当由公司股东、董事或监事以诉讼的方式提出，公司本身无权否认其股东会决议的法律效力。一审审理中，法院已对昌安公司及其诉讼代表人，也即昌安公司另一股东黄豪杰就该份股东会决议效力的另案诉讼问题进行了释明，昌安公司的诉讼代表人、股东黄豪杰明确表示不另行诉讼，现昌安公司又未能提出其他证据推翻该份决议，故根据现有证据，昌安公司关于该份股东会决议没有法</w:t>
      </w:r>
      <w:r>
        <w:rPr>
          <w:rFonts w:hint="eastAsia"/>
          <w:sz w:val="30"/>
          <w:szCs w:val="30"/>
        </w:rPr>
        <w:t>律效力的上诉理由尚不能成立。关于钱瑶提供的昌安公司股东会决议的举证期限问题，该份股东会决议属于和本案基本事实相关的重要证据，且无证据表明钱瑶因故意或重大过失逾期提供证据，一审法院采纳该证据并无不妥，本院予以认可。综上，昌安公司就钱瑶设立亭卫公司未经昌安公司股东会同意的上诉理由，本院不予支持。</w:t>
      </w:r>
    </w:p>
    <w:p w:rsidR="00000000" w:rsidRDefault="003F7B9D">
      <w:pPr>
        <w:spacing w:line="500" w:lineRule="atLeast"/>
        <w:ind w:firstLine="600"/>
        <w:divId w:val="21131972"/>
        <w:rPr>
          <w:rFonts w:hint="eastAsia"/>
          <w:sz w:val="30"/>
          <w:szCs w:val="30"/>
        </w:rPr>
      </w:pPr>
      <w:r>
        <w:rPr>
          <w:rFonts w:hint="eastAsia"/>
          <w:sz w:val="30"/>
          <w:szCs w:val="30"/>
        </w:rPr>
        <w:t>最后，基于上述认定，即使亭卫公司与昌安公司部分业务重合，但在案证据表明钱瑶设立亭卫公司的行为并不符合违反《公司法》规定的竞业禁止及忠实义务的情形，昌安公司要求对钱瑶在亭卫公司的收入行使归入权的主张缺乏事实与法律依据，本</w:t>
      </w:r>
      <w:r>
        <w:rPr>
          <w:rFonts w:hint="eastAsia"/>
          <w:sz w:val="30"/>
          <w:szCs w:val="30"/>
        </w:rPr>
        <w:t>院不予支持。关于昌安公司提出的一审严重违反审限、存在程序违法问题，经审查，一审法院系依据法定程序延长审理期限，昌安公司的该上诉理由本院不予采纳。</w:t>
      </w:r>
    </w:p>
    <w:p w:rsidR="00000000" w:rsidRDefault="003F7B9D">
      <w:pPr>
        <w:spacing w:line="500" w:lineRule="atLeast"/>
        <w:ind w:firstLine="600"/>
        <w:divId w:val="2098019806"/>
        <w:rPr>
          <w:rFonts w:hint="eastAsia"/>
          <w:sz w:val="30"/>
          <w:szCs w:val="30"/>
        </w:rPr>
      </w:pPr>
      <w:r>
        <w:rPr>
          <w:rFonts w:hint="eastAsia"/>
          <w:sz w:val="30"/>
          <w:szCs w:val="30"/>
        </w:rPr>
        <w:t>综上所述，昌安公司的上诉请求不能成立，应予驳回；一审法院适用法律存在部分错误，但判决结果正确，应予维持。依照《中华人民共和国民事诉讼法》第一百七十条第一款第一项规定，判决如下：</w:t>
      </w:r>
    </w:p>
    <w:p w:rsidR="00000000" w:rsidRDefault="003F7B9D">
      <w:pPr>
        <w:spacing w:line="500" w:lineRule="atLeast"/>
        <w:ind w:firstLine="600"/>
        <w:divId w:val="365642006"/>
        <w:rPr>
          <w:rFonts w:hint="eastAsia"/>
          <w:sz w:val="30"/>
          <w:szCs w:val="30"/>
        </w:rPr>
      </w:pPr>
      <w:r>
        <w:rPr>
          <w:rFonts w:hint="eastAsia"/>
          <w:sz w:val="30"/>
          <w:szCs w:val="30"/>
        </w:rPr>
        <w:t>驳回上诉，维持原判。</w:t>
      </w:r>
    </w:p>
    <w:p w:rsidR="00000000" w:rsidRDefault="003F7B9D">
      <w:pPr>
        <w:spacing w:line="500" w:lineRule="atLeast"/>
        <w:ind w:firstLine="600"/>
        <w:divId w:val="189271346"/>
        <w:rPr>
          <w:rFonts w:hint="eastAsia"/>
          <w:sz w:val="30"/>
          <w:szCs w:val="30"/>
        </w:rPr>
      </w:pPr>
      <w:r>
        <w:rPr>
          <w:rFonts w:hint="eastAsia"/>
          <w:sz w:val="30"/>
          <w:szCs w:val="30"/>
        </w:rPr>
        <w:t>二审案件受理费人民币</w:t>
      </w:r>
      <w:r>
        <w:rPr>
          <w:rFonts w:hint="eastAsia"/>
          <w:sz w:val="30"/>
          <w:szCs w:val="30"/>
        </w:rPr>
        <w:t>50</w:t>
      </w:r>
      <w:r>
        <w:rPr>
          <w:rFonts w:hint="eastAsia"/>
          <w:sz w:val="30"/>
          <w:szCs w:val="30"/>
        </w:rPr>
        <w:t>元，由上诉人上海昌安汽车销售服务有限公司负担。</w:t>
      </w:r>
    </w:p>
    <w:p w:rsidR="00000000" w:rsidRDefault="003F7B9D">
      <w:pPr>
        <w:spacing w:line="500" w:lineRule="atLeast"/>
        <w:ind w:firstLine="600"/>
        <w:divId w:val="1057169519"/>
        <w:rPr>
          <w:rFonts w:hint="eastAsia"/>
          <w:sz w:val="30"/>
          <w:szCs w:val="30"/>
        </w:rPr>
      </w:pPr>
      <w:r>
        <w:rPr>
          <w:rFonts w:hint="eastAsia"/>
          <w:sz w:val="30"/>
          <w:szCs w:val="30"/>
        </w:rPr>
        <w:t>本判决为终审判决。</w:t>
      </w:r>
    </w:p>
    <w:p w:rsidR="00000000" w:rsidRDefault="003F7B9D">
      <w:pPr>
        <w:spacing w:line="500" w:lineRule="atLeast"/>
        <w:ind w:firstLine="600"/>
        <w:divId w:val="1713337212"/>
        <w:rPr>
          <w:rFonts w:hint="eastAsia"/>
          <w:sz w:val="30"/>
          <w:szCs w:val="30"/>
        </w:rPr>
      </w:pPr>
      <w:r>
        <w:rPr>
          <w:rFonts w:hint="eastAsia"/>
          <w:sz w:val="30"/>
          <w:szCs w:val="30"/>
        </w:rPr>
        <w:t>法官助理拜金琳</w:t>
      </w:r>
    </w:p>
    <w:p w:rsidR="00000000" w:rsidRDefault="003F7B9D">
      <w:pPr>
        <w:spacing w:line="500" w:lineRule="atLeast"/>
        <w:jc w:val="right"/>
        <w:divId w:val="1957518546"/>
        <w:rPr>
          <w:rFonts w:hint="eastAsia"/>
          <w:sz w:val="30"/>
          <w:szCs w:val="30"/>
        </w:rPr>
      </w:pPr>
      <w:r>
        <w:rPr>
          <w:rFonts w:hint="eastAsia"/>
          <w:sz w:val="30"/>
          <w:szCs w:val="30"/>
        </w:rPr>
        <w:t>审判长　朱　川</w:t>
      </w:r>
    </w:p>
    <w:p w:rsidR="00000000" w:rsidRDefault="003F7B9D">
      <w:pPr>
        <w:spacing w:line="500" w:lineRule="atLeast"/>
        <w:jc w:val="right"/>
        <w:divId w:val="1994289816"/>
        <w:rPr>
          <w:rFonts w:hint="eastAsia"/>
          <w:sz w:val="30"/>
          <w:szCs w:val="30"/>
        </w:rPr>
      </w:pPr>
      <w:r>
        <w:rPr>
          <w:rFonts w:hint="eastAsia"/>
          <w:sz w:val="30"/>
          <w:szCs w:val="30"/>
        </w:rPr>
        <w:t>审判员　玄玉宝</w:t>
      </w:r>
    </w:p>
    <w:p w:rsidR="00000000" w:rsidRDefault="003F7B9D">
      <w:pPr>
        <w:spacing w:line="500" w:lineRule="atLeast"/>
        <w:jc w:val="right"/>
        <w:divId w:val="1386954396"/>
        <w:rPr>
          <w:rFonts w:hint="eastAsia"/>
          <w:sz w:val="30"/>
          <w:szCs w:val="30"/>
        </w:rPr>
      </w:pPr>
      <w:r>
        <w:rPr>
          <w:rFonts w:hint="eastAsia"/>
          <w:sz w:val="30"/>
          <w:szCs w:val="30"/>
        </w:rPr>
        <w:t>审判员　王　曦</w:t>
      </w:r>
    </w:p>
    <w:p w:rsidR="00000000" w:rsidRDefault="003F7B9D">
      <w:pPr>
        <w:spacing w:line="500" w:lineRule="atLeast"/>
        <w:jc w:val="right"/>
        <w:divId w:val="2078936684"/>
        <w:rPr>
          <w:rFonts w:hint="eastAsia"/>
          <w:sz w:val="30"/>
          <w:szCs w:val="30"/>
        </w:rPr>
      </w:pPr>
      <w:r>
        <w:rPr>
          <w:rFonts w:hint="eastAsia"/>
          <w:sz w:val="30"/>
          <w:szCs w:val="30"/>
        </w:rPr>
        <w:t>二〇一九年</w:t>
      </w:r>
      <w:r>
        <w:rPr>
          <w:rFonts w:hint="eastAsia"/>
          <w:sz w:val="30"/>
          <w:szCs w:val="30"/>
        </w:rPr>
        <w:t>七月十九日</w:t>
      </w:r>
    </w:p>
    <w:p w:rsidR="00000000" w:rsidRDefault="003F7B9D">
      <w:pPr>
        <w:spacing w:line="500" w:lineRule="atLeast"/>
        <w:jc w:val="right"/>
        <w:divId w:val="1603797827"/>
        <w:rPr>
          <w:rFonts w:hint="eastAsia"/>
          <w:sz w:val="30"/>
          <w:szCs w:val="30"/>
        </w:rPr>
      </w:pPr>
      <w:r>
        <w:rPr>
          <w:rFonts w:hint="eastAsia"/>
          <w:sz w:val="30"/>
          <w:szCs w:val="30"/>
        </w:rPr>
        <w:t>书记员　任思琦</w:t>
      </w:r>
    </w:p>
    <w:p w:rsidR="00000000" w:rsidRDefault="003F7B9D">
      <w:pPr>
        <w:spacing w:line="500" w:lineRule="atLeast"/>
        <w:ind w:firstLine="600"/>
        <w:divId w:val="700859463"/>
        <w:rPr>
          <w:rFonts w:hint="eastAsia"/>
          <w:sz w:val="30"/>
          <w:szCs w:val="30"/>
        </w:rPr>
      </w:pPr>
      <w:r>
        <w:rPr>
          <w:rFonts w:hint="eastAsia"/>
          <w:sz w:val="30"/>
          <w:szCs w:val="30"/>
        </w:rPr>
        <w:t>附：相关法律条文</w:t>
      </w:r>
    </w:p>
    <w:p w:rsidR="00000000" w:rsidRDefault="003F7B9D">
      <w:pPr>
        <w:spacing w:line="500" w:lineRule="atLeast"/>
        <w:ind w:firstLine="600"/>
        <w:divId w:val="1999720949"/>
        <w:rPr>
          <w:rFonts w:hint="eastAsia"/>
          <w:sz w:val="30"/>
          <w:szCs w:val="30"/>
        </w:rPr>
      </w:pPr>
      <w:r>
        <w:rPr>
          <w:rFonts w:hint="eastAsia"/>
          <w:sz w:val="30"/>
          <w:szCs w:val="30"/>
        </w:rPr>
        <w:t>附：相关的法律条文</w:t>
      </w:r>
    </w:p>
    <w:p w:rsidR="00000000" w:rsidRDefault="003F7B9D">
      <w:pPr>
        <w:spacing w:line="500" w:lineRule="atLeast"/>
        <w:ind w:firstLine="600"/>
        <w:divId w:val="948925787"/>
        <w:rPr>
          <w:rFonts w:hint="eastAsia"/>
          <w:sz w:val="30"/>
          <w:szCs w:val="30"/>
        </w:rPr>
      </w:pPr>
      <w:r>
        <w:rPr>
          <w:rFonts w:hint="eastAsia"/>
          <w:sz w:val="30"/>
          <w:szCs w:val="30"/>
        </w:rPr>
        <w:t>《中华人民共和国民事诉讼法》</w:t>
      </w:r>
    </w:p>
    <w:p w:rsidR="00000000" w:rsidRDefault="003F7B9D">
      <w:pPr>
        <w:spacing w:line="500" w:lineRule="atLeast"/>
        <w:ind w:firstLine="600"/>
        <w:divId w:val="1398085759"/>
        <w:rPr>
          <w:rFonts w:hint="eastAsia"/>
          <w:sz w:val="30"/>
          <w:szCs w:val="30"/>
        </w:rPr>
      </w:pPr>
      <w:r>
        <w:rPr>
          <w:rFonts w:hint="eastAsia"/>
          <w:sz w:val="30"/>
          <w:szCs w:val="30"/>
        </w:rPr>
        <w:t>第一百七十条第二审人民法院对上诉案件，经过审理，按照下列情形，分别处理：</w:t>
      </w:r>
    </w:p>
    <w:p w:rsidR="00000000" w:rsidRDefault="003F7B9D">
      <w:pPr>
        <w:spacing w:line="500" w:lineRule="atLeast"/>
        <w:ind w:firstLine="600"/>
        <w:divId w:val="1037660393"/>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p w:rsidR="00000000" w:rsidRDefault="003F7B9D">
      <w:pPr>
        <w:spacing w:line="500" w:lineRule="atLeast"/>
        <w:ind w:firstLine="600"/>
        <w:divId w:val="989552970"/>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B9D" w:rsidRDefault="003F7B9D" w:rsidP="003F7B9D">
      <w:r>
        <w:separator/>
      </w:r>
    </w:p>
  </w:endnote>
  <w:endnote w:type="continuationSeparator" w:id="0">
    <w:p w:rsidR="003F7B9D" w:rsidRDefault="003F7B9D" w:rsidP="003F7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B9D" w:rsidRDefault="003F7B9D" w:rsidP="003F7B9D">
      <w:r>
        <w:separator/>
      </w:r>
    </w:p>
  </w:footnote>
  <w:footnote w:type="continuationSeparator" w:id="0">
    <w:p w:rsidR="003F7B9D" w:rsidRDefault="003F7B9D" w:rsidP="003F7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7B9D"/>
    <w:rsid w:val="003F7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F7B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B9D"/>
    <w:rPr>
      <w:rFonts w:ascii="宋体" w:eastAsia="宋体" w:hAnsi="宋体" w:cs="宋体"/>
      <w:sz w:val="18"/>
      <w:szCs w:val="18"/>
    </w:rPr>
  </w:style>
  <w:style w:type="paragraph" w:styleId="a5">
    <w:name w:val="footer"/>
    <w:basedOn w:val="a"/>
    <w:link w:val="a6"/>
    <w:uiPriority w:val="99"/>
    <w:unhideWhenUsed/>
    <w:rsid w:val="003F7B9D"/>
    <w:pPr>
      <w:tabs>
        <w:tab w:val="center" w:pos="4153"/>
        <w:tab w:val="right" w:pos="8306"/>
      </w:tabs>
      <w:snapToGrid w:val="0"/>
    </w:pPr>
    <w:rPr>
      <w:sz w:val="18"/>
      <w:szCs w:val="18"/>
    </w:rPr>
  </w:style>
  <w:style w:type="character" w:customStyle="1" w:styleId="a6">
    <w:name w:val="页脚 字符"/>
    <w:basedOn w:val="a0"/>
    <w:link w:val="a5"/>
    <w:uiPriority w:val="99"/>
    <w:rsid w:val="003F7B9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4373">
      <w:marLeft w:val="0"/>
      <w:marRight w:val="0"/>
      <w:marTop w:val="10"/>
      <w:marBottom w:val="10"/>
      <w:divBdr>
        <w:top w:val="none" w:sz="0" w:space="0" w:color="auto"/>
        <w:left w:val="none" w:sz="0" w:space="0" w:color="auto"/>
        <w:bottom w:val="none" w:sz="0" w:space="0" w:color="auto"/>
        <w:right w:val="none" w:sz="0" w:space="0" w:color="auto"/>
      </w:divBdr>
    </w:div>
    <w:div w:id="21131972">
      <w:marLeft w:val="0"/>
      <w:marRight w:val="0"/>
      <w:marTop w:val="10"/>
      <w:marBottom w:val="10"/>
      <w:divBdr>
        <w:top w:val="none" w:sz="0" w:space="0" w:color="auto"/>
        <w:left w:val="none" w:sz="0" w:space="0" w:color="auto"/>
        <w:bottom w:val="none" w:sz="0" w:space="0" w:color="auto"/>
        <w:right w:val="none" w:sz="0" w:space="0" w:color="auto"/>
      </w:divBdr>
    </w:div>
    <w:div w:id="37708873">
      <w:marLeft w:val="0"/>
      <w:marRight w:val="0"/>
      <w:marTop w:val="10"/>
      <w:marBottom w:val="10"/>
      <w:divBdr>
        <w:top w:val="none" w:sz="0" w:space="0" w:color="auto"/>
        <w:left w:val="none" w:sz="0" w:space="0" w:color="auto"/>
        <w:bottom w:val="none" w:sz="0" w:space="0" w:color="auto"/>
        <w:right w:val="none" w:sz="0" w:space="0" w:color="auto"/>
      </w:divBdr>
    </w:div>
    <w:div w:id="97026000">
      <w:marLeft w:val="0"/>
      <w:marRight w:val="0"/>
      <w:marTop w:val="10"/>
      <w:marBottom w:val="10"/>
      <w:divBdr>
        <w:top w:val="none" w:sz="0" w:space="0" w:color="auto"/>
        <w:left w:val="none" w:sz="0" w:space="0" w:color="auto"/>
        <w:bottom w:val="none" w:sz="0" w:space="0" w:color="auto"/>
        <w:right w:val="none" w:sz="0" w:space="0" w:color="auto"/>
      </w:divBdr>
    </w:div>
    <w:div w:id="184369874">
      <w:marLeft w:val="0"/>
      <w:marRight w:val="0"/>
      <w:marTop w:val="10"/>
      <w:marBottom w:val="10"/>
      <w:divBdr>
        <w:top w:val="none" w:sz="0" w:space="0" w:color="auto"/>
        <w:left w:val="none" w:sz="0" w:space="0" w:color="auto"/>
        <w:bottom w:val="none" w:sz="0" w:space="0" w:color="auto"/>
        <w:right w:val="none" w:sz="0" w:space="0" w:color="auto"/>
      </w:divBdr>
    </w:div>
    <w:div w:id="189271346">
      <w:marLeft w:val="0"/>
      <w:marRight w:val="0"/>
      <w:marTop w:val="10"/>
      <w:marBottom w:val="10"/>
      <w:divBdr>
        <w:top w:val="none" w:sz="0" w:space="0" w:color="auto"/>
        <w:left w:val="none" w:sz="0" w:space="0" w:color="auto"/>
        <w:bottom w:val="none" w:sz="0" w:space="0" w:color="auto"/>
        <w:right w:val="none" w:sz="0" w:space="0" w:color="auto"/>
      </w:divBdr>
    </w:div>
    <w:div w:id="214658453">
      <w:marLeft w:val="0"/>
      <w:marRight w:val="0"/>
      <w:marTop w:val="10"/>
      <w:marBottom w:val="10"/>
      <w:divBdr>
        <w:top w:val="none" w:sz="0" w:space="0" w:color="auto"/>
        <w:left w:val="none" w:sz="0" w:space="0" w:color="auto"/>
        <w:bottom w:val="none" w:sz="0" w:space="0" w:color="auto"/>
        <w:right w:val="none" w:sz="0" w:space="0" w:color="auto"/>
      </w:divBdr>
    </w:div>
    <w:div w:id="317802704">
      <w:marLeft w:val="0"/>
      <w:marRight w:val="0"/>
      <w:marTop w:val="10"/>
      <w:marBottom w:val="10"/>
      <w:divBdr>
        <w:top w:val="none" w:sz="0" w:space="0" w:color="auto"/>
        <w:left w:val="none" w:sz="0" w:space="0" w:color="auto"/>
        <w:bottom w:val="none" w:sz="0" w:space="0" w:color="auto"/>
        <w:right w:val="none" w:sz="0" w:space="0" w:color="auto"/>
      </w:divBdr>
    </w:div>
    <w:div w:id="359547805">
      <w:marLeft w:val="0"/>
      <w:marRight w:val="0"/>
      <w:marTop w:val="10"/>
      <w:marBottom w:val="10"/>
      <w:divBdr>
        <w:top w:val="none" w:sz="0" w:space="0" w:color="auto"/>
        <w:left w:val="none" w:sz="0" w:space="0" w:color="auto"/>
        <w:bottom w:val="none" w:sz="0" w:space="0" w:color="auto"/>
        <w:right w:val="none" w:sz="0" w:space="0" w:color="auto"/>
      </w:divBdr>
    </w:div>
    <w:div w:id="365642006">
      <w:marLeft w:val="0"/>
      <w:marRight w:val="0"/>
      <w:marTop w:val="10"/>
      <w:marBottom w:val="10"/>
      <w:divBdr>
        <w:top w:val="none" w:sz="0" w:space="0" w:color="auto"/>
        <w:left w:val="none" w:sz="0" w:space="0" w:color="auto"/>
        <w:bottom w:val="none" w:sz="0" w:space="0" w:color="auto"/>
        <w:right w:val="none" w:sz="0" w:space="0" w:color="auto"/>
      </w:divBdr>
    </w:div>
    <w:div w:id="371459802">
      <w:marLeft w:val="0"/>
      <w:marRight w:val="0"/>
      <w:marTop w:val="10"/>
      <w:marBottom w:val="10"/>
      <w:divBdr>
        <w:top w:val="none" w:sz="0" w:space="0" w:color="auto"/>
        <w:left w:val="none" w:sz="0" w:space="0" w:color="auto"/>
        <w:bottom w:val="none" w:sz="0" w:space="0" w:color="auto"/>
        <w:right w:val="none" w:sz="0" w:space="0" w:color="auto"/>
      </w:divBdr>
    </w:div>
    <w:div w:id="463742399">
      <w:marLeft w:val="0"/>
      <w:marRight w:val="0"/>
      <w:marTop w:val="10"/>
      <w:marBottom w:val="10"/>
      <w:divBdr>
        <w:top w:val="none" w:sz="0" w:space="0" w:color="auto"/>
        <w:left w:val="none" w:sz="0" w:space="0" w:color="auto"/>
        <w:bottom w:val="none" w:sz="0" w:space="0" w:color="auto"/>
        <w:right w:val="none" w:sz="0" w:space="0" w:color="auto"/>
      </w:divBdr>
    </w:div>
    <w:div w:id="518011374">
      <w:marLeft w:val="0"/>
      <w:marRight w:val="0"/>
      <w:marTop w:val="10"/>
      <w:marBottom w:val="10"/>
      <w:divBdr>
        <w:top w:val="none" w:sz="0" w:space="0" w:color="auto"/>
        <w:left w:val="none" w:sz="0" w:space="0" w:color="auto"/>
        <w:bottom w:val="none" w:sz="0" w:space="0" w:color="auto"/>
        <w:right w:val="none" w:sz="0" w:space="0" w:color="auto"/>
      </w:divBdr>
    </w:div>
    <w:div w:id="561064138">
      <w:marLeft w:val="0"/>
      <w:marRight w:val="0"/>
      <w:marTop w:val="10"/>
      <w:marBottom w:val="10"/>
      <w:divBdr>
        <w:top w:val="none" w:sz="0" w:space="0" w:color="auto"/>
        <w:left w:val="none" w:sz="0" w:space="0" w:color="auto"/>
        <w:bottom w:val="none" w:sz="0" w:space="0" w:color="auto"/>
        <w:right w:val="none" w:sz="0" w:space="0" w:color="auto"/>
      </w:divBdr>
    </w:div>
    <w:div w:id="637031478">
      <w:marLeft w:val="0"/>
      <w:marRight w:val="0"/>
      <w:marTop w:val="10"/>
      <w:marBottom w:val="10"/>
      <w:divBdr>
        <w:top w:val="none" w:sz="0" w:space="0" w:color="auto"/>
        <w:left w:val="none" w:sz="0" w:space="0" w:color="auto"/>
        <w:bottom w:val="none" w:sz="0" w:space="0" w:color="auto"/>
        <w:right w:val="none" w:sz="0" w:space="0" w:color="auto"/>
      </w:divBdr>
    </w:div>
    <w:div w:id="689599418">
      <w:marLeft w:val="0"/>
      <w:marRight w:val="0"/>
      <w:marTop w:val="10"/>
      <w:marBottom w:val="10"/>
      <w:divBdr>
        <w:top w:val="none" w:sz="0" w:space="0" w:color="auto"/>
        <w:left w:val="none" w:sz="0" w:space="0" w:color="auto"/>
        <w:bottom w:val="none" w:sz="0" w:space="0" w:color="auto"/>
        <w:right w:val="none" w:sz="0" w:space="0" w:color="auto"/>
      </w:divBdr>
    </w:div>
    <w:div w:id="700859463">
      <w:marLeft w:val="0"/>
      <w:marRight w:val="0"/>
      <w:marTop w:val="10"/>
      <w:marBottom w:val="10"/>
      <w:divBdr>
        <w:top w:val="none" w:sz="0" w:space="0" w:color="auto"/>
        <w:left w:val="none" w:sz="0" w:space="0" w:color="auto"/>
        <w:bottom w:val="none" w:sz="0" w:space="0" w:color="auto"/>
        <w:right w:val="none" w:sz="0" w:space="0" w:color="auto"/>
      </w:divBdr>
    </w:div>
    <w:div w:id="948925787">
      <w:marLeft w:val="0"/>
      <w:marRight w:val="0"/>
      <w:marTop w:val="10"/>
      <w:marBottom w:val="10"/>
      <w:divBdr>
        <w:top w:val="none" w:sz="0" w:space="0" w:color="auto"/>
        <w:left w:val="none" w:sz="0" w:space="0" w:color="auto"/>
        <w:bottom w:val="none" w:sz="0" w:space="0" w:color="auto"/>
        <w:right w:val="none" w:sz="0" w:space="0" w:color="auto"/>
      </w:divBdr>
    </w:div>
    <w:div w:id="989552970">
      <w:marLeft w:val="0"/>
      <w:marRight w:val="0"/>
      <w:marTop w:val="10"/>
      <w:marBottom w:val="10"/>
      <w:divBdr>
        <w:top w:val="none" w:sz="0" w:space="0" w:color="auto"/>
        <w:left w:val="none" w:sz="0" w:space="0" w:color="auto"/>
        <w:bottom w:val="none" w:sz="0" w:space="0" w:color="auto"/>
        <w:right w:val="none" w:sz="0" w:space="0" w:color="auto"/>
      </w:divBdr>
    </w:div>
    <w:div w:id="1037660393">
      <w:marLeft w:val="0"/>
      <w:marRight w:val="0"/>
      <w:marTop w:val="10"/>
      <w:marBottom w:val="10"/>
      <w:divBdr>
        <w:top w:val="none" w:sz="0" w:space="0" w:color="auto"/>
        <w:left w:val="none" w:sz="0" w:space="0" w:color="auto"/>
        <w:bottom w:val="none" w:sz="0" w:space="0" w:color="auto"/>
        <w:right w:val="none" w:sz="0" w:space="0" w:color="auto"/>
      </w:divBdr>
    </w:div>
    <w:div w:id="1052731216">
      <w:marLeft w:val="0"/>
      <w:marRight w:val="0"/>
      <w:marTop w:val="10"/>
      <w:marBottom w:val="10"/>
      <w:divBdr>
        <w:top w:val="none" w:sz="0" w:space="0" w:color="auto"/>
        <w:left w:val="none" w:sz="0" w:space="0" w:color="auto"/>
        <w:bottom w:val="none" w:sz="0" w:space="0" w:color="auto"/>
        <w:right w:val="none" w:sz="0" w:space="0" w:color="auto"/>
      </w:divBdr>
    </w:div>
    <w:div w:id="1057169519">
      <w:marLeft w:val="0"/>
      <w:marRight w:val="0"/>
      <w:marTop w:val="10"/>
      <w:marBottom w:val="10"/>
      <w:divBdr>
        <w:top w:val="none" w:sz="0" w:space="0" w:color="auto"/>
        <w:left w:val="none" w:sz="0" w:space="0" w:color="auto"/>
        <w:bottom w:val="none" w:sz="0" w:space="0" w:color="auto"/>
        <w:right w:val="none" w:sz="0" w:space="0" w:color="auto"/>
      </w:divBdr>
    </w:div>
    <w:div w:id="1233081053">
      <w:marLeft w:val="0"/>
      <w:marRight w:val="0"/>
      <w:marTop w:val="10"/>
      <w:marBottom w:val="10"/>
      <w:divBdr>
        <w:top w:val="none" w:sz="0" w:space="0" w:color="auto"/>
        <w:left w:val="none" w:sz="0" w:space="0" w:color="auto"/>
        <w:bottom w:val="none" w:sz="0" w:space="0" w:color="auto"/>
        <w:right w:val="none" w:sz="0" w:space="0" w:color="auto"/>
      </w:divBdr>
    </w:div>
    <w:div w:id="1236668383">
      <w:marLeft w:val="0"/>
      <w:marRight w:val="0"/>
      <w:marTop w:val="10"/>
      <w:marBottom w:val="10"/>
      <w:divBdr>
        <w:top w:val="none" w:sz="0" w:space="0" w:color="auto"/>
        <w:left w:val="none" w:sz="0" w:space="0" w:color="auto"/>
        <w:bottom w:val="none" w:sz="0" w:space="0" w:color="auto"/>
        <w:right w:val="none" w:sz="0" w:space="0" w:color="auto"/>
      </w:divBdr>
    </w:div>
    <w:div w:id="1362124339">
      <w:marLeft w:val="0"/>
      <w:marRight w:val="0"/>
      <w:marTop w:val="10"/>
      <w:marBottom w:val="10"/>
      <w:divBdr>
        <w:top w:val="none" w:sz="0" w:space="0" w:color="auto"/>
        <w:left w:val="none" w:sz="0" w:space="0" w:color="auto"/>
        <w:bottom w:val="none" w:sz="0" w:space="0" w:color="auto"/>
        <w:right w:val="none" w:sz="0" w:space="0" w:color="auto"/>
      </w:divBdr>
    </w:div>
    <w:div w:id="1386954396">
      <w:marLeft w:val="0"/>
      <w:marRight w:val="720"/>
      <w:marTop w:val="10"/>
      <w:marBottom w:val="10"/>
      <w:divBdr>
        <w:top w:val="none" w:sz="0" w:space="0" w:color="auto"/>
        <w:left w:val="none" w:sz="0" w:space="0" w:color="auto"/>
        <w:bottom w:val="none" w:sz="0" w:space="0" w:color="auto"/>
        <w:right w:val="none" w:sz="0" w:space="0" w:color="auto"/>
      </w:divBdr>
    </w:div>
    <w:div w:id="1395396630">
      <w:marLeft w:val="0"/>
      <w:marRight w:val="0"/>
      <w:marTop w:val="10"/>
      <w:marBottom w:val="10"/>
      <w:divBdr>
        <w:top w:val="none" w:sz="0" w:space="0" w:color="auto"/>
        <w:left w:val="none" w:sz="0" w:space="0" w:color="auto"/>
        <w:bottom w:val="none" w:sz="0" w:space="0" w:color="auto"/>
        <w:right w:val="none" w:sz="0" w:space="0" w:color="auto"/>
      </w:divBdr>
    </w:div>
    <w:div w:id="1398085759">
      <w:marLeft w:val="0"/>
      <w:marRight w:val="0"/>
      <w:marTop w:val="10"/>
      <w:marBottom w:val="10"/>
      <w:divBdr>
        <w:top w:val="none" w:sz="0" w:space="0" w:color="auto"/>
        <w:left w:val="none" w:sz="0" w:space="0" w:color="auto"/>
        <w:bottom w:val="none" w:sz="0" w:space="0" w:color="auto"/>
        <w:right w:val="none" w:sz="0" w:space="0" w:color="auto"/>
      </w:divBdr>
    </w:div>
    <w:div w:id="1533421175">
      <w:marLeft w:val="0"/>
      <w:marRight w:val="0"/>
      <w:marTop w:val="10"/>
      <w:marBottom w:val="10"/>
      <w:divBdr>
        <w:top w:val="none" w:sz="0" w:space="0" w:color="auto"/>
        <w:left w:val="none" w:sz="0" w:space="0" w:color="auto"/>
        <w:bottom w:val="none" w:sz="0" w:space="0" w:color="auto"/>
        <w:right w:val="none" w:sz="0" w:space="0" w:color="auto"/>
      </w:divBdr>
    </w:div>
    <w:div w:id="1579484129">
      <w:marLeft w:val="0"/>
      <w:marRight w:val="0"/>
      <w:marTop w:val="10"/>
      <w:marBottom w:val="10"/>
      <w:divBdr>
        <w:top w:val="none" w:sz="0" w:space="0" w:color="auto"/>
        <w:left w:val="none" w:sz="0" w:space="0" w:color="auto"/>
        <w:bottom w:val="none" w:sz="0" w:space="0" w:color="auto"/>
        <w:right w:val="none" w:sz="0" w:space="0" w:color="auto"/>
      </w:divBdr>
    </w:div>
    <w:div w:id="1603797827">
      <w:marLeft w:val="0"/>
      <w:marRight w:val="720"/>
      <w:marTop w:val="10"/>
      <w:marBottom w:val="10"/>
      <w:divBdr>
        <w:top w:val="none" w:sz="0" w:space="0" w:color="auto"/>
        <w:left w:val="none" w:sz="0" w:space="0" w:color="auto"/>
        <w:bottom w:val="none" w:sz="0" w:space="0" w:color="auto"/>
        <w:right w:val="none" w:sz="0" w:space="0" w:color="auto"/>
      </w:divBdr>
    </w:div>
    <w:div w:id="1659311047">
      <w:marLeft w:val="0"/>
      <w:marRight w:val="0"/>
      <w:marTop w:val="10"/>
      <w:marBottom w:val="10"/>
      <w:divBdr>
        <w:top w:val="none" w:sz="0" w:space="0" w:color="auto"/>
        <w:left w:val="none" w:sz="0" w:space="0" w:color="auto"/>
        <w:bottom w:val="none" w:sz="0" w:space="0" w:color="auto"/>
        <w:right w:val="none" w:sz="0" w:space="0" w:color="auto"/>
      </w:divBdr>
    </w:div>
    <w:div w:id="1712463000">
      <w:marLeft w:val="0"/>
      <w:marRight w:val="0"/>
      <w:marTop w:val="10"/>
      <w:marBottom w:val="10"/>
      <w:divBdr>
        <w:top w:val="none" w:sz="0" w:space="0" w:color="auto"/>
        <w:left w:val="none" w:sz="0" w:space="0" w:color="auto"/>
        <w:bottom w:val="none" w:sz="0" w:space="0" w:color="auto"/>
        <w:right w:val="none" w:sz="0" w:space="0" w:color="auto"/>
      </w:divBdr>
    </w:div>
    <w:div w:id="1713337212">
      <w:marLeft w:val="0"/>
      <w:marRight w:val="0"/>
      <w:marTop w:val="10"/>
      <w:marBottom w:val="10"/>
      <w:divBdr>
        <w:top w:val="none" w:sz="0" w:space="0" w:color="auto"/>
        <w:left w:val="none" w:sz="0" w:space="0" w:color="auto"/>
        <w:bottom w:val="none" w:sz="0" w:space="0" w:color="auto"/>
        <w:right w:val="none" w:sz="0" w:space="0" w:color="auto"/>
      </w:divBdr>
    </w:div>
    <w:div w:id="1807309030">
      <w:marLeft w:val="0"/>
      <w:marRight w:val="0"/>
      <w:marTop w:val="10"/>
      <w:marBottom w:val="10"/>
      <w:divBdr>
        <w:top w:val="none" w:sz="0" w:space="0" w:color="auto"/>
        <w:left w:val="none" w:sz="0" w:space="0" w:color="auto"/>
        <w:bottom w:val="none" w:sz="0" w:space="0" w:color="auto"/>
        <w:right w:val="none" w:sz="0" w:space="0" w:color="auto"/>
      </w:divBdr>
    </w:div>
    <w:div w:id="1817646535">
      <w:marLeft w:val="0"/>
      <w:marRight w:val="0"/>
      <w:marTop w:val="10"/>
      <w:marBottom w:val="10"/>
      <w:divBdr>
        <w:top w:val="none" w:sz="0" w:space="0" w:color="auto"/>
        <w:left w:val="none" w:sz="0" w:space="0" w:color="auto"/>
        <w:bottom w:val="none" w:sz="0" w:space="0" w:color="auto"/>
        <w:right w:val="none" w:sz="0" w:space="0" w:color="auto"/>
      </w:divBdr>
    </w:div>
    <w:div w:id="1911229763">
      <w:marLeft w:val="0"/>
      <w:marRight w:val="0"/>
      <w:marTop w:val="10"/>
      <w:marBottom w:val="10"/>
      <w:divBdr>
        <w:top w:val="none" w:sz="0" w:space="0" w:color="auto"/>
        <w:left w:val="none" w:sz="0" w:space="0" w:color="auto"/>
        <w:bottom w:val="none" w:sz="0" w:space="0" w:color="auto"/>
        <w:right w:val="none" w:sz="0" w:space="0" w:color="auto"/>
      </w:divBdr>
    </w:div>
    <w:div w:id="1957518546">
      <w:marLeft w:val="0"/>
      <w:marRight w:val="720"/>
      <w:marTop w:val="10"/>
      <w:marBottom w:val="10"/>
      <w:divBdr>
        <w:top w:val="none" w:sz="0" w:space="0" w:color="auto"/>
        <w:left w:val="none" w:sz="0" w:space="0" w:color="auto"/>
        <w:bottom w:val="none" w:sz="0" w:space="0" w:color="auto"/>
        <w:right w:val="none" w:sz="0" w:space="0" w:color="auto"/>
      </w:divBdr>
    </w:div>
    <w:div w:id="1991596949">
      <w:marLeft w:val="0"/>
      <w:marRight w:val="0"/>
      <w:marTop w:val="10"/>
      <w:marBottom w:val="10"/>
      <w:divBdr>
        <w:top w:val="none" w:sz="0" w:space="0" w:color="auto"/>
        <w:left w:val="none" w:sz="0" w:space="0" w:color="auto"/>
        <w:bottom w:val="none" w:sz="0" w:space="0" w:color="auto"/>
        <w:right w:val="none" w:sz="0" w:space="0" w:color="auto"/>
      </w:divBdr>
    </w:div>
    <w:div w:id="1994289816">
      <w:marLeft w:val="0"/>
      <w:marRight w:val="720"/>
      <w:marTop w:val="10"/>
      <w:marBottom w:val="10"/>
      <w:divBdr>
        <w:top w:val="none" w:sz="0" w:space="0" w:color="auto"/>
        <w:left w:val="none" w:sz="0" w:space="0" w:color="auto"/>
        <w:bottom w:val="none" w:sz="0" w:space="0" w:color="auto"/>
        <w:right w:val="none" w:sz="0" w:space="0" w:color="auto"/>
      </w:divBdr>
    </w:div>
    <w:div w:id="1999720949">
      <w:marLeft w:val="0"/>
      <w:marRight w:val="0"/>
      <w:marTop w:val="10"/>
      <w:marBottom w:val="10"/>
      <w:divBdr>
        <w:top w:val="none" w:sz="0" w:space="0" w:color="auto"/>
        <w:left w:val="none" w:sz="0" w:space="0" w:color="auto"/>
        <w:bottom w:val="none" w:sz="0" w:space="0" w:color="auto"/>
        <w:right w:val="none" w:sz="0" w:space="0" w:color="auto"/>
      </w:divBdr>
    </w:div>
    <w:div w:id="2014524537">
      <w:marLeft w:val="0"/>
      <w:marRight w:val="0"/>
      <w:marTop w:val="10"/>
      <w:marBottom w:val="10"/>
      <w:divBdr>
        <w:top w:val="none" w:sz="0" w:space="0" w:color="auto"/>
        <w:left w:val="none" w:sz="0" w:space="0" w:color="auto"/>
        <w:bottom w:val="none" w:sz="0" w:space="0" w:color="auto"/>
        <w:right w:val="none" w:sz="0" w:space="0" w:color="auto"/>
      </w:divBdr>
    </w:div>
    <w:div w:id="2045016815">
      <w:marLeft w:val="0"/>
      <w:marRight w:val="0"/>
      <w:marTop w:val="10"/>
      <w:marBottom w:val="10"/>
      <w:divBdr>
        <w:top w:val="none" w:sz="0" w:space="0" w:color="auto"/>
        <w:left w:val="none" w:sz="0" w:space="0" w:color="auto"/>
        <w:bottom w:val="none" w:sz="0" w:space="0" w:color="auto"/>
        <w:right w:val="none" w:sz="0" w:space="0" w:color="auto"/>
      </w:divBdr>
    </w:div>
    <w:div w:id="2052341278">
      <w:marLeft w:val="0"/>
      <w:marRight w:val="0"/>
      <w:marTop w:val="10"/>
      <w:marBottom w:val="10"/>
      <w:divBdr>
        <w:top w:val="none" w:sz="0" w:space="0" w:color="auto"/>
        <w:left w:val="none" w:sz="0" w:space="0" w:color="auto"/>
        <w:bottom w:val="none" w:sz="0" w:space="0" w:color="auto"/>
        <w:right w:val="none" w:sz="0" w:space="0" w:color="auto"/>
      </w:divBdr>
    </w:div>
    <w:div w:id="2078936684">
      <w:marLeft w:val="0"/>
      <w:marRight w:val="720"/>
      <w:marTop w:val="10"/>
      <w:marBottom w:val="10"/>
      <w:divBdr>
        <w:top w:val="none" w:sz="0" w:space="0" w:color="auto"/>
        <w:left w:val="none" w:sz="0" w:space="0" w:color="auto"/>
        <w:bottom w:val="none" w:sz="0" w:space="0" w:color="auto"/>
        <w:right w:val="none" w:sz="0" w:space="0" w:color="auto"/>
      </w:divBdr>
    </w:div>
    <w:div w:id="2085562984">
      <w:marLeft w:val="0"/>
      <w:marRight w:val="0"/>
      <w:marTop w:val="10"/>
      <w:marBottom w:val="10"/>
      <w:divBdr>
        <w:top w:val="none" w:sz="0" w:space="0" w:color="auto"/>
        <w:left w:val="none" w:sz="0" w:space="0" w:color="auto"/>
        <w:bottom w:val="none" w:sz="0" w:space="0" w:color="auto"/>
        <w:right w:val="none" w:sz="0" w:space="0" w:color="auto"/>
      </w:divBdr>
    </w:div>
    <w:div w:id="2098019806">
      <w:marLeft w:val="0"/>
      <w:marRight w:val="0"/>
      <w:marTop w:val="10"/>
      <w:marBottom w:val="10"/>
      <w:divBdr>
        <w:top w:val="none" w:sz="0" w:space="0" w:color="auto"/>
        <w:left w:val="none" w:sz="0" w:space="0" w:color="auto"/>
        <w:bottom w:val="none" w:sz="0" w:space="0" w:color="auto"/>
        <w:right w:val="none" w:sz="0" w:space="0" w:color="auto"/>
      </w:divBdr>
    </w:div>
    <w:div w:id="21227956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