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73334">
      <w:pPr>
        <w:spacing w:line="500" w:lineRule="atLeast"/>
        <w:jc w:val="center"/>
        <w:divId w:val="2059667900"/>
        <w:rPr>
          <w:rFonts w:ascii="黑体" w:eastAsia="黑体" w:hAnsi="黑体"/>
          <w:sz w:val="36"/>
          <w:szCs w:val="36"/>
        </w:rPr>
      </w:pPr>
      <w:bookmarkStart w:id="0" w:name="_GoBack"/>
      <w:bookmarkEnd w:id="0"/>
      <w:r>
        <w:rPr>
          <w:rFonts w:ascii="黑体" w:eastAsia="黑体" w:hAnsi="黑体" w:hint="eastAsia"/>
          <w:sz w:val="36"/>
          <w:szCs w:val="36"/>
        </w:rPr>
        <w:t>上海市杨浦区人民法院</w:t>
      </w:r>
    </w:p>
    <w:p w:rsidR="00000000" w:rsidRDefault="00973334">
      <w:pPr>
        <w:spacing w:line="500" w:lineRule="atLeast"/>
        <w:jc w:val="center"/>
        <w:divId w:val="198006283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73334">
      <w:pPr>
        <w:spacing w:line="500" w:lineRule="atLeast"/>
        <w:jc w:val="right"/>
        <w:divId w:val="2014531444"/>
        <w:rPr>
          <w:rFonts w:hint="eastAsia"/>
          <w:sz w:val="30"/>
          <w:szCs w:val="30"/>
        </w:rPr>
      </w:pPr>
      <w:r>
        <w:rPr>
          <w:rFonts w:hint="eastAsia"/>
          <w:sz w:val="30"/>
          <w:szCs w:val="30"/>
        </w:rPr>
        <w:t>（</w:t>
      </w:r>
      <w:r>
        <w:rPr>
          <w:rFonts w:hint="eastAsia"/>
          <w:sz w:val="30"/>
          <w:szCs w:val="30"/>
        </w:rPr>
        <w:t>2013</w:t>
      </w:r>
      <w:r>
        <w:rPr>
          <w:rFonts w:hint="eastAsia"/>
          <w:sz w:val="30"/>
          <w:szCs w:val="30"/>
        </w:rPr>
        <w:t>）杨民二（商）初字第</w:t>
      </w:r>
      <w:r>
        <w:rPr>
          <w:rFonts w:hint="eastAsia"/>
          <w:sz w:val="30"/>
          <w:szCs w:val="30"/>
        </w:rPr>
        <w:t>665</w:t>
      </w:r>
      <w:r>
        <w:rPr>
          <w:rFonts w:hint="eastAsia"/>
          <w:sz w:val="30"/>
          <w:szCs w:val="30"/>
        </w:rPr>
        <w:t>号</w:t>
      </w:r>
    </w:p>
    <w:p w:rsidR="00000000" w:rsidRDefault="00973334">
      <w:pPr>
        <w:spacing w:line="500" w:lineRule="atLeast"/>
        <w:ind w:firstLine="600"/>
        <w:divId w:val="775253401"/>
        <w:rPr>
          <w:rFonts w:hint="eastAsia"/>
          <w:sz w:val="30"/>
          <w:szCs w:val="30"/>
        </w:rPr>
      </w:pPr>
      <w:r>
        <w:rPr>
          <w:rFonts w:hint="eastAsia"/>
          <w:sz w:val="30"/>
          <w:szCs w:val="30"/>
        </w:rPr>
        <w:t>原告上海水生环境工程有限公司（简称水生工程公司），住所地上海市杨浦区。</w:t>
      </w:r>
    </w:p>
    <w:p w:rsidR="00000000" w:rsidRDefault="00973334">
      <w:pPr>
        <w:spacing w:line="500" w:lineRule="atLeast"/>
        <w:ind w:firstLine="600"/>
        <w:divId w:val="545410206"/>
        <w:rPr>
          <w:rFonts w:hint="eastAsia"/>
          <w:sz w:val="30"/>
          <w:szCs w:val="30"/>
        </w:rPr>
      </w:pPr>
      <w:r>
        <w:rPr>
          <w:rFonts w:hint="eastAsia"/>
          <w:sz w:val="30"/>
          <w:szCs w:val="30"/>
        </w:rPr>
        <w:t>法定代表人王丽卿，董事长。</w:t>
      </w:r>
    </w:p>
    <w:p w:rsidR="00000000" w:rsidRDefault="00973334">
      <w:pPr>
        <w:spacing w:line="500" w:lineRule="atLeast"/>
        <w:ind w:firstLine="600"/>
        <w:divId w:val="1649630823"/>
        <w:rPr>
          <w:rFonts w:hint="eastAsia"/>
          <w:sz w:val="30"/>
          <w:szCs w:val="30"/>
        </w:rPr>
      </w:pPr>
      <w:r>
        <w:rPr>
          <w:rFonts w:hint="eastAsia"/>
          <w:sz w:val="30"/>
          <w:szCs w:val="30"/>
        </w:rPr>
        <w:t>委托代理人卢昭宇，上海市光大律师事务所律师。</w:t>
      </w:r>
    </w:p>
    <w:p w:rsidR="00000000" w:rsidRDefault="00973334">
      <w:pPr>
        <w:spacing w:line="500" w:lineRule="atLeast"/>
        <w:ind w:firstLine="600"/>
        <w:divId w:val="1042169010"/>
        <w:rPr>
          <w:rFonts w:hint="eastAsia"/>
          <w:sz w:val="30"/>
          <w:szCs w:val="30"/>
        </w:rPr>
      </w:pPr>
      <w:r>
        <w:rPr>
          <w:rFonts w:hint="eastAsia"/>
          <w:sz w:val="30"/>
          <w:szCs w:val="30"/>
        </w:rPr>
        <w:t>被告方根生，男，汉族，住上海市杨浦区。</w:t>
      </w:r>
    </w:p>
    <w:p w:rsidR="00000000" w:rsidRDefault="00973334">
      <w:pPr>
        <w:spacing w:line="500" w:lineRule="atLeast"/>
        <w:ind w:firstLine="600"/>
        <w:divId w:val="212931475"/>
        <w:rPr>
          <w:rFonts w:hint="eastAsia"/>
          <w:sz w:val="30"/>
          <w:szCs w:val="30"/>
        </w:rPr>
      </w:pPr>
      <w:r>
        <w:rPr>
          <w:rFonts w:hint="eastAsia"/>
          <w:sz w:val="30"/>
          <w:szCs w:val="30"/>
        </w:rPr>
        <w:t>被告上海水生环境科技有限公司（简称水生科技公司），住所地上海市杨浦区。</w:t>
      </w:r>
    </w:p>
    <w:p w:rsidR="00000000" w:rsidRDefault="00973334">
      <w:pPr>
        <w:spacing w:line="500" w:lineRule="atLeast"/>
        <w:ind w:firstLine="600"/>
        <w:divId w:val="47655140"/>
        <w:rPr>
          <w:rFonts w:hint="eastAsia"/>
          <w:sz w:val="30"/>
          <w:szCs w:val="30"/>
        </w:rPr>
      </w:pPr>
      <w:r>
        <w:rPr>
          <w:rFonts w:hint="eastAsia"/>
          <w:sz w:val="30"/>
          <w:szCs w:val="30"/>
        </w:rPr>
        <w:t>法定代表人方根生，总经理。</w:t>
      </w:r>
    </w:p>
    <w:p w:rsidR="00000000" w:rsidRDefault="00973334">
      <w:pPr>
        <w:spacing w:line="500" w:lineRule="atLeast"/>
        <w:ind w:firstLine="600"/>
        <w:divId w:val="1370960590"/>
        <w:rPr>
          <w:rFonts w:hint="eastAsia"/>
          <w:sz w:val="30"/>
          <w:szCs w:val="30"/>
        </w:rPr>
      </w:pPr>
      <w:r>
        <w:rPr>
          <w:rFonts w:hint="eastAsia"/>
          <w:sz w:val="30"/>
          <w:szCs w:val="30"/>
        </w:rPr>
        <w:t>委托代理人陈爱娇，该公司员工。</w:t>
      </w:r>
    </w:p>
    <w:p w:rsidR="00000000" w:rsidRDefault="00973334">
      <w:pPr>
        <w:spacing w:line="500" w:lineRule="atLeast"/>
        <w:ind w:firstLine="600"/>
        <w:divId w:val="826366019"/>
        <w:rPr>
          <w:rFonts w:hint="eastAsia"/>
          <w:sz w:val="30"/>
          <w:szCs w:val="30"/>
        </w:rPr>
      </w:pPr>
      <w:r>
        <w:rPr>
          <w:rFonts w:hint="eastAsia"/>
          <w:sz w:val="30"/>
          <w:szCs w:val="30"/>
        </w:rPr>
        <w:t>被告陈爱娇，男，汉族，住安徽省安庆市枞阳县。</w:t>
      </w:r>
    </w:p>
    <w:p w:rsidR="00000000" w:rsidRDefault="00973334">
      <w:pPr>
        <w:spacing w:line="500" w:lineRule="atLeast"/>
        <w:ind w:firstLine="600"/>
        <w:divId w:val="641354483"/>
        <w:rPr>
          <w:rFonts w:hint="eastAsia"/>
          <w:sz w:val="30"/>
          <w:szCs w:val="30"/>
        </w:rPr>
      </w:pPr>
      <w:r>
        <w:rPr>
          <w:rFonts w:hint="eastAsia"/>
          <w:sz w:val="30"/>
          <w:szCs w:val="30"/>
        </w:rPr>
        <w:t>原告上海水生环境工程有限公司诉被告方根生、被告上海水生环境科技有限公司、被告陈爱娇损害公司利益责任纠纷一案，本院于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29</w:t>
      </w:r>
      <w:r>
        <w:rPr>
          <w:rFonts w:hint="eastAsia"/>
          <w:sz w:val="30"/>
          <w:szCs w:val="30"/>
        </w:rPr>
        <w:t>日受理后，由代理审判员武樱独任审判。后因案情复杂，转为普通程序审理。本案于</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18</w:t>
      </w:r>
      <w:r>
        <w:rPr>
          <w:rFonts w:hint="eastAsia"/>
          <w:sz w:val="30"/>
          <w:szCs w:val="30"/>
        </w:rPr>
        <w:t>日两次公开开庭进行了审理，原告委托代理人卢昭宇、被告方根生、被告水生科技公司的法定代表人及其委托代理人、被告陈爱娇到庭参加诉讼。</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27</w:t>
      </w:r>
      <w:r>
        <w:rPr>
          <w:rFonts w:hint="eastAsia"/>
          <w:sz w:val="30"/>
          <w:szCs w:val="30"/>
        </w:rPr>
        <w:t>日，本案第三次公开开庭进行了审理，原告委托代理人卢昭宇、被告方根生、被告水生科技公司的法定代表人到庭参加了诉讼，被告陈</w:t>
      </w:r>
      <w:r>
        <w:rPr>
          <w:rFonts w:hint="eastAsia"/>
          <w:sz w:val="30"/>
          <w:szCs w:val="30"/>
        </w:rPr>
        <w:t>爱娇经本院传票传唤，无正当理由拒不到庭，本院依法进行缺席审理。本案现已审理终结。</w:t>
      </w:r>
    </w:p>
    <w:p w:rsidR="00000000" w:rsidRDefault="00973334">
      <w:pPr>
        <w:spacing w:line="500" w:lineRule="atLeast"/>
        <w:ind w:firstLine="600"/>
        <w:divId w:val="1871675270"/>
        <w:rPr>
          <w:rFonts w:hint="eastAsia"/>
          <w:sz w:val="30"/>
          <w:szCs w:val="30"/>
        </w:rPr>
      </w:pPr>
      <w:r>
        <w:rPr>
          <w:rFonts w:hint="eastAsia"/>
          <w:sz w:val="30"/>
          <w:szCs w:val="30"/>
        </w:rPr>
        <w:t>原告上海水生环境工程有限公司诉称，</w:t>
      </w:r>
      <w:r>
        <w:rPr>
          <w:rFonts w:hint="eastAsia"/>
          <w:sz w:val="30"/>
          <w:szCs w:val="30"/>
        </w:rPr>
        <w:t>2010</w:t>
      </w:r>
      <w:r>
        <w:rPr>
          <w:rFonts w:hint="eastAsia"/>
          <w:sz w:val="30"/>
          <w:szCs w:val="30"/>
        </w:rPr>
        <w:t>年</w:t>
      </w:r>
      <w:r>
        <w:rPr>
          <w:rFonts w:hint="eastAsia"/>
          <w:sz w:val="30"/>
          <w:szCs w:val="30"/>
        </w:rPr>
        <w:t>5</w:t>
      </w:r>
      <w:r>
        <w:rPr>
          <w:rFonts w:hint="eastAsia"/>
          <w:sz w:val="30"/>
          <w:szCs w:val="30"/>
        </w:rPr>
        <w:t>月，被告方根生在原告处担任常务副总经理职务，负责公司行政事务和业务等工作。被告方根生利用其保管原告公司印章的便利条</w:t>
      </w:r>
      <w:r>
        <w:rPr>
          <w:rFonts w:hint="eastAsia"/>
          <w:sz w:val="30"/>
          <w:szCs w:val="30"/>
        </w:rPr>
        <w:lastRenderedPageBreak/>
        <w:t>件，在未征得原告同意的情况下，于</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日擅自设立被告水生科技公司，并将原告列为该公司的股东。原告通过诉讼，确认原告并非被告水生科技公司的股东。</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日，被告方根生以被告水生科技公司的名义，承接了合肥新站区陶冲湖公园、瑶海公园等水环境生态净化处理工</w:t>
      </w:r>
      <w:r>
        <w:rPr>
          <w:rFonts w:hint="eastAsia"/>
          <w:sz w:val="30"/>
          <w:szCs w:val="30"/>
        </w:rPr>
        <w:t>程项目，并分别获得工程款人民币</w:t>
      </w:r>
      <w:r>
        <w:rPr>
          <w:rFonts w:hint="eastAsia"/>
          <w:sz w:val="30"/>
          <w:szCs w:val="30"/>
        </w:rPr>
        <w:t>1</w:t>
      </w:r>
      <w:r>
        <w:rPr>
          <w:rFonts w:hint="eastAsia"/>
          <w:sz w:val="30"/>
          <w:szCs w:val="30"/>
        </w:rPr>
        <w:t>，</w:t>
      </w:r>
      <w:r>
        <w:rPr>
          <w:rFonts w:hint="eastAsia"/>
          <w:sz w:val="30"/>
          <w:szCs w:val="30"/>
        </w:rPr>
        <w:t>734</w:t>
      </w:r>
      <w:r>
        <w:rPr>
          <w:rFonts w:hint="eastAsia"/>
          <w:sz w:val="30"/>
          <w:szCs w:val="30"/>
        </w:rPr>
        <w:t>，</w:t>
      </w:r>
      <w:r>
        <w:rPr>
          <w:rFonts w:hint="eastAsia"/>
          <w:sz w:val="30"/>
          <w:szCs w:val="30"/>
        </w:rPr>
        <w:t>000</w:t>
      </w:r>
      <w:r>
        <w:rPr>
          <w:rFonts w:hint="eastAsia"/>
          <w:sz w:val="30"/>
          <w:szCs w:val="30"/>
        </w:rPr>
        <w:t>元和</w:t>
      </w:r>
      <w:r>
        <w:rPr>
          <w:rFonts w:hint="eastAsia"/>
          <w:sz w:val="30"/>
          <w:szCs w:val="30"/>
        </w:rPr>
        <w:t>1</w:t>
      </w:r>
      <w:r>
        <w:rPr>
          <w:rFonts w:hint="eastAsia"/>
          <w:sz w:val="30"/>
          <w:szCs w:val="30"/>
        </w:rPr>
        <w:t>，</w:t>
      </w:r>
      <w:r>
        <w:rPr>
          <w:rFonts w:hint="eastAsia"/>
          <w:sz w:val="30"/>
          <w:szCs w:val="30"/>
        </w:rPr>
        <w:t>602</w:t>
      </w:r>
      <w:r>
        <w:rPr>
          <w:rFonts w:hint="eastAsia"/>
          <w:sz w:val="30"/>
          <w:szCs w:val="30"/>
        </w:rPr>
        <w:t>，</w:t>
      </w:r>
      <w:r>
        <w:rPr>
          <w:rFonts w:hint="eastAsia"/>
          <w:sz w:val="30"/>
          <w:szCs w:val="30"/>
        </w:rPr>
        <w:t>000</w:t>
      </w:r>
      <w:r>
        <w:rPr>
          <w:rFonts w:hint="eastAsia"/>
          <w:sz w:val="30"/>
          <w:szCs w:val="30"/>
        </w:rPr>
        <w:t>元，共计</w:t>
      </w:r>
      <w:r>
        <w:rPr>
          <w:rFonts w:hint="eastAsia"/>
          <w:sz w:val="30"/>
          <w:szCs w:val="30"/>
        </w:rPr>
        <w:t>3</w:t>
      </w:r>
      <w:r>
        <w:rPr>
          <w:rFonts w:hint="eastAsia"/>
          <w:sz w:val="30"/>
          <w:szCs w:val="30"/>
        </w:rPr>
        <w:t>，</w:t>
      </w:r>
      <w:r>
        <w:rPr>
          <w:rFonts w:hint="eastAsia"/>
          <w:sz w:val="30"/>
          <w:szCs w:val="30"/>
        </w:rPr>
        <w:t>336</w:t>
      </w:r>
      <w:r>
        <w:rPr>
          <w:rFonts w:hint="eastAsia"/>
          <w:sz w:val="30"/>
          <w:szCs w:val="30"/>
        </w:rPr>
        <w:t>，</w:t>
      </w:r>
      <w:r>
        <w:rPr>
          <w:rFonts w:hint="eastAsia"/>
          <w:sz w:val="30"/>
          <w:szCs w:val="30"/>
        </w:rPr>
        <w:t>000</w:t>
      </w:r>
      <w:r>
        <w:rPr>
          <w:rFonts w:hint="eastAsia"/>
          <w:sz w:val="30"/>
          <w:szCs w:val="30"/>
        </w:rPr>
        <w:t>元。原告在此之前已经为这些企业制定了设计方案。被告方根生的行为严重违反了企业高级管理人员竞业禁止的义务，其所获取的非法收入应当归原告所有，按照原告公司平均利润率</w:t>
      </w:r>
      <w:r>
        <w:rPr>
          <w:rFonts w:hint="eastAsia"/>
          <w:sz w:val="30"/>
          <w:szCs w:val="30"/>
        </w:rPr>
        <w:t>25%</w:t>
      </w:r>
      <w:r>
        <w:rPr>
          <w:rFonts w:hint="eastAsia"/>
          <w:sz w:val="30"/>
          <w:szCs w:val="30"/>
        </w:rPr>
        <w:t>计算。由于被告水生科技公司实际收取了上述工程款，被告陈爱娇系被告水生科技公司的市场部业务员，又是被告水生科技公司的股东之一，被告水生科技公司和被告陈爱娇理应与被告方根生共同承担赔偿责任。故原告起诉要求判令被告方根生、被告水生科技公司、被告陈爱娇共同赔</w:t>
      </w:r>
      <w:r>
        <w:rPr>
          <w:rFonts w:hint="eastAsia"/>
          <w:sz w:val="30"/>
          <w:szCs w:val="30"/>
        </w:rPr>
        <w:t>偿原告损失</w:t>
      </w:r>
      <w:r>
        <w:rPr>
          <w:rFonts w:hint="eastAsia"/>
          <w:sz w:val="30"/>
          <w:szCs w:val="30"/>
        </w:rPr>
        <w:t>2</w:t>
      </w:r>
      <w:r>
        <w:rPr>
          <w:rFonts w:hint="eastAsia"/>
          <w:sz w:val="30"/>
          <w:szCs w:val="30"/>
        </w:rPr>
        <w:t>，</w:t>
      </w:r>
      <w:r>
        <w:rPr>
          <w:rFonts w:hint="eastAsia"/>
          <w:sz w:val="30"/>
          <w:szCs w:val="30"/>
        </w:rPr>
        <w:t>575</w:t>
      </w:r>
      <w:r>
        <w:rPr>
          <w:rFonts w:hint="eastAsia"/>
          <w:sz w:val="30"/>
          <w:szCs w:val="30"/>
        </w:rPr>
        <w:t>，</w:t>
      </w:r>
      <w:r>
        <w:rPr>
          <w:rFonts w:hint="eastAsia"/>
          <w:sz w:val="30"/>
          <w:szCs w:val="30"/>
        </w:rPr>
        <w:t>000</w:t>
      </w:r>
      <w:r>
        <w:rPr>
          <w:rFonts w:hint="eastAsia"/>
          <w:sz w:val="30"/>
          <w:szCs w:val="30"/>
        </w:rPr>
        <w:t>元。审理中，原告将诉讼请求变更为：要求被告方根生、被告水生科技公司共同赔偿损失（损失金额以</w:t>
      </w:r>
      <w:r>
        <w:rPr>
          <w:rFonts w:hint="eastAsia"/>
          <w:sz w:val="30"/>
          <w:szCs w:val="30"/>
        </w:rPr>
        <w:t>3</w:t>
      </w:r>
      <w:r>
        <w:rPr>
          <w:rFonts w:hint="eastAsia"/>
          <w:sz w:val="30"/>
          <w:szCs w:val="30"/>
        </w:rPr>
        <w:t>，</w:t>
      </w:r>
      <w:r>
        <w:rPr>
          <w:rFonts w:hint="eastAsia"/>
          <w:sz w:val="30"/>
          <w:szCs w:val="30"/>
        </w:rPr>
        <w:t>336</w:t>
      </w:r>
      <w:r>
        <w:rPr>
          <w:rFonts w:hint="eastAsia"/>
          <w:sz w:val="30"/>
          <w:szCs w:val="30"/>
        </w:rPr>
        <w:t>，</w:t>
      </w:r>
      <w:r>
        <w:rPr>
          <w:rFonts w:hint="eastAsia"/>
          <w:sz w:val="30"/>
          <w:szCs w:val="30"/>
        </w:rPr>
        <w:t>000</w:t>
      </w:r>
      <w:r>
        <w:rPr>
          <w:rFonts w:hint="eastAsia"/>
          <w:sz w:val="30"/>
          <w:szCs w:val="30"/>
        </w:rPr>
        <w:t>元为基数，乘以法院酌定的利润率计算）；并支付原告逾期利息（以上述损失金额为本金，从</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日起算至实际支付之日止，按照中国人民银行同期贷款利率计算）。同时，原告放弃了对被告陈爱娇主张权利的请求。</w:t>
      </w:r>
    </w:p>
    <w:p w:rsidR="00000000" w:rsidRDefault="00973334">
      <w:pPr>
        <w:spacing w:line="500" w:lineRule="atLeast"/>
        <w:ind w:firstLine="600"/>
        <w:divId w:val="1447433444"/>
        <w:rPr>
          <w:rFonts w:hint="eastAsia"/>
          <w:sz w:val="30"/>
          <w:szCs w:val="30"/>
        </w:rPr>
      </w:pPr>
      <w:r>
        <w:rPr>
          <w:rFonts w:hint="eastAsia"/>
          <w:sz w:val="30"/>
          <w:szCs w:val="30"/>
        </w:rPr>
        <w:t>被告方根生及被告水生科技公司共同辩称，被告方根生与原告从未签订过劳动合同，并非原告公司的高级管理人员。原告提供的任命书是伪造的，被告方根生从未收到原告任命其为常务副总的聘</w:t>
      </w:r>
      <w:r>
        <w:rPr>
          <w:rFonts w:hint="eastAsia"/>
          <w:sz w:val="30"/>
          <w:szCs w:val="30"/>
        </w:rPr>
        <w:t>任函，被告方根生只是原告公司的普通员工。（</w:t>
      </w:r>
      <w:r>
        <w:rPr>
          <w:rFonts w:hint="eastAsia"/>
          <w:sz w:val="30"/>
          <w:szCs w:val="30"/>
        </w:rPr>
        <w:t>2012</w:t>
      </w:r>
      <w:r>
        <w:rPr>
          <w:rFonts w:hint="eastAsia"/>
          <w:sz w:val="30"/>
          <w:szCs w:val="30"/>
        </w:rPr>
        <w:t>）杨民二（商）初字第</w:t>
      </w:r>
      <w:r>
        <w:rPr>
          <w:rFonts w:hint="eastAsia"/>
          <w:sz w:val="30"/>
          <w:szCs w:val="30"/>
        </w:rPr>
        <w:t>343</w:t>
      </w:r>
      <w:r>
        <w:rPr>
          <w:rFonts w:hint="eastAsia"/>
          <w:sz w:val="30"/>
          <w:szCs w:val="30"/>
        </w:rPr>
        <w:t>号民事判决书陈述，被告方根生为原告公司的总经理是错误的，被告方根生本人在此案中从未作出过如此陈述。在法院对于被告方根生是否为原告高级</w:t>
      </w:r>
      <w:r>
        <w:rPr>
          <w:rFonts w:hint="eastAsia"/>
          <w:sz w:val="30"/>
          <w:szCs w:val="30"/>
        </w:rPr>
        <w:lastRenderedPageBreak/>
        <w:t>管理人员的身份未作出认定前，被告方根生及被告水生科技公司均不同意向法院提供被告水生科技公司的财务账册，也不同意对被告水生科技公司进行审计。因被告方根生并非原告的高级管理人员，故其所得收入不应当归原告所有。被告水生科技公司承接的陶冲湖公园、瑶海公园两个工程项目取得工程款共计</w:t>
      </w:r>
      <w:r>
        <w:rPr>
          <w:rFonts w:hint="eastAsia"/>
          <w:sz w:val="30"/>
          <w:szCs w:val="30"/>
        </w:rPr>
        <w:t>3</w:t>
      </w:r>
      <w:r>
        <w:rPr>
          <w:rFonts w:hint="eastAsia"/>
          <w:sz w:val="30"/>
          <w:szCs w:val="30"/>
        </w:rPr>
        <w:t>，</w:t>
      </w:r>
      <w:r>
        <w:rPr>
          <w:rFonts w:hint="eastAsia"/>
          <w:sz w:val="30"/>
          <w:szCs w:val="30"/>
        </w:rPr>
        <w:t>336</w:t>
      </w:r>
      <w:r>
        <w:rPr>
          <w:rFonts w:hint="eastAsia"/>
          <w:sz w:val="30"/>
          <w:szCs w:val="30"/>
        </w:rPr>
        <w:t>，</w:t>
      </w:r>
      <w:r>
        <w:rPr>
          <w:rFonts w:hint="eastAsia"/>
          <w:sz w:val="30"/>
          <w:szCs w:val="30"/>
        </w:rPr>
        <w:t>000</w:t>
      </w:r>
      <w:r>
        <w:rPr>
          <w:rFonts w:hint="eastAsia"/>
          <w:sz w:val="30"/>
          <w:szCs w:val="30"/>
        </w:rPr>
        <w:t>元，但是该笔款</w:t>
      </w:r>
      <w:r>
        <w:rPr>
          <w:rFonts w:hint="eastAsia"/>
          <w:sz w:val="30"/>
          <w:szCs w:val="30"/>
        </w:rPr>
        <w:t>项用于支付工人工资及工程成本后，已经没有剩余。从公司成立到公司被吊销营业执照期间，被告水生科技公司只承接了这两个工程项目，公司处于亏损状态，没有利润，不可能向股东分配红利。其作为被告水生科技公司的法定代表人只是领取过工资，年收入在</w:t>
      </w:r>
      <w:r>
        <w:rPr>
          <w:rFonts w:hint="eastAsia"/>
          <w:sz w:val="30"/>
          <w:szCs w:val="30"/>
        </w:rPr>
        <w:t>60</w:t>
      </w:r>
      <w:r>
        <w:rPr>
          <w:rFonts w:hint="eastAsia"/>
          <w:sz w:val="30"/>
          <w:szCs w:val="30"/>
        </w:rPr>
        <w:t>，</w:t>
      </w:r>
      <w:r>
        <w:rPr>
          <w:rFonts w:hint="eastAsia"/>
          <w:sz w:val="30"/>
          <w:szCs w:val="30"/>
        </w:rPr>
        <w:t>000</w:t>
      </w:r>
      <w:r>
        <w:rPr>
          <w:rFonts w:hint="eastAsia"/>
          <w:sz w:val="30"/>
          <w:szCs w:val="30"/>
        </w:rPr>
        <w:t>元左右，没有享受过公司的其他福利待遇。故其不同意原告的诉讼请求。</w:t>
      </w:r>
    </w:p>
    <w:p w:rsidR="00000000" w:rsidRDefault="00973334">
      <w:pPr>
        <w:spacing w:line="500" w:lineRule="atLeast"/>
        <w:ind w:firstLine="600"/>
        <w:divId w:val="54744731"/>
        <w:rPr>
          <w:rFonts w:hint="eastAsia"/>
          <w:sz w:val="30"/>
          <w:szCs w:val="30"/>
        </w:rPr>
      </w:pPr>
      <w:r>
        <w:rPr>
          <w:rFonts w:hint="eastAsia"/>
          <w:sz w:val="30"/>
          <w:szCs w:val="30"/>
        </w:rPr>
        <w:t>被告陈爱娇辩称，其并非原告公司的高级管理人员，原告要求其赔偿损失没有法律依据。</w:t>
      </w:r>
    </w:p>
    <w:p w:rsidR="00000000" w:rsidRDefault="00973334">
      <w:pPr>
        <w:spacing w:line="500" w:lineRule="atLeast"/>
        <w:ind w:firstLine="600"/>
        <w:divId w:val="256907799"/>
        <w:rPr>
          <w:rFonts w:hint="eastAsia"/>
          <w:sz w:val="30"/>
          <w:szCs w:val="30"/>
        </w:rPr>
      </w:pPr>
      <w:r>
        <w:rPr>
          <w:rFonts w:hint="eastAsia"/>
          <w:sz w:val="30"/>
          <w:szCs w:val="30"/>
        </w:rPr>
        <w:t>经审理查明，</w:t>
      </w:r>
      <w:r>
        <w:rPr>
          <w:rFonts w:hint="eastAsia"/>
          <w:sz w:val="30"/>
          <w:szCs w:val="30"/>
        </w:rPr>
        <w:t>2009</w:t>
      </w:r>
      <w:r>
        <w:rPr>
          <w:rFonts w:hint="eastAsia"/>
          <w:sz w:val="30"/>
          <w:szCs w:val="30"/>
        </w:rPr>
        <w:t>年</w:t>
      </w:r>
      <w:r>
        <w:rPr>
          <w:rFonts w:hint="eastAsia"/>
          <w:sz w:val="30"/>
          <w:szCs w:val="30"/>
        </w:rPr>
        <w:t>11</w:t>
      </w:r>
      <w:r>
        <w:rPr>
          <w:rFonts w:hint="eastAsia"/>
          <w:sz w:val="30"/>
          <w:szCs w:val="30"/>
        </w:rPr>
        <w:t>月</w:t>
      </w:r>
      <w:r>
        <w:rPr>
          <w:rFonts w:hint="eastAsia"/>
          <w:sz w:val="30"/>
          <w:szCs w:val="30"/>
        </w:rPr>
        <w:t>-2012</w:t>
      </w:r>
      <w:r>
        <w:rPr>
          <w:rFonts w:hint="eastAsia"/>
          <w:sz w:val="30"/>
          <w:szCs w:val="30"/>
        </w:rPr>
        <w:t>年</w:t>
      </w:r>
      <w:r>
        <w:rPr>
          <w:rFonts w:hint="eastAsia"/>
          <w:sz w:val="30"/>
          <w:szCs w:val="30"/>
        </w:rPr>
        <w:t>3</w:t>
      </w:r>
      <w:r>
        <w:rPr>
          <w:rFonts w:hint="eastAsia"/>
          <w:sz w:val="30"/>
          <w:szCs w:val="30"/>
        </w:rPr>
        <w:t>月期间，被告方根生在原告处任职。</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日，原告任命被告方根生为常务副总</w:t>
      </w:r>
      <w:r>
        <w:rPr>
          <w:rFonts w:hint="eastAsia"/>
          <w:sz w:val="30"/>
          <w:szCs w:val="30"/>
        </w:rPr>
        <w:t>经理，负责行政事务和业务工作。</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日，被告水生科技公司注册成立，工商登记的股东分别为原告、被告方根生和被告陈爱娇，其中被告方根生持有</w:t>
      </w:r>
      <w:r>
        <w:rPr>
          <w:rFonts w:hint="eastAsia"/>
          <w:sz w:val="30"/>
          <w:szCs w:val="30"/>
        </w:rPr>
        <w:t>90%</w:t>
      </w:r>
      <w:r>
        <w:rPr>
          <w:rFonts w:hint="eastAsia"/>
          <w:sz w:val="30"/>
          <w:szCs w:val="30"/>
        </w:rPr>
        <w:t>股权。</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被告方根生以原告的名义出具了《证明》称，原告在上海同济科技园投资成立了被告上海水生科技公司，原告所有的科技成果及工程经验都将在被告水生科技公司得以发展和应用，所有工程案例均可转到新公司。被告方根生在该《证明》上加盖了原告的公章，并将该《证明》提供给合肥新站综合开发试验区管委会。</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日，合肥新站综合开发试验区政府采</w:t>
      </w:r>
      <w:r>
        <w:rPr>
          <w:rFonts w:hint="eastAsia"/>
          <w:sz w:val="30"/>
          <w:szCs w:val="30"/>
        </w:rPr>
        <w:t>购中心向被告水生科技公司发出《中标通知书》二份，告知被告水生科技公司被确定为陶冲湖景观水体生态水环境治理项目、瑶海公园景观水体生态水环境治理项目的第一中标供应商。之后，被告水生科技公司承接了以上两个工程项目，进行施工。被告水生科技公司陆续取得陶冲湖项目工程款</w:t>
      </w:r>
      <w:r>
        <w:rPr>
          <w:rFonts w:hint="eastAsia"/>
          <w:sz w:val="30"/>
          <w:szCs w:val="30"/>
        </w:rPr>
        <w:t>1</w:t>
      </w:r>
      <w:r>
        <w:rPr>
          <w:rFonts w:hint="eastAsia"/>
          <w:sz w:val="30"/>
          <w:szCs w:val="30"/>
        </w:rPr>
        <w:t>，</w:t>
      </w:r>
      <w:r>
        <w:rPr>
          <w:rFonts w:hint="eastAsia"/>
          <w:sz w:val="30"/>
          <w:szCs w:val="30"/>
        </w:rPr>
        <w:t>734</w:t>
      </w:r>
      <w:r>
        <w:rPr>
          <w:rFonts w:hint="eastAsia"/>
          <w:sz w:val="30"/>
          <w:szCs w:val="30"/>
        </w:rPr>
        <w:t>，</w:t>
      </w:r>
      <w:r>
        <w:rPr>
          <w:rFonts w:hint="eastAsia"/>
          <w:sz w:val="30"/>
          <w:szCs w:val="30"/>
        </w:rPr>
        <w:t>000</w:t>
      </w:r>
      <w:r>
        <w:rPr>
          <w:rFonts w:hint="eastAsia"/>
          <w:sz w:val="30"/>
          <w:szCs w:val="30"/>
        </w:rPr>
        <w:t>和瑶海公园项目工程款</w:t>
      </w:r>
      <w:r>
        <w:rPr>
          <w:rFonts w:hint="eastAsia"/>
          <w:sz w:val="30"/>
          <w:szCs w:val="30"/>
        </w:rPr>
        <w:t>1</w:t>
      </w:r>
      <w:r>
        <w:rPr>
          <w:rFonts w:hint="eastAsia"/>
          <w:sz w:val="30"/>
          <w:szCs w:val="30"/>
        </w:rPr>
        <w:t>，</w:t>
      </w:r>
      <w:r>
        <w:rPr>
          <w:rFonts w:hint="eastAsia"/>
          <w:sz w:val="30"/>
          <w:szCs w:val="30"/>
        </w:rPr>
        <w:t>602</w:t>
      </w:r>
      <w:r>
        <w:rPr>
          <w:rFonts w:hint="eastAsia"/>
          <w:sz w:val="30"/>
          <w:szCs w:val="30"/>
        </w:rPr>
        <w:t>，</w:t>
      </w:r>
      <w:r>
        <w:rPr>
          <w:rFonts w:hint="eastAsia"/>
          <w:sz w:val="30"/>
          <w:szCs w:val="30"/>
        </w:rPr>
        <w:t>000</w:t>
      </w:r>
      <w:r>
        <w:rPr>
          <w:rFonts w:hint="eastAsia"/>
          <w:sz w:val="30"/>
          <w:szCs w:val="30"/>
        </w:rPr>
        <w:t>元。</w:t>
      </w:r>
    </w:p>
    <w:p w:rsidR="00000000" w:rsidRDefault="00973334">
      <w:pPr>
        <w:spacing w:line="500" w:lineRule="atLeast"/>
        <w:ind w:firstLine="600"/>
        <w:divId w:val="1838300748"/>
        <w:rPr>
          <w:rFonts w:hint="eastAsia"/>
          <w:sz w:val="30"/>
          <w:szCs w:val="30"/>
        </w:rPr>
      </w:pP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日，原告以被告方根生未经其同意擅自将原告作为股东，注册成立被告水生科技公司为由，向本院提起诉讼，立案号为（</w:t>
      </w:r>
      <w:r>
        <w:rPr>
          <w:rFonts w:hint="eastAsia"/>
          <w:sz w:val="30"/>
          <w:szCs w:val="30"/>
        </w:rPr>
        <w:t>2012</w:t>
      </w:r>
      <w:r>
        <w:rPr>
          <w:rFonts w:hint="eastAsia"/>
          <w:sz w:val="30"/>
          <w:szCs w:val="30"/>
        </w:rPr>
        <w:t>）杨民二（商）初字第</w:t>
      </w:r>
      <w:r>
        <w:rPr>
          <w:rFonts w:hint="eastAsia"/>
          <w:sz w:val="30"/>
          <w:szCs w:val="30"/>
        </w:rPr>
        <w:t>343</w:t>
      </w:r>
      <w:r>
        <w:rPr>
          <w:rFonts w:hint="eastAsia"/>
          <w:sz w:val="30"/>
          <w:szCs w:val="30"/>
        </w:rPr>
        <w:t>号。</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日，该案开庭</w:t>
      </w:r>
      <w:r>
        <w:rPr>
          <w:rFonts w:hint="eastAsia"/>
          <w:sz w:val="30"/>
          <w:szCs w:val="30"/>
        </w:rPr>
        <w:t>审理，原告当庭陈述：“方根生曾经是原告的高级管理人员，担任公司副总经理，于</w:t>
      </w:r>
      <w:r>
        <w:rPr>
          <w:rFonts w:hint="eastAsia"/>
          <w:sz w:val="30"/>
          <w:szCs w:val="30"/>
        </w:rPr>
        <w:t>2012</w:t>
      </w:r>
      <w:r>
        <w:rPr>
          <w:rFonts w:hint="eastAsia"/>
          <w:sz w:val="30"/>
          <w:szCs w:val="30"/>
        </w:rPr>
        <w:t>年</w:t>
      </w:r>
      <w:r>
        <w:rPr>
          <w:rFonts w:hint="eastAsia"/>
          <w:sz w:val="30"/>
          <w:szCs w:val="30"/>
        </w:rPr>
        <w:t>3</w:t>
      </w:r>
      <w:r>
        <w:rPr>
          <w:rFonts w:hint="eastAsia"/>
          <w:sz w:val="30"/>
          <w:szCs w:val="30"/>
        </w:rPr>
        <w:t>月左右我方发现方私自设立公司后方自动离职”。被告水生科技公司、被告方根生及被告陈爱娇均答：“无异议”。</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日，本院作出（</w:t>
      </w:r>
      <w:r>
        <w:rPr>
          <w:rFonts w:hint="eastAsia"/>
          <w:sz w:val="30"/>
          <w:szCs w:val="30"/>
        </w:rPr>
        <w:t>2012</w:t>
      </w:r>
      <w:r>
        <w:rPr>
          <w:rFonts w:hint="eastAsia"/>
          <w:sz w:val="30"/>
          <w:szCs w:val="30"/>
        </w:rPr>
        <w:t>）杨民二（商）初字第</w:t>
      </w:r>
      <w:r>
        <w:rPr>
          <w:rFonts w:hint="eastAsia"/>
          <w:sz w:val="30"/>
          <w:szCs w:val="30"/>
        </w:rPr>
        <w:t>343</w:t>
      </w:r>
      <w:r>
        <w:rPr>
          <w:rFonts w:hint="eastAsia"/>
          <w:sz w:val="30"/>
          <w:szCs w:val="30"/>
        </w:rPr>
        <w:t>号民事判决，“确认原告上海水生环境工程有限公司自始不是被告上海水生环境科技有限公司股东”。该判决书认定如下事实：“被告方根生曾任原告公司总经理职务直至</w:t>
      </w:r>
      <w:r>
        <w:rPr>
          <w:rFonts w:hint="eastAsia"/>
          <w:sz w:val="30"/>
          <w:szCs w:val="30"/>
        </w:rPr>
        <w:t>2012</w:t>
      </w:r>
      <w:r>
        <w:rPr>
          <w:rFonts w:hint="eastAsia"/>
          <w:sz w:val="30"/>
          <w:szCs w:val="30"/>
        </w:rPr>
        <w:t>年</w:t>
      </w:r>
      <w:r>
        <w:rPr>
          <w:rFonts w:hint="eastAsia"/>
          <w:sz w:val="30"/>
          <w:szCs w:val="30"/>
        </w:rPr>
        <w:t>3</w:t>
      </w:r>
      <w:r>
        <w:rPr>
          <w:rFonts w:hint="eastAsia"/>
          <w:sz w:val="30"/>
          <w:szCs w:val="30"/>
        </w:rPr>
        <w:t>月”。被告水生科技公司、被告方根生及被告陈爱娇不服，提起上诉。</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日，上海市第二</w:t>
      </w:r>
      <w:r>
        <w:rPr>
          <w:rFonts w:hint="eastAsia"/>
          <w:sz w:val="30"/>
          <w:szCs w:val="30"/>
        </w:rPr>
        <w:t>中级人民法院作出（</w:t>
      </w:r>
      <w:r>
        <w:rPr>
          <w:rFonts w:hint="eastAsia"/>
          <w:sz w:val="30"/>
          <w:szCs w:val="30"/>
        </w:rPr>
        <w:t>2012</w:t>
      </w:r>
      <w:r>
        <w:rPr>
          <w:rFonts w:hint="eastAsia"/>
          <w:sz w:val="30"/>
          <w:szCs w:val="30"/>
        </w:rPr>
        <w:t>）沪二中民四（商）终字第</w:t>
      </w:r>
      <w:r>
        <w:rPr>
          <w:rFonts w:hint="eastAsia"/>
          <w:sz w:val="30"/>
          <w:szCs w:val="30"/>
        </w:rPr>
        <w:t>1240</w:t>
      </w:r>
      <w:r>
        <w:rPr>
          <w:rFonts w:hint="eastAsia"/>
          <w:sz w:val="30"/>
          <w:szCs w:val="30"/>
        </w:rPr>
        <w:t>号民事裁定，准许上诉人水生科技公司、方根生及陈爱娇撤回上诉。以上判决生效后，工商行政管理局于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29</w:t>
      </w:r>
      <w:r>
        <w:rPr>
          <w:rFonts w:hint="eastAsia"/>
          <w:sz w:val="30"/>
          <w:szCs w:val="30"/>
        </w:rPr>
        <w:t>日依法吊销了被告水生科技公司的营业执照。</w:t>
      </w:r>
    </w:p>
    <w:p w:rsidR="00000000" w:rsidRDefault="00973334">
      <w:pPr>
        <w:spacing w:line="500" w:lineRule="atLeast"/>
        <w:ind w:firstLine="600"/>
        <w:divId w:val="16153956"/>
        <w:rPr>
          <w:rFonts w:hint="eastAsia"/>
          <w:sz w:val="30"/>
          <w:szCs w:val="30"/>
        </w:rPr>
      </w:pPr>
      <w:r>
        <w:rPr>
          <w:rFonts w:hint="eastAsia"/>
          <w:sz w:val="30"/>
          <w:szCs w:val="30"/>
        </w:rPr>
        <w:t>另查，原告于</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日曾就本案向本院提起诉讼，立案号为（</w:t>
      </w:r>
      <w:r>
        <w:rPr>
          <w:rFonts w:hint="eastAsia"/>
          <w:sz w:val="30"/>
          <w:szCs w:val="30"/>
        </w:rPr>
        <w:t>2013</w:t>
      </w:r>
      <w:r>
        <w:rPr>
          <w:rFonts w:hint="eastAsia"/>
          <w:sz w:val="30"/>
          <w:szCs w:val="30"/>
        </w:rPr>
        <w:t>）杨民二（商）初字第</w:t>
      </w:r>
      <w:r>
        <w:rPr>
          <w:rFonts w:hint="eastAsia"/>
          <w:sz w:val="30"/>
          <w:szCs w:val="30"/>
        </w:rPr>
        <w:t>102</w:t>
      </w:r>
      <w:r>
        <w:rPr>
          <w:rFonts w:hint="eastAsia"/>
          <w:sz w:val="30"/>
          <w:szCs w:val="30"/>
        </w:rPr>
        <w:t>号。</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日，原告因故撤回了起诉。</w:t>
      </w:r>
    </w:p>
    <w:p w:rsidR="00000000" w:rsidRDefault="00973334">
      <w:pPr>
        <w:spacing w:line="500" w:lineRule="atLeast"/>
        <w:ind w:firstLine="600"/>
        <w:divId w:val="589849354"/>
        <w:rPr>
          <w:rFonts w:hint="eastAsia"/>
          <w:sz w:val="30"/>
          <w:szCs w:val="30"/>
        </w:rPr>
      </w:pPr>
      <w:r>
        <w:rPr>
          <w:rFonts w:hint="eastAsia"/>
          <w:sz w:val="30"/>
          <w:szCs w:val="30"/>
        </w:rPr>
        <w:t>上述事实，有《关于任命方根生常务副总经理职务的决定》、（</w:t>
      </w:r>
      <w:r>
        <w:rPr>
          <w:rFonts w:hint="eastAsia"/>
          <w:sz w:val="30"/>
          <w:szCs w:val="30"/>
        </w:rPr>
        <w:t>2012</w:t>
      </w:r>
      <w:r>
        <w:rPr>
          <w:rFonts w:hint="eastAsia"/>
          <w:sz w:val="30"/>
          <w:szCs w:val="30"/>
        </w:rPr>
        <w:t>）杨民二（商）初字第</w:t>
      </w:r>
      <w:r>
        <w:rPr>
          <w:rFonts w:hint="eastAsia"/>
          <w:sz w:val="30"/>
          <w:szCs w:val="30"/>
        </w:rPr>
        <w:t>343</w:t>
      </w:r>
      <w:r>
        <w:rPr>
          <w:rFonts w:hint="eastAsia"/>
          <w:sz w:val="30"/>
          <w:szCs w:val="30"/>
        </w:rPr>
        <w:t>号案件</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日的庭审笔录、（</w:t>
      </w:r>
      <w:r>
        <w:rPr>
          <w:rFonts w:hint="eastAsia"/>
          <w:sz w:val="30"/>
          <w:szCs w:val="30"/>
        </w:rPr>
        <w:t>2012</w:t>
      </w:r>
      <w:r>
        <w:rPr>
          <w:rFonts w:hint="eastAsia"/>
          <w:sz w:val="30"/>
          <w:szCs w:val="30"/>
        </w:rPr>
        <w:t>）杨民二（商）初</w:t>
      </w:r>
      <w:r>
        <w:rPr>
          <w:rFonts w:hint="eastAsia"/>
          <w:sz w:val="30"/>
          <w:szCs w:val="30"/>
        </w:rPr>
        <w:t>字第</w:t>
      </w:r>
      <w:r>
        <w:rPr>
          <w:rFonts w:hint="eastAsia"/>
          <w:sz w:val="30"/>
          <w:szCs w:val="30"/>
        </w:rPr>
        <w:t>343</w:t>
      </w:r>
      <w:r>
        <w:rPr>
          <w:rFonts w:hint="eastAsia"/>
          <w:sz w:val="30"/>
          <w:szCs w:val="30"/>
        </w:rPr>
        <w:t>号民事判决书、（</w:t>
      </w:r>
      <w:r>
        <w:rPr>
          <w:rFonts w:hint="eastAsia"/>
          <w:sz w:val="30"/>
          <w:szCs w:val="30"/>
        </w:rPr>
        <w:t>2012</w:t>
      </w:r>
      <w:r>
        <w:rPr>
          <w:rFonts w:hint="eastAsia"/>
          <w:sz w:val="30"/>
          <w:szCs w:val="30"/>
        </w:rPr>
        <w:t>）沪二中民四（商）终字第</w:t>
      </w:r>
      <w:r>
        <w:rPr>
          <w:rFonts w:hint="eastAsia"/>
          <w:sz w:val="30"/>
          <w:szCs w:val="30"/>
        </w:rPr>
        <w:t>1240</w:t>
      </w:r>
      <w:r>
        <w:rPr>
          <w:rFonts w:hint="eastAsia"/>
          <w:sz w:val="30"/>
          <w:szCs w:val="30"/>
        </w:rPr>
        <w:t>号民事裁定书、</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日的《证明》、《中标通知书》、付款凭证等证据材料及双方当事人的当庭陈述在案为凭，并经双方当事人质证及本院审核，应予采信。</w:t>
      </w:r>
    </w:p>
    <w:p w:rsidR="00000000" w:rsidRDefault="00973334">
      <w:pPr>
        <w:spacing w:line="500" w:lineRule="atLeast"/>
        <w:ind w:firstLine="600"/>
        <w:divId w:val="323431943"/>
        <w:rPr>
          <w:rFonts w:hint="eastAsia"/>
          <w:sz w:val="30"/>
          <w:szCs w:val="30"/>
        </w:rPr>
      </w:pPr>
      <w:r>
        <w:rPr>
          <w:rFonts w:hint="eastAsia"/>
          <w:sz w:val="30"/>
          <w:szCs w:val="30"/>
        </w:rPr>
        <w:t>本院认为，我国公司法规定董事、监事、高级管理人员应当遵守法律、行政法规和公司章程，对公司负有忠实和勤勉义务。高级管理人员，是指公司的经理、副经理、财务负责人，上市公司董事会秘书和公司章程规定的其他人员。本案原告提供的《关于任命方根生常务副总经理职务的决定》以及（</w:t>
      </w:r>
      <w:r>
        <w:rPr>
          <w:rFonts w:hint="eastAsia"/>
          <w:sz w:val="30"/>
          <w:szCs w:val="30"/>
        </w:rPr>
        <w:t>2012</w:t>
      </w:r>
      <w:r>
        <w:rPr>
          <w:rFonts w:hint="eastAsia"/>
          <w:sz w:val="30"/>
          <w:szCs w:val="30"/>
        </w:rPr>
        <w:t>）杨民二（商）初字第</w:t>
      </w:r>
      <w:r>
        <w:rPr>
          <w:rFonts w:hint="eastAsia"/>
          <w:sz w:val="30"/>
          <w:szCs w:val="30"/>
        </w:rPr>
        <w:t>343</w:t>
      </w:r>
      <w:r>
        <w:rPr>
          <w:rFonts w:hint="eastAsia"/>
          <w:sz w:val="30"/>
          <w:szCs w:val="30"/>
        </w:rPr>
        <w:t>号案件</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日的庭审笔录和（</w:t>
      </w:r>
      <w:r>
        <w:rPr>
          <w:rFonts w:hint="eastAsia"/>
          <w:sz w:val="30"/>
          <w:szCs w:val="30"/>
        </w:rPr>
        <w:t>2012</w:t>
      </w:r>
      <w:r>
        <w:rPr>
          <w:rFonts w:hint="eastAsia"/>
          <w:sz w:val="30"/>
          <w:szCs w:val="30"/>
        </w:rPr>
        <w:t>）杨民二（商）初字第</w:t>
      </w:r>
      <w:r>
        <w:rPr>
          <w:rFonts w:hint="eastAsia"/>
          <w:sz w:val="30"/>
          <w:szCs w:val="30"/>
        </w:rPr>
        <w:t>343</w:t>
      </w:r>
      <w:r>
        <w:rPr>
          <w:rFonts w:hint="eastAsia"/>
          <w:sz w:val="30"/>
          <w:szCs w:val="30"/>
        </w:rPr>
        <w:t>号民事判决书认定的事实，足以证明被告方根生系原告的高级管理人员。</w:t>
      </w:r>
    </w:p>
    <w:p w:rsidR="00000000" w:rsidRDefault="00973334">
      <w:pPr>
        <w:spacing w:line="500" w:lineRule="atLeast"/>
        <w:ind w:firstLine="600"/>
        <w:divId w:val="1353724085"/>
        <w:rPr>
          <w:rFonts w:hint="eastAsia"/>
          <w:sz w:val="30"/>
          <w:szCs w:val="30"/>
        </w:rPr>
      </w:pPr>
      <w:r>
        <w:rPr>
          <w:rFonts w:hint="eastAsia"/>
          <w:sz w:val="30"/>
          <w:szCs w:val="30"/>
        </w:rPr>
        <w:t>公司法第一百四十九条明确规定，公司董事、监事、高级管理人员对公司负有竞业禁止义务，包含禁止自营或为他人从事与公司营业有竞争性的活动。被告方根生作为原告的高级管理人员，属于公司法所规定的竞业禁止义务的主体，在未解除所任职务的情况下，其与被告陈爱娇成立被告水生科技公司从事与原告相竞争的业务，其行为显已违反竞业禁止义务，其在被告水生科技公司所得收入理应依法归原告所有。关</w:t>
      </w:r>
      <w:r>
        <w:rPr>
          <w:rFonts w:hint="eastAsia"/>
          <w:sz w:val="30"/>
          <w:szCs w:val="30"/>
        </w:rPr>
        <w:t>于被告方根生违反竞业禁止义务所得收入，因被告方根生及被告水生科技公司均拒绝提供水生科技公司的财务账册，造成无法通过财务审核的方式对被告水生科技公司的经营状况及被告方根生所得收入的金额做出合理认定。由此产生的不利后果，依法应由被告方根生自行承担。基于上述情况，综合考虑被告方根生按其持股比例在被告水生科技公司享有的资产权益、被告水生科技公司的实际经营状况以及被告方根生在被告水生科技公司的个人收入等各种因素，本院依法酌情确定被告方根生违反竞业禁止义务收入为</w:t>
      </w:r>
      <w:r>
        <w:rPr>
          <w:rFonts w:hint="eastAsia"/>
          <w:sz w:val="30"/>
          <w:szCs w:val="30"/>
        </w:rPr>
        <w:t>150</w:t>
      </w:r>
      <w:r>
        <w:rPr>
          <w:rFonts w:hint="eastAsia"/>
          <w:sz w:val="30"/>
          <w:szCs w:val="30"/>
        </w:rPr>
        <w:t>，</w:t>
      </w:r>
      <w:r>
        <w:rPr>
          <w:rFonts w:hint="eastAsia"/>
          <w:sz w:val="30"/>
          <w:szCs w:val="30"/>
        </w:rPr>
        <w:t>000</w:t>
      </w:r>
      <w:r>
        <w:rPr>
          <w:rFonts w:hint="eastAsia"/>
          <w:sz w:val="30"/>
          <w:szCs w:val="30"/>
        </w:rPr>
        <w:t>元。而被告水生科技公司并非公司法所规定的竞业</w:t>
      </w:r>
      <w:r>
        <w:rPr>
          <w:rFonts w:hint="eastAsia"/>
          <w:sz w:val="30"/>
          <w:szCs w:val="30"/>
        </w:rPr>
        <w:t>禁止义务主体，原告要求其承担共同责任缺乏法律依据，本院不予支持。</w:t>
      </w:r>
    </w:p>
    <w:p w:rsidR="00000000" w:rsidRDefault="00973334">
      <w:pPr>
        <w:spacing w:line="500" w:lineRule="atLeast"/>
        <w:ind w:firstLine="600"/>
        <w:divId w:val="704869404"/>
        <w:rPr>
          <w:rFonts w:hint="eastAsia"/>
          <w:sz w:val="30"/>
          <w:szCs w:val="30"/>
        </w:rPr>
      </w:pPr>
      <w:r>
        <w:rPr>
          <w:rFonts w:hint="eastAsia"/>
          <w:sz w:val="30"/>
          <w:szCs w:val="30"/>
        </w:rPr>
        <w:t>关于利息损失，因在本案的判决尚未生效前，原告主张的归入权是否成立、被告方根生所得收入应归入原告的金额等并未确定，故不存在逾期支付的事实。因此，原告就该笔归入的款项主张利息损失，没有事实和法律依据，本院亦不予支持。</w:t>
      </w:r>
    </w:p>
    <w:p w:rsidR="00000000" w:rsidRDefault="00973334">
      <w:pPr>
        <w:spacing w:line="500" w:lineRule="atLeast"/>
        <w:ind w:firstLine="600"/>
        <w:divId w:val="71699981"/>
        <w:rPr>
          <w:rFonts w:hint="eastAsia"/>
          <w:sz w:val="30"/>
          <w:szCs w:val="30"/>
        </w:rPr>
      </w:pPr>
      <w:r>
        <w:rPr>
          <w:rFonts w:hint="eastAsia"/>
          <w:sz w:val="30"/>
          <w:szCs w:val="30"/>
        </w:rPr>
        <w:t>对于被告方根生辩称其并非原告的高级管理人员之说，则有原告于</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日出具了《关于任命方根生常务副总经理职务的决定》，和（</w:t>
      </w:r>
      <w:r>
        <w:rPr>
          <w:rFonts w:hint="eastAsia"/>
          <w:sz w:val="30"/>
          <w:szCs w:val="30"/>
        </w:rPr>
        <w:t>2012</w:t>
      </w:r>
      <w:r>
        <w:rPr>
          <w:rFonts w:hint="eastAsia"/>
          <w:sz w:val="30"/>
          <w:szCs w:val="30"/>
        </w:rPr>
        <w:t>）杨民二（商）初字第</w:t>
      </w:r>
      <w:r>
        <w:rPr>
          <w:rFonts w:hint="eastAsia"/>
          <w:sz w:val="30"/>
          <w:szCs w:val="30"/>
        </w:rPr>
        <w:t>343</w:t>
      </w:r>
      <w:r>
        <w:rPr>
          <w:rFonts w:hint="eastAsia"/>
          <w:sz w:val="30"/>
          <w:szCs w:val="30"/>
        </w:rPr>
        <w:t>号案件的庭审笔录中，被告方根生对于其曾担任原告公司的副总经理的职务予</w:t>
      </w:r>
      <w:r>
        <w:rPr>
          <w:rFonts w:hint="eastAsia"/>
          <w:sz w:val="30"/>
          <w:szCs w:val="30"/>
        </w:rPr>
        <w:t>以认可，以及（</w:t>
      </w:r>
      <w:r>
        <w:rPr>
          <w:rFonts w:hint="eastAsia"/>
          <w:sz w:val="30"/>
          <w:szCs w:val="30"/>
        </w:rPr>
        <w:t>2012</w:t>
      </w:r>
      <w:r>
        <w:rPr>
          <w:rFonts w:hint="eastAsia"/>
          <w:sz w:val="30"/>
          <w:szCs w:val="30"/>
        </w:rPr>
        <w:t>）杨民二（商）初字第</w:t>
      </w:r>
      <w:r>
        <w:rPr>
          <w:rFonts w:hint="eastAsia"/>
          <w:sz w:val="30"/>
          <w:szCs w:val="30"/>
        </w:rPr>
        <w:t>343</w:t>
      </w:r>
      <w:r>
        <w:rPr>
          <w:rFonts w:hint="eastAsia"/>
          <w:sz w:val="30"/>
          <w:szCs w:val="30"/>
        </w:rPr>
        <w:t>号民事判决也已认定被告方根生系原告总经理。本院综合以上情况认定，被告方根生系原告的高级管理人员。故本院对于被告方根生的该抗辩理由，不予采信。据此，依照《中华人民共和国公司法》第一百四十九条第一款第五项、第一百四十九条第二款，《最高人民法院关于民事诉讼证据的若干规定》第二条，《中华人民共和国民事诉讼法》第一百四十四条的规定，判决如下：</w:t>
      </w:r>
    </w:p>
    <w:p w:rsidR="00000000" w:rsidRDefault="00973334">
      <w:pPr>
        <w:spacing w:line="500" w:lineRule="atLeast"/>
        <w:ind w:firstLine="600"/>
        <w:divId w:val="431626204"/>
        <w:rPr>
          <w:rFonts w:hint="eastAsia"/>
          <w:sz w:val="30"/>
          <w:szCs w:val="30"/>
        </w:rPr>
      </w:pPr>
      <w:r>
        <w:rPr>
          <w:rFonts w:hint="eastAsia"/>
          <w:sz w:val="30"/>
          <w:szCs w:val="30"/>
        </w:rPr>
        <w:t>一、被告方根生应于本判决生效之日起十日内偿付原告上海水生环境工程有限公司款项人民币</w:t>
      </w:r>
      <w:r>
        <w:rPr>
          <w:rFonts w:hint="eastAsia"/>
          <w:sz w:val="30"/>
          <w:szCs w:val="30"/>
        </w:rPr>
        <w:t>150</w:t>
      </w:r>
      <w:r>
        <w:rPr>
          <w:rFonts w:hint="eastAsia"/>
          <w:sz w:val="30"/>
          <w:szCs w:val="30"/>
        </w:rPr>
        <w:t>，</w:t>
      </w:r>
      <w:r>
        <w:rPr>
          <w:rFonts w:hint="eastAsia"/>
          <w:sz w:val="30"/>
          <w:szCs w:val="30"/>
        </w:rPr>
        <w:t>000</w:t>
      </w:r>
      <w:r>
        <w:rPr>
          <w:rFonts w:hint="eastAsia"/>
          <w:sz w:val="30"/>
          <w:szCs w:val="30"/>
        </w:rPr>
        <w:t>元；</w:t>
      </w:r>
    </w:p>
    <w:p w:rsidR="00000000" w:rsidRDefault="00973334">
      <w:pPr>
        <w:spacing w:line="500" w:lineRule="atLeast"/>
        <w:ind w:firstLine="600"/>
        <w:divId w:val="1926836476"/>
        <w:rPr>
          <w:rFonts w:hint="eastAsia"/>
          <w:sz w:val="30"/>
          <w:szCs w:val="30"/>
        </w:rPr>
      </w:pPr>
      <w:r>
        <w:rPr>
          <w:rFonts w:hint="eastAsia"/>
          <w:sz w:val="30"/>
          <w:szCs w:val="30"/>
        </w:rPr>
        <w:t>二、原告上海水生环境工程有</w:t>
      </w:r>
      <w:r>
        <w:rPr>
          <w:rFonts w:hint="eastAsia"/>
          <w:sz w:val="30"/>
          <w:szCs w:val="30"/>
        </w:rPr>
        <w:t>限公司的其余诉讼请求，不予支持。</w:t>
      </w:r>
    </w:p>
    <w:p w:rsidR="00000000" w:rsidRDefault="00973334">
      <w:pPr>
        <w:spacing w:line="500" w:lineRule="atLeast"/>
        <w:ind w:firstLine="600"/>
        <w:divId w:val="1438603259"/>
        <w:rPr>
          <w:rFonts w:hint="eastAsia"/>
          <w:sz w:val="30"/>
          <w:szCs w:val="30"/>
        </w:rPr>
      </w:pPr>
      <w:r>
        <w:rPr>
          <w:rFonts w:hint="eastAsia"/>
          <w:sz w:val="30"/>
          <w:szCs w:val="30"/>
        </w:rPr>
        <w:t>如果未按本判决指定的期间履行给付金钱义务，应当依照《中华人民共和国民事诉讼法》第二百二十九条之规定，加倍支付迟延履行期间的债务利息。</w:t>
      </w:r>
    </w:p>
    <w:p w:rsidR="00000000" w:rsidRDefault="00973334">
      <w:pPr>
        <w:spacing w:line="500" w:lineRule="atLeast"/>
        <w:ind w:firstLine="600"/>
        <w:divId w:val="1600721740"/>
        <w:rPr>
          <w:rFonts w:hint="eastAsia"/>
          <w:sz w:val="30"/>
          <w:szCs w:val="30"/>
        </w:rPr>
      </w:pPr>
      <w:r>
        <w:rPr>
          <w:rFonts w:hint="eastAsia"/>
          <w:sz w:val="30"/>
          <w:szCs w:val="30"/>
        </w:rPr>
        <w:t>本案案件受理费人民币</w:t>
      </w:r>
      <w:r>
        <w:rPr>
          <w:rFonts w:hint="eastAsia"/>
          <w:sz w:val="30"/>
          <w:szCs w:val="30"/>
        </w:rPr>
        <w:t>3</w:t>
      </w:r>
      <w:r>
        <w:rPr>
          <w:rFonts w:hint="eastAsia"/>
          <w:sz w:val="30"/>
          <w:szCs w:val="30"/>
        </w:rPr>
        <w:t>，</w:t>
      </w:r>
      <w:r>
        <w:rPr>
          <w:rFonts w:hint="eastAsia"/>
          <w:sz w:val="30"/>
          <w:szCs w:val="30"/>
        </w:rPr>
        <w:t>300</w:t>
      </w:r>
      <w:r>
        <w:rPr>
          <w:rFonts w:hint="eastAsia"/>
          <w:sz w:val="30"/>
          <w:szCs w:val="30"/>
        </w:rPr>
        <w:t>元，诉讼保全费人民币</w:t>
      </w:r>
      <w:r>
        <w:rPr>
          <w:rFonts w:hint="eastAsia"/>
          <w:sz w:val="30"/>
          <w:szCs w:val="30"/>
        </w:rPr>
        <w:t>5</w:t>
      </w:r>
      <w:r>
        <w:rPr>
          <w:rFonts w:hint="eastAsia"/>
          <w:sz w:val="30"/>
          <w:szCs w:val="30"/>
        </w:rPr>
        <w:t>，</w:t>
      </w:r>
      <w:r>
        <w:rPr>
          <w:rFonts w:hint="eastAsia"/>
          <w:sz w:val="30"/>
          <w:szCs w:val="30"/>
        </w:rPr>
        <w:t>000</w:t>
      </w:r>
      <w:r>
        <w:rPr>
          <w:rFonts w:hint="eastAsia"/>
          <w:sz w:val="30"/>
          <w:szCs w:val="30"/>
        </w:rPr>
        <w:t>元，共计人民币</w:t>
      </w:r>
      <w:r>
        <w:rPr>
          <w:rFonts w:hint="eastAsia"/>
          <w:sz w:val="30"/>
          <w:szCs w:val="30"/>
        </w:rPr>
        <w:t>8</w:t>
      </w:r>
      <w:r>
        <w:rPr>
          <w:rFonts w:hint="eastAsia"/>
          <w:sz w:val="30"/>
          <w:szCs w:val="30"/>
        </w:rPr>
        <w:t>，</w:t>
      </w:r>
      <w:r>
        <w:rPr>
          <w:rFonts w:hint="eastAsia"/>
          <w:sz w:val="30"/>
          <w:szCs w:val="30"/>
        </w:rPr>
        <w:t>300</w:t>
      </w:r>
      <w:r>
        <w:rPr>
          <w:rFonts w:hint="eastAsia"/>
          <w:sz w:val="30"/>
          <w:szCs w:val="30"/>
        </w:rPr>
        <w:t>元，由原告上海水生环境工程有限公司负担人民币</w:t>
      </w:r>
      <w:r>
        <w:rPr>
          <w:rFonts w:hint="eastAsia"/>
          <w:sz w:val="30"/>
          <w:szCs w:val="30"/>
        </w:rPr>
        <w:t>5</w:t>
      </w:r>
      <w:r>
        <w:rPr>
          <w:rFonts w:hint="eastAsia"/>
          <w:sz w:val="30"/>
          <w:szCs w:val="30"/>
        </w:rPr>
        <w:t>，</w:t>
      </w:r>
      <w:r>
        <w:rPr>
          <w:rFonts w:hint="eastAsia"/>
          <w:sz w:val="30"/>
          <w:szCs w:val="30"/>
        </w:rPr>
        <w:t>000</w:t>
      </w:r>
      <w:r>
        <w:rPr>
          <w:rFonts w:hint="eastAsia"/>
          <w:sz w:val="30"/>
          <w:szCs w:val="30"/>
        </w:rPr>
        <w:t>元，被告方根生负担人民币</w:t>
      </w:r>
      <w:r>
        <w:rPr>
          <w:rFonts w:hint="eastAsia"/>
          <w:sz w:val="30"/>
          <w:szCs w:val="30"/>
        </w:rPr>
        <w:t>3</w:t>
      </w:r>
      <w:r>
        <w:rPr>
          <w:rFonts w:hint="eastAsia"/>
          <w:sz w:val="30"/>
          <w:szCs w:val="30"/>
        </w:rPr>
        <w:t>，</w:t>
      </w:r>
      <w:r>
        <w:rPr>
          <w:rFonts w:hint="eastAsia"/>
          <w:sz w:val="30"/>
          <w:szCs w:val="30"/>
        </w:rPr>
        <w:t>300</w:t>
      </w:r>
      <w:r>
        <w:rPr>
          <w:rFonts w:hint="eastAsia"/>
          <w:sz w:val="30"/>
          <w:szCs w:val="30"/>
        </w:rPr>
        <w:t>元，应于本判决生效之日起七日内交付本院。</w:t>
      </w:r>
    </w:p>
    <w:p w:rsidR="00000000" w:rsidRDefault="00973334">
      <w:pPr>
        <w:spacing w:line="500" w:lineRule="atLeast"/>
        <w:ind w:firstLine="600"/>
        <w:divId w:val="1619532432"/>
        <w:rPr>
          <w:rFonts w:hint="eastAsia"/>
          <w:sz w:val="30"/>
          <w:szCs w:val="30"/>
        </w:rPr>
      </w:pPr>
      <w:r>
        <w:rPr>
          <w:rFonts w:hint="eastAsia"/>
          <w:sz w:val="30"/>
          <w:szCs w:val="30"/>
        </w:rPr>
        <w:t>如不服本判决，可在判决书送达之日起十五日内，向本院递交上诉状，并按对方当事人的人数提出副本，上诉于上海市第二中级人民法院。</w:t>
      </w:r>
    </w:p>
    <w:p w:rsidR="00000000" w:rsidRDefault="00973334">
      <w:pPr>
        <w:spacing w:line="500" w:lineRule="atLeast"/>
        <w:jc w:val="right"/>
        <w:divId w:val="270480224"/>
        <w:rPr>
          <w:rFonts w:hint="eastAsia"/>
          <w:sz w:val="30"/>
          <w:szCs w:val="30"/>
        </w:rPr>
      </w:pPr>
      <w:r>
        <w:rPr>
          <w:rFonts w:hint="eastAsia"/>
          <w:sz w:val="30"/>
          <w:szCs w:val="30"/>
        </w:rPr>
        <w:t>审　判　长　　程建婷</w:t>
      </w:r>
    </w:p>
    <w:p w:rsidR="00000000" w:rsidRDefault="00973334">
      <w:pPr>
        <w:spacing w:line="500" w:lineRule="atLeast"/>
        <w:jc w:val="right"/>
        <w:divId w:val="2119830959"/>
        <w:rPr>
          <w:rFonts w:hint="eastAsia"/>
          <w:sz w:val="30"/>
          <w:szCs w:val="30"/>
        </w:rPr>
      </w:pPr>
      <w:r>
        <w:rPr>
          <w:rFonts w:hint="eastAsia"/>
          <w:sz w:val="30"/>
          <w:szCs w:val="30"/>
        </w:rPr>
        <w:t>代理审判员　　陆文芳</w:t>
      </w:r>
    </w:p>
    <w:p w:rsidR="00000000" w:rsidRDefault="00973334">
      <w:pPr>
        <w:spacing w:line="500" w:lineRule="atLeast"/>
        <w:jc w:val="right"/>
        <w:divId w:val="1929608272"/>
        <w:rPr>
          <w:rFonts w:hint="eastAsia"/>
          <w:sz w:val="30"/>
          <w:szCs w:val="30"/>
        </w:rPr>
      </w:pPr>
      <w:r>
        <w:rPr>
          <w:rFonts w:hint="eastAsia"/>
          <w:sz w:val="30"/>
          <w:szCs w:val="30"/>
        </w:rPr>
        <w:t>人民陪审员　　瞿国富</w:t>
      </w:r>
    </w:p>
    <w:p w:rsidR="00000000" w:rsidRDefault="00973334">
      <w:pPr>
        <w:spacing w:line="500" w:lineRule="atLeast"/>
        <w:jc w:val="right"/>
        <w:divId w:val="964039164"/>
        <w:rPr>
          <w:rFonts w:hint="eastAsia"/>
          <w:sz w:val="30"/>
          <w:szCs w:val="30"/>
        </w:rPr>
      </w:pPr>
      <w:r>
        <w:rPr>
          <w:rFonts w:hint="eastAsia"/>
          <w:sz w:val="30"/>
          <w:szCs w:val="30"/>
        </w:rPr>
        <w:t>二〇一四年五月二十二日</w:t>
      </w:r>
    </w:p>
    <w:p w:rsidR="00000000" w:rsidRDefault="00973334">
      <w:pPr>
        <w:spacing w:line="500" w:lineRule="atLeast"/>
        <w:jc w:val="right"/>
        <w:divId w:val="1821380323"/>
        <w:rPr>
          <w:rFonts w:hint="eastAsia"/>
          <w:sz w:val="30"/>
          <w:szCs w:val="30"/>
        </w:rPr>
      </w:pPr>
      <w:r>
        <w:rPr>
          <w:rFonts w:hint="eastAsia"/>
          <w:sz w:val="30"/>
          <w:szCs w:val="30"/>
        </w:rPr>
        <w:t>书　记　员　　田继龙</w:t>
      </w:r>
    </w:p>
    <w:p w:rsidR="00000000" w:rsidRDefault="00973334">
      <w:pPr>
        <w:spacing w:line="500" w:lineRule="atLeast"/>
        <w:ind w:firstLine="600"/>
        <w:divId w:val="365259629"/>
        <w:rPr>
          <w:rFonts w:hint="eastAsia"/>
          <w:sz w:val="30"/>
          <w:szCs w:val="30"/>
        </w:rPr>
      </w:pPr>
      <w:r>
        <w:rPr>
          <w:rFonts w:hint="eastAsia"/>
          <w:sz w:val="30"/>
          <w:szCs w:val="30"/>
        </w:rPr>
        <w:t>附：相关法律条文</w:t>
      </w:r>
    </w:p>
    <w:p w:rsidR="00000000" w:rsidRDefault="00973334">
      <w:pPr>
        <w:spacing w:line="500" w:lineRule="atLeast"/>
        <w:ind w:firstLine="600"/>
        <w:divId w:val="1751777498"/>
        <w:rPr>
          <w:rFonts w:hint="eastAsia"/>
          <w:sz w:val="30"/>
          <w:szCs w:val="30"/>
        </w:rPr>
      </w:pPr>
      <w:r>
        <w:rPr>
          <w:rFonts w:hint="eastAsia"/>
          <w:sz w:val="30"/>
          <w:szCs w:val="30"/>
        </w:rPr>
        <w:t>一、《中华人民共和国公司法》</w:t>
      </w:r>
    </w:p>
    <w:p w:rsidR="00000000" w:rsidRDefault="00973334">
      <w:pPr>
        <w:spacing w:line="500" w:lineRule="atLeast"/>
        <w:ind w:firstLine="600"/>
        <w:divId w:val="943734388"/>
        <w:rPr>
          <w:rFonts w:hint="eastAsia"/>
          <w:sz w:val="30"/>
          <w:szCs w:val="30"/>
        </w:rPr>
      </w:pPr>
      <w:r>
        <w:rPr>
          <w:rFonts w:hint="eastAsia"/>
          <w:sz w:val="30"/>
          <w:szCs w:val="30"/>
        </w:rPr>
        <w:t>第一百四十九条高级管理人员不得有下列行为：</w:t>
      </w:r>
    </w:p>
    <w:p w:rsidR="00000000" w:rsidRDefault="00973334">
      <w:pPr>
        <w:spacing w:line="500" w:lineRule="atLeast"/>
        <w:ind w:firstLine="600"/>
        <w:divId w:val="138960162"/>
        <w:rPr>
          <w:rFonts w:hint="eastAsia"/>
          <w:sz w:val="30"/>
          <w:szCs w:val="30"/>
        </w:rPr>
      </w:pPr>
      <w:r>
        <w:rPr>
          <w:rFonts w:hint="eastAsia"/>
          <w:sz w:val="30"/>
          <w:szCs w:val="30"/>
        </w:rPr>
        <w:t>……</w:t>
      </w:r>
    </w:p>
    <w:p w:rsidR="00000000" w:rsidRDefault="00973334">
      <w:pPr>
        <w:spacing w:line="500" w:lineRule="atLeast"/>
        <w:ind w:firstLine="600"/>
        <w:divId w:val="51926637"/>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973334">
      <w:pPr>
        <w:spacing w:line="500" w:lineRule="atLeast"/>
        <w:ind w:firstLine="600"/>
        <w:divId w:val="1077631946"/>
        <w:rPr>
          <w:rFonts w:hint="eastAsia"/>
          <w:sz w:val="30"/>
          <w:szCs w:val="30"/>
        </w:rPr>
      </w:pPr>
      <w:r>
        <w:rPr>
          <w:rFonts w:hint="eastAsia"/>
          <w:sz w:val="30"/>
          <w:szCs w:val="30"/>
        </w:rPr>
        <w:t>……</w:t>
      </w:r>
    </w:p>
    <w:p w:rsidR="00000000" w:rsidRDefault="00973334">
      <w:pPr>
        <w:spacing w:line="500" w:lineRule="atLeast"/>
        <w:ind w:firstLine="600"/>
        <w:divId w:val="1798405418"/>
        <w:rPr>
          <w:rFonts w:hint="eastAsia"/>
          <w:sz w:val="30"/>
          <w:szCs w:val="30"/>
        </w:rPr>
      </w:pPr>
      <w:r>
        <w:rPr>
          <w:rFonts w:hint="eastAsia"/>
          <w:sz w:val="30"/>
          <w:szCs w:val="30"/>
        </w:rPr>
        <w:t>董事、高级管理人员违反前款规定所得的收入应当归公司所有。</w:t>
      </w:r>
    </w:p>
    <w:p w:rsidR="00000000" w:rsidRDefault="00973334">
      <w:pPr>
        <w:spacing w:line="500" w:lineRule="atLeast"/>
        <w:ind w:firstLine="600"/>
        <w:divId w:val="1793938028"/>
        <w:rPr>
          <w:rFonts w:hint="eastAsia"/>
          <w:sz w:val="30"/>
          <w:szCs w:val="30"/>
        </w:rPr>
      </w:pPr>
      <w:r>
        <w:rPr>
          <w:rFonts w:hint="eastAsia"/>
          <w:sz w:val="30"/>
          <w:szCs w:val="30"/>
        </w:rPr>
        <w:t>二、《最高人民法院关于民事诉讼证据的若干规定》</w:t>
      </w:r>
    </w:p>
    <w:p w:rsidR="00000000" w:rsidRDefault="00973334">
      <w:pPr>
        <w:spacing w:line="500" w:lineRule="atLeast"/>
        <w:ind w:firstLine="600"/>
        <w:divId w:val="249855599"/>
        <w:rPr>
          <w:rFonts w:hint="eastAsia"/>
          <w:sz w:val="30"/>
          <w:szCs w:val="30"/>
        </w:rPr>
      </w:pPr>
      <w:r>
        <w:rPr>
          <w:rFonts w:hint="eastAsia"/>
          <w:sz w:val="30"/>
          <w:szCs w:val="30"/>
        </w:rPr>
        <w:t>第二条当事人对自己提出的诉讼请求所依据的事实或者反驳对方诉讼请</w:t>
      </w:r>
      <w:r>
        <w:rPr>
          <w:rFonts w:hint="eastAsia"/>
          <w:sz w:val="30"/>
          <w:szCs w:val="30"/>
        </w:rPr>
        <w:t>求所依据的事实有责任提供证据加以证明。</w:t>
      </w:r>
    </w:p>
    <w:p w:rsidR="00000000" w:rsidRDefault="00973334">
      <w:pPr>
        <w:spacing w:line="500" w:lineRule="atLeast"/>
        <w:ind w:firstLine="600"/>
        <w:divId w:val="640769604"/>
        <w:rPr>
          <w:rFonts w:hint="eastAsia"/>
          <w:sz w:val="30"/>
          <w:szCs w:val="30"/>
        </w:rPr>
      </w:pPr>
      <w:r>
        <w:rPr>
          <w:rFonts w:hint="eastAsia"/>
          <w:sz w:val="30"/>
          <w:szCs w:val="30"/>
        </w:rPr>
        <w:t>没有证据或者证据不足以证明的当事人的事实主张的，由负有举证责任的当事人承担不利后果。</w:t>
      </w:r>
    </w:p>
    <w:p w:rsidR="00000000" w:rsidRDefault="00973334">
      <w:pPr>
        <w:spacing w:line="500" w:lineRule="atLeast"/>
        <w:ind w:firstLine="600"/>
        <w:divId w:val="78601327"/>
        <w:rPr>
          <w:rFonts w:hint="eastAsia"/>
          <w:sz w:val="30"/>
          <w:szCs w:val="30"/>
        </w:rPr>
      </w:pPr>
      <w:r>
        <w:rPr>
          <w:rFonts w:hint="eastAsia"/>
          <w:sz w:val="30"/>
          <w:szCs w:val="30"/>
        </w:rPr>
        <w:t>三、《中华人民共和国民事诉讼法》</w:t>
      </w:r>
    </w:p>
    <w:p w:rsidR="00000000" w:rsidRDefault="00973334">
      <w:pPr>
        <w:spacing w:line="500" w:lineRule="atLeast"/>
        <w:ind w:firstLine="600"/>
        <w:divId w:val="1127433163"/>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3334" w:rsidRDefault="00973334" w:rsidP="00973334">
      <w:r>
        <w:separator/>
      </w:r>
    </w:p>
  </w:endnote>
  <w:endnote w:type="continuationSeparator" w:id="0">
    <w:p w:rsidR="00973334" w:rsidRDefault="00973334" w:rsidP="00973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3334" w:rsidRDefault="00973334" w:rsidP="00973334">
      <w:r>
        <w:separator/>
      </w:r>
    </w:p>
  </w:footnote>
  <w:footnote w:type="continuationSeparator" w:id="0">
    <w:p w:rsidR="00973334" w:rsidRDefault="00973334" w:rsidP="009733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73334"/>
    <w:rsid w:val="00973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733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3334"/>
    <w:rPr>
      <w:rFonts w:ascii="宋体" w:eastAsia="宋体" w:hAnsi="宋体" w:cs="宋体"/>
      <w:sz w:val="18"/>
      <w:szCs w:val="18"/>
    </w:rPr>
  </w:style>
  <w:style w:type="paragraph" w:styleId="a5">
    <w:name w:val="footer"/>
    <w:basedOn w:val="a"/>
    <w:link w:val="a6"/>
    <w:uiPriority w:val="99"/>
    <w:unhideWhenUsed/>
    <w:rsid w:val="00973334"/>
    <w:pPr>
      <w:tabs>
        <w:tab w:val="center" w:pos="4153"/>
        <w:tab w:val="right" w:pos="8306"/>
      </w:tabs>
      <w:snapToGrid w:val="0"/>
    </w:pPr>
    <w:rPr>
      <w:sz w:val="18"/>
      <w:szCs w:val="18"/>
    </w:rPr>
  </w:style>
  <w:style w:type="character" w:customStyle="1" w:styleId="a6">
    <w:name w:val="页脚 字符"/>
    <w:basedOn w:val="a0"/>
    <w:link w:val="a5"/>
    <w:uiPriority w:val="99"/>
    <w:rsid w:val="0097333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3956">
      <w:marLeft w:val="0"/>
      <w:marRight w:val="0"/>
      <w:marTop w:val="10"/>
      <w:marBottom w:val="10"/>
      <w:divBdr>
        <w:top w:val="none" w:sz="0" w:space="0" w:color="auto"/>
        <w:left w:val="none" w:sz="0" w:space="0" w:color="auto"/>
        <w:bottom w:val="none" w:sz="0" w:space="0" w:color="auto"/>
        <w:right w:val="none" w:sz="0" w:space="0" w:color="auto"/>
      </w:divBdr>
    </w:div>
    <w:div w:id="47655140">
      <w:marLeft w:val="0"/>
      <w:marRight w:val="0"/>
      <w:marTop w:val="10"/>
      <w:marBottom w:val="10"/>
      <w:divBdr>
        <w:top w:val="none" w:sz="0" w:space="0" w:color="auto"/>
        <w:left w:val="none" w:sz="0" w:space="0" w:color="auto"/>
        <w:bottom w:val="none" w:sz="0" w:space="0" w:color="auto"/>
        <w:right w:val="none" w:sz="0" w:space="0" w:color="auto"/>
      </w:divBdr>
    </w:div>
    <w:div w:id="51926637">
      <w:marLeft w:val="0"/>
      <w:marRight w:val="0"/>
      <w:marTop w:val="10"/>
      <w:marBottom w:val="10"/>
      <w:divBdr>
        <w:top w:val="none" w:sz="0" w:space="0" w:color="auto"/>
        <w:left w:val="none" w:sz="0" w:space="0" w:color="auto"/>
        <w:bottom w:val="none" w:sz="0" w:space="0" w:color="auto"/>
        <w:right w:val="none" w:sz="0" w:space="0" w:color="auto"/>
      </w:divBdr>
    </w:div>
    <w:div w:id="54744731">
      <w:marLeft w:val="0"/>
      <w:marRight w:val="0"/>
      <w:marTop w:val="10"/>
      <w:marBottom w:val="10"/>
      <w:divBdr>
        <w:top w:val="none" w:sz="0" w:space="0" w:color="auto"/>
        <w:left w:val="none" w:sz="0" w:space="0" w:color="auto"/>
        <w:bottom w:val="none" w:sz="0" w:space="0" w:color="auto"/>
        <w:right w:val="none" w:sz="0" w:space="0" w:color="auto"/>
      </w:divBdr>
    </w:div>
    <w:div w:id="71699981">
      <w:marLeft w:val="0"/>
      <w:marRight w:val="0"/>
      <w:marTop w:val="10"/>
      <w:marBottom w:val="10"/>
      <w:divBdr>
        <w:top w:val="none" w:sz="0" w:space="0" w:color="auto"/>
        <w:left w:val="none" w:sz="0" w:space="0" w:color="auto"/>
        <w:bottom w:val="none" w:sz="0" w:space="0" w:color="auto"/>
        <w:right w:val="none" w:sz="0" w:space="0" w:color="auto"/>
      </w:divBdr>
    </w:div>
    <w:div w:id="78601327">
      <w:marLeft w:val="0"/>
      <w:marRight w:val="0"/>
      <w:marTop w:val="10"/>
      <w:marBottom w:val="10"/>
      <w:divBdr>
        <w:top w:val="none" w:sz="0" w:space="0" w:color="auto"/>
        <w:left w:val="none" w:sz="0" w:space="0" w:color="auto"/>
        <w:bottom w:val="none" w:sz="0" w:space="0" w:color="auto"/>
        <w:right w:val="none" w:sz="0" w:space="0" w:color="auto"/>
      </w:divBdr>
    </w:div>
    <w:div w:id="138960162">
      <w:marLeft w:val="0"/>
      <w:marRight w:val="0"/>
      <w:marTop w:val="10"/>
      <w:marBottom w:val="10"/>
      <w:divBdr>
        <w:top w:val="none" w:sz="0" w:space="0" w:color="auto"/>
        <w:left w:val="none" w:sz="0" w:space="0" w:color="auto"/>
        <w:bottom w:val="none" w:sz="0" w:space="0" w:color="auto"/>
        <w:right w:val="none" w:sz="0" w:space="0" w:color="auto"/>
      </w:divBdr>
    </w:div>
    <w:div w:id="212931475">
      <w:marLeft w:val="0"/>
      <w:marRight w:val="0"/>
      <w:marTop w:val="10"/>
      <w:marBottom w:val="10"/>
      <w:divBdr>
        <w:top w:val="none" w:sz="0" w:space="0" w:color="auto"/>
        <w:left w:val="none" w:sz="0" w:space="0" w:color="auto"/>
        <w:bottom w:val="none" w:sz="0" w:space="0" w:color="auto"/>
        <w:right w:val="none" w:sz="0" w:space="0" w:color="auto"/>
      </w:divBdr>
    </w:div>
    <w:div w:id="249855599">
      <w:marLeft w:val="0"/>
      <w:marRight w:val="0"/>
      <w:marTop w:val="10"/>
      <w:marBottom w:val="10"/>
      <w:divBdr>
        <w:top w:val="none" w:sz="0" w:space="0" w:color="auto"/>
        <w:left w:val="none" w:sz="0" w:space="0" w:color="auto"/>
        <w:bottom w:val="none" w:sz="0" w:space="0" w:color="auto"/>
        <w:right w:val="none" w:sz="0" w:space="0" w:color="auto"/>
      </w:divBdr>
    </w:div>
    <w:div w:id="256907799">
      <w:marLeft w:val="0"/>
      <w:marRight w:val="0"/>
      <w:marTop w:val="10"/>
      <w:marBottom w:val="10"/>
      <w:divBdr>
        <w:top w:val="none" w:sz="0" w:space="0" w:color="auto"/>
        <w:left w:val="none" w:sz="0" w:space="0" w:color="auto"/>
        <w:bottom w:val="none" w:sz="0" w:space="0" w:color="auto"/>
        <w:right w:val="none" w:sz="0" w:space="0" w:color="auto"/>
      </w:divBdr>
    </w:div>
    <w:div w:id="270480224">
      <w:marLeft w:val="0"/>
      <w:marRight w:val="720"/>
      <w:marTop w:val="10"/>
      <w:marBottom w:val="10"/>
      <w:divBdr>
        <w:top w:val="none" w:sz="0" w:space="0" w:color="auto"/>
        <w:left w:val="none" w:sz="0" w:space="0" w:color="auto"/>
        <w:bottom w:val="none" w:sz="0" w:space="0" w:color="auto"/>
        <w:right w:val="none" w:sz="0" w:space="0" w:color="auto"/>
      </w:divBdr>
    </w:div>
    <w:div w:id="323431943">
      <w:marLeft w:val="0"/>
      <w:marRight w:val="0"/>
      <w:marTop w:val="10"/>
      <w:marBottom w:val="10"/>
      <w:divBdr>
        <w:top w:val="none" w:sz="0" w:space="0" w:color="auto"/>
        <w:left w:val="none" w:sz="0" w:space="0" w:color="auto"/>
        <w:bottom w:val="none" w:sz="0" w:space="0" w:color="auto"/>
        <w:right w:val="none" w:sz="0" w:space="0" w:color="auto"/>
      </w:divBdr>
    </w:div>
    <w:div w:id="365259629">
      <w:marLeft w:val="0"/>
      <w:marRight w:val="0"/>
      <w:marTop w:val="10"/>
      <w:marBottom w:val="10"/>
      <w:divBdr>
        <w:top w:val="none" w:sz="0" w:space="0" w:color="auto"/>
        <w:left w:val="none" w:sz="0" w:space="0" w:color="auto"/>
        <w:bottom w:val="none" w:sz="0" w:space="0" w:color="auto"/>
        <w:right w:val="none" w:sz="0" w:space="0" w:color="auto"/>
      </w:divBdr>
    </w:div>
    <w:div w:id="431626204">
      <w:marLeft w:val="0"/>
      <w:marRight w:val="0"/>
      <w:marTop w:val="10"/>
      <w:marBottom w:val="10"/>
      <w:divBdr>
        <w:top w:val="none" w:sz="0" w:space="0" w:color="auto"/>
        <w:left w:val="none" w:sz="0" w:space="0" w:color="auto"/>
        <w:bottom w:val="none" w:sz="0" w:space="0" w:color="auto"/>
        <w:right w:val="none" w:sz="0" w:space="0" w:color="auto"/>
      </w:divBdr>
    </w:div>
    <w:div w:id="545410206">
      <w:marLeft w:val="0"/>
      <w:marRight w:val="0"/>
      <w:marTop w:val="10"/>
      <w:marBottom w:val="10"/>
      <w:divBdr>
        <w:top w:val="none" w:sz="0" w:space="0" w:color="auto"/>
        <w:left w:val="none" w:sz="0" w:space="0" w:color="auto"/>
        <w:bottom w:val="none" w:sz="0" w:space="0" w:color="auto"/>
        <w:right w:val="none" w:sz="0" w:space="0" w:color="auto"/>
      </w:divBdr>
    </w:div>
    <w:div w:id="589849354">
      <w:marLeft w:val="0"/>
      <w:marRight w:val="0"/>
      <w:marTop w:val="10"/>
      <w:marBottom w:val="10"/>
      <w:divBdr>
        <w:top w:val="none" w:sz="0" w:space="0" w:color="auto"/>
        <w:left w:val="none" w:sz="0" w:space="0" w:color="auto"/>
        <w:bottom w:val="none" w:sz="0" w:space="0" w:color="auto"/>
        <w:right w:val="none" w:sz="0" w:space="0" w:color="auto"/>
      </w:divBdr>
    </w:div>
    <w:div w:id="640769604">
      <w:marLeft w:val="0"/>
      <w:marRight w:val="0"/>
      <w:marTop w:val="10"/>
      <w:marBottom w:val="10"/>
      <w:divBdr>
        <w:top w:val="none" w:sz="0" w:space="0" w:color="auto"/>
        <w:left w:val="none" w:sz="0" w:space="0" w:color="auto"/>
        <w:bottom w:val="none" w:sz="0" w:space="0" w:color="auto"/>
        <w:right w:val="none" w:sz="0" w:space="0" w:color="auto"/>
      </w:divBdr>
    </w:div>
    <w:div w:id="641354483">
      <w:marLeft w:val="0"/>
      <w:marRight w:val="0"/>
      <w:marTop w:val="10"/>
      <w:marBottom w:val="10"/>
      <w:divBdr>
        <w:top w:val="none" w:sz="0" w:space="0" w:color="auto"/>
        <w:left w:val="none" w:sz="0" w:space="0" w:color="auto"/>
        <w:bottom w:val="none" w:sz="0" w:space="0" w:color="auto"/>
        <w:right w:val="none" w:sz="0" w:space="0" w:color="auto"/>
      </w:divBdr>
    </w:div>
    <w:div w:id="704869404">
      <w:marLeft w:val="0"/>
      <w:marRight w:val="0"/>
      <w:marTop w:val="10"/>
      <w:marBottom w:val="10"/>
      <w:divBdr>
        <w:top w:val="none" w:sz="0" w:space="0" w:color="auto"/>
        <w:left w:val="none" w:sz="0" w:space="0" w:color="auto"/>
        <w:bottom w:val="none" w:sz="0" w:space="0" w:color="auto"/>
        <w:right w:val="none" w:sz="0" w:space="0" w:color="auto"/>
      </w:divBdr>
    </w:div>
    <w:div w:id="775253401">
      <w:marLeft w:val="0"/>
      <w:marRight w:val="0"/>
      <w:marTop w:val="10"/>
      <w:marBottom w:val="10"/>
      <w:divBdr>
        <w:top w:val="none" w:sz="0" w:space="0" w:color="auto"/>
        <w:left w:val="none" w:sz="0" w:space="0" w:color="auto"/>
        <w:bottom w:val="none" w:sz="0" w:space="0" w:color="auto"/>
        <w:right w:val="none" w:sz="0" w:space="0" w:color="auto"/>
      </w:divBdr>
    </w:div>
    <w:div w:id="826366019">
      <w:marLeft w:val="0"/>
      <w:marRight w:val="0"/>
      <w:marTop w:val="10"/>
      <w:marBottom w:val="10"/>
      <w:divBdr>
        <w:top w:val="none" w:sz="0" w:space="0" w:color="auto"/>
        <w:left w:val="none" w:sz="0" w:space="0" w:color="auto"/>
        <w:bottom w:val="none" w:sz="0" w:space="0" w:color="auto"/>
        <w:right w:val="none" w:sz="0" w:space="0" w:color="auto"/>
      </w:divBdr>
    </w:div>
    <w:div w:id="943734388">
      <w:marLeft w:val="0"/>
      <w:marRight w:val="0"/>
      <w:marTop w:val="10"/>
      <w:marBottom w:val="10"/>
      <w:divBdr>
        <w:top w:val="none" w:sz="0" w:space="0" w:color="auto"/>
        <w:left w:val="none" w:sz="0" w:space="0" w:color="auto"/>
        <w:bottom w:val="none" w:sz="0" w:space="0" w:color="auto"/>
        <w:right w:val="none" w:sz="0" w:space="0" w:color="auto"/>
      </w:divBdr>
    </w:div>
    <w:div w:id="964039164">
      <w:marLeft w:val="0"/>
      <w:marRight w:val="720"/>
      <w:marTop w:val="10"/>
      <w:marBottom w:val="10"/>
      <w:divBdr>
        <w:top w:val="none" w:sz="0" w:space="0" w:color="auto"/>
        <w:left w:val="none" w:sz="0" w:space="0" w:color="auto"/>
        <w:bottom w:val="none" w:sz="0" w:space="0" w:color="auto"/>
        <w:right w:val="none" w:sz="0" w:space="0" w:color="auto"/>
      </w:divBdr>
    </w:div>
    <w:div w:id="1042169010">
      <w:marLeft w:val="0"/>
      <w:marRight w:val="0"/>
      <w:marTop w:val="10"/>
      <w:marBottom w:val="10"/>
      <w:divBdr>
        <w:top w:val="none" w:sz="0" w:space="0" w:color="auto"/>
        <w:left w:val="none" w:sz="0" w:space="0" w:color="auto"/>
        <w:bottom w:val="none" w:sz="0" w:space="0" w:color="auto"/>
        <w:right w:val="none" w:sz="0" w:space="0" w:color="auto"/>
      </w:divBdr>
    </w:div>
    <w:div w:id="1077631946">
      <w:marLeft w:val="0"/>
      <w:marRight w:val="0"/>
      <w:marTop w:val="10"/>
      <w:marBottom w:val="10"/>
      <w:divBdr>
        <w:top w:val="none" w:sz="0" w:space="0" w:color="auto"/>
        <w:left w:val="none" w:sz="0" w:space="0" w:color="auto"/>
        <w:bottom w:val="none" w:sz="0" w:space="0" w:color="auto"/>
        <w:right w:val="none" w:sz="0" w:space="0" w:color="auto"/>
      </w:divBdr>
    </w:div>
    <w:div w:id="1127433163">
      <w:marLeft w:val="0"/>
      <w:marRight w:val="0"/>
      <w:marTop w:val="10"/>
      <w:marBottom w:val="10"/>
      <w:divBdr>
        <w:top w:val="none" w:sz="0" w:space="0" w:color="auto"/>
        <w:left w:val="none" w:sz="0" w:space="0" w:color="auto"/>
        <w:bottom w:val="none" w:sz="0" w:space="0" w:color="auto"/>
        <w:right w:val="none" w:sz="0" w:space="0" w:color="auto"/>
      </w:divBdr>
    </w:div>
    <w:div w:id="1353724085">
      <w:marLeft w:val="0"/>
      <w:marRight w:val="0"/>
      <w:marTop w:val="10"/>
      <w:marBottom w:val="10"/>
      <w:divBdr>
        <w:top w:val="none" w:sz="0" w:space="0" w:color="auto"/>
        <w:left w:val="none" w:sz="0" w:space="0" w:color="auto"/>
        <w:bottom w:val="none" w:sz="0" w:space="0" w:color="auto"/>
        <w:right w:val="none" w:sz="0" w:space="0" w:color="auto"/>
      </w:divBdr>
    </w:div>
    <w:div w:id="1370960590">
      <w:marLeft w:val="0"/>
      <w:marRight w:val="0"/>
      <w:marTop w:val="10"/>
      <w:marBottom w:val="10"/>
      <w:divBdr>
        <w:top w:val="none" w:sz="0" w:space="0" w:color="auto"/>
        <w:left w:val="none" w:sz="0" w:space="0" w:color="auto"/>
        <w:bottom w:val="none" w:sz="0" w:space="0" w:color="auto"/>
        <w:right w:val="none" w:sz="0" w:space="0" w:color="auto"/>
      </w:divBdr>
    </w:div>
    <w:div w:id="1438603259">
      <w:marLeft w:val="0"/>
      <w:marRight w:val="0"/>
      <w:marTop w:val="10"/>
      <w:marBottom w:val="10"/>
      <w:divBdr>
        <w:top w:val="none" w:sz="0" w:space="0" w:color="auto"/>
        <w:left w:val="none" w:sz="0" w:space="0" w:color="auto"/>
        <w:bottom w:val="none" w:sz="0" w:space="0" w:color="auto"/>
        <w:right w:val="none" w:sz="0" w:space="0" w:color="auto"/>
      </w:divBdr>
    </w:div>
    <w:div w:id="1447433444">
      <w:marLeft w:val="0"/>
      <w:marRight w:val="0"/>
      <w:marTop w:val="10"/>
      <w:marBottom w:val="10"/>
      <w:divBdr>
        <w:top w:val="none" w:sz="0" w:space="0" w:color="auto"/>
        <w:left w:val="none" w:sz="0" w:space="0" w:color="auto"/>
        <w:bottom w:val="none" w:sz="0" w:space="0" w:color="auto"/>
        <w:right w:val="none" w:sz="0" w:space="0" w:color="auto"/>
      </w:divBdr>
    </w:div>
    <w:div w:id="1600721740">
      <w:marLeft w:val="0"/>
      <w:marRight w:val="0"/>
      <w:marTop w:val="10"/>
      <w:marBottom w:val="10"/>
      <w:divBdr>
        <w:top w:val="none" w:sz="0" w:space="0" w:color="auto"/>
        <w:left w:val="none" w:sz="0" w:space="0" w:color="auto"/>
        <w:bottom w:val="none" w:sz="0" w:space="0" w:color="auto"/>
        <w:right w:val="none" w:sz="0" w:space="0" w:color="auto"/>
      </w:divBdr>
    </w:div>
    <w:div w:id="1619532432">
      <w:marLeft w:val="0"/>
      <w:marRight w:val="0"/>
      <w:marTop w:val="10"/>
      <w:marBottom w:val="10"/>
      <w:divBdr>
        <w:top w:val="none" w:sz="0" w:space="0" w:color="auto"/>
        <w:left w:val="none" w:sz="0" w:space="0" w:color="auto"/>
        <w:bottom w:val="none" w:sz="0" w:space="0" w:color="auto"/>
        <w:right w:val="none" w:sz="0" w:space="0" w:color="auto"/>
      </w:divBdr>
    </w:div>
    <w:div w:id="1649630823">
      <w:marLeft w:val="0"/>
      <w:marRight w:val="0"/>
      <w:marTop w:val="10"/>
      <w:marBottom w:val="10"/>
      <w:divBdr>
        <w:top w:val="none" w:sz="0" w:space="0" w:color="auto"/>
        <w:left w:val="none" w:sz="0" w:space="0" w:color="auto"/>
        <w:bottom w:val="none" w:sz="0" w:space="0" w:color="auto"/>
        <w:right w:val="none" w:sz="0" w:space="0" w:color="auto"/>
      </w:divBdr>
    </w:div>
    <w:div w:id="1751777498">
      <w:marLeft w:val="0"/>
      <w:marRight w:val="0"/>
      <w:marTop w:val="10"/>
      <w:marBottom w:val="10"/>
      <w:divBdr>
        <w:top w:val="none" w:sz="0" w:space="0" w:color="auto"/>
        <w:left w:val="none" w:sz="0" w:space="0" w:color="auto"/>
        <w:bottom w:val="none" w:sz="0" w:space="0" w:color="auto"/>
        <w:right w:val="none" w:sz="0" w:space="0" w:color="auto"/>
      </w:divBdr>
    </w:div>
    <w:div w:id="1793938028">
      <w:marLeft w:val="0"/>
      <w:marRight w:val="0"/>
      <w:marTop w:val="10"/>
      <w:marBottom w:val="10"/>
      <w:divBdr>
        <w:top w:val="none" w:sz="0" w:space="0" w:color="auto"/>
        <w:left w:val="none" w:sz="0" w:space="0" w:color="auto"/>
        <w:bottom w:val="none" w:sz="0" w:space="0" w:color="auto"/>
        <w:right w:val="none" w:sz="0" w:space="0" w:color="auto"/>
      </w:divBdr>
    </w:div>
    <w:div w:id="1798405418">
      <w:marLeft w:val="0"/>
      <w:marRight w:val="0"/>
      <w:marTop w:val="10"/>
      <w:marBottom w:val="10"/>
      <w:divBdr>
        <w:top w:val="none" w:sz="0" w:space="0" w:color="auto"/>
        <w:left w:val="none" w:sz="0" w:space="0" w:color="auto"/>
        <w:bottom w:val="none" w:sz="0" w:space="0" w:color="auto"/>
        <w:right w:val="none" w:sz="0" w:space="0" w:color="auto"/>
      </w:divBdr>
    </w:div>
    <w:div w:id="1821380323">
      <w:marLeft w:val="0"/>
      <w:marRight w:val="720"/>
      <w:marTop w:val="10"/>
      <w:marBottom w:val="10"/>
      <w:divBdr>
        <w:top w:val="none" w:sz="0" w:space="0" w:color="auto"/>
        <w:left w:val="none" w:sz="0" w:space="0" w:color="auto"/>
        <w:bottom w:val="none" w:sz="0" w:space="0" w:color="auto"/>
        <w:right w:val="none" w:sz="0" w:space="0" w:color="auto"/>
      </w:divBdr>
    </w:div>
    <w:div w:id="1838300748">
      <w:marLeft w:val="0"/>
      <w:marRight w:val="0"/>
      <w:marTop w:val="10"/>
      <w:marBottom w:val="10"/>
      <w:divBdr>
        <w:top w:val="none" w:sz="0" w:space="0" w:color="auto"/>
        <w:left w:val="none" w:sz="0" w:space="0" w:color="auto"/>
        <w:bottom w:val="none" w:sz="0" w:space="0" w:color="auto"/>
        <w:right w:val="none" w:sz="0" w:space="0" w:color="auto"/>
      </w:divBdr>
    </w:div>
    <w:div w:id="1871675270">
      <w:marLeft w:val="0"/>
      <w:marRight w:val="0"/>
      <w:marTop w:val="10"/>
      <w:marBottom w:val="10"/>
      <w:divBdr>
        <w:top w:val="none" w:sz="0" w:space="0" w:color="auto"/>
        <w:left w:val="none" w:sz="0" w:space="0" w:color="auto"/>
        <w:bottom w:val="none" w:sz="0" w:space="0" w:color="auto"/>
        <w:right w:val="none" w:sz="0" w:space="0" w:color="auto"/>
      </w:divBdr>
    </w:div>
    <w:div w:id="1926836476">
      <w:marLeft w:val="0"/>
      <w:marRight w:val="0"/>
      <w:marTop w:val="10"/>
      <w:marBottom w:val="10"/>
      <w:divBdr>
        <w:top w:val="none" w:sz="0" w:space="0" w:color="auto"/>
        <w:left w:val="none" w:sz="0" w:space="0" w:color="auto"/>
        <w:bottom w:val="none" w:sz="0" w:space="0" w:color="auto"/>
        <w:right w:val="none" w:sz="0" w:space="0" w:color="auto"/>
      </w:divBdr>
    </w:div>
    <w:div w:id="1929608272">
      <w:marLeft w:val="0"/>
      <w:marRight w:val="720"/>
      <w:marTop w:val="10"/>
      <w:marBottom w:val="10"/>
      <w:divBdr>
        <w:top w:val="none" w:sz="0" w:space="0" w:color="auto"/>
        <w:left w:val="none" w:sz="0" w:space="0" w:color="auto"/>
        <w:bottom w:val="none" w:sz="0" w:space="0" w:color="auto"/>
        <w:right w:val="none" w:sz="0" w:space="0" w:color="auto"/>
      </w:divBdr>
    </w:div>
    <w:div w:id="1980062833">
      <w:marLeft w:val="0"/>
      <w:marRight w:val="0"/>
      <w:marTop w:val="10"/>
      <w:marBottom w:val="10"/>
      <w:divBdr>
        <w:top w:val="none" w:sz="0" w:space="0" w:color="auto"/>
        <w:left w:val="none" w:sz="0" w:space="0" w:color="auto"/>
        <w:bottom w:val="none" w:sz="0" w:space="0" w:color="auto"/>
        <w:right w:val="none" w:sz="0" w:space="0" w:color="auto"/>
      </w:divBdr>
    </w:div>
    <w:div w:id="2014531444">
      <w:marLeft w:val="0"/>
      <w:marRight w:val="0"/>
      <w:marTop w:val="10"/>
      <w:marBottom w:val="10"/>
      <w:divBdr>
        <w:top w:val="none" w:sz="0" w:space="0" w:color="auto"/>
        <w:left w:val="none" w:sz="0" w:space="0" w:color="auto"/>
        <w:bottom w:val="none" w:sz="0" w:space="0" w:color="auto"/>
        <w:right w:val="none" w:sz="0" w:space="0" w:color="auto"/>
      </w:divBdr>
    </w:div>
    <w:div w:id="2059667900">
      <w:marLeft w:val="0"/>
      <w:marRight w:val="0"/>
      <w:marTop w:val="10"/>
      <w:marBottom w:val="10"/>
      <w:divBdr>
        <w:top w:val="none" w:sz="0" w:space="0" w:color="auto"/>
        <w:left w:val="none" w:sz="0" w:space="0" w:color="auto"/>
        <w:bottom w:val="none" w:sz="0" w:space="0" w:color="auto"/>
        <w:right w:val="none" w:sz="0" w:space="0" w:color="auto"/>
      </w:divBdr>
    </w:div>
    <w:div w:id="2119830959">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