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C724F">
      <w:pPr>
        <w:spacing w:line="500" w:lineRule="atLeast"/>
        <w:jc w:val="center"/>
        <w:divId w:val="70322052"/>
        <w:rPr>
          <w:rFonts w:ascii="黑体" w:eastAsia="黑体" w:hAnsi="黑体"/>
          <w:sz w:val="36"/>
          <w:szCs w:val="36"/>
        </w:rPr>
      </w:pPr>
      <w:bookmarkStart w:id="0" w:name="_GoBack"/>
      <w:bookmarkEnd w:id="0"/>
      <w:r>
        <w:rPr>
          <w:rFonts w:ascii="黑体" w:eastAsia="黑体" w:hAnsi="黑体" w:hint="eastAsia"/>
          <w:sz w:val="36"/>
          <w:szCs w:val="36"/>
        </w:rPr>
        <w:t>上海市第二中级人民法院</w:t>
      </w:r>
    </w:p>
    <w:p w:rsidR="00000000" w:rsidRDefault="005C724F">
      <w:pPr>
        <w:spacing w:line="500" w:lineRule="atLeast"/>
        <w:jc w:val="center"/>
        <w:divId w:val="135523171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C724F">
      <w:pPr>
        <w:spacing w:line="500" w:lineRule="atLeast"/>
        <w:jc w:val="right"/>
        <w:divId w:val="1602686789"/>
        <w:rPr>
          <w:rFonts w:hint="eastAsia"/>
          <w:sz w:val="30"/>
          <w:szCs w:val="30"/>
        </w:rPr>
      </w:pPr>
      <w:r>
        <w:rPr>
          <w:rFonts w:hint="eastAsia"/>
          <w:sz w:val="30"/>
          <w:szCs w:val="30"/>
        </w:rPr>
        <w:t>（</w:t>
      </w:r>
      <w:r>
        <w:rPr>
          <w:rFonts w:hint="eastAsia"/>
          <w:sz w:val="30"/>
          <w:szCs w:val="30"/>
        </w:rPr>
        <w:t>2014</w:t>
      </w:r>
      <w:r>
        <w:rPr>
          <w:rFonts w:hint="eastAsia"/>
          <w:sz w:val="30"/>
          <w:szCs w:val="30"/>
        </w:rPr>
        <w:t>）沪二中民四（商）终字第</w:t>
      </w:r>
      <w:r>
        <w:rPr>
          <w:rFonts w:hint="eastAsia"/>
          <w:sz w:val="30"/>
          <w:szCs w:val="30"/>
        </w:rPr>
        <w:t>757</w:t>
      </w:r>
      <w:r>
        <w:rPr>
          <w:rFonts w:hint="eastAsia"/>
          <w:sz w:val="30"/>
          <w:szCs w:val="30"/>
        </w:rPr>
        <w:t>号</w:t>
      </w:r>
    </w:p>
    <w:p w:rsidR="00000000" w:rsidRDefault="005C724F">
      <w:pPr>
        <w:spacing w:line="500" w:lineRule="atLeast"/>
        <w:ind w:firstLine="600"/>
        <w:divId w:val="1606231666"/>
        <w:rPr>
          <w:rFonts w:hint="eastAsia"/>
          <w:sz w:val="30"/>
          <w:szCs w:val="30"/>
        </w:rPr>
      </w:pPr>
      <w:r>
        <w:rPr>
          <w:rFonts w:hint="eastAsia"/>
          <w:sz w:val="30"/>
          <w:szCs w:val="30"/>
        </w:rPr>
        <w:t>上诉人（原审原告）上海水生环境工程有限公司。</w:t>
      </w:r>
    </w:p>
    <w:p w:rsidR="00000000" w:rsidRDefault="005C724F">
      <w:pPr>
        <w:spacing w:line="500" w:lineRule="atLeast"/>
        <w:ind w:firstLine="600"/>
        <w:divId w:val="1729719142"/>
        <w:rPr>
          <w:rFonts w:hint="eastAsia"/>
          <w:sz w:val="30"/>
          <w:szCs w:val="30"/>
        </w:rPr>
      </w:pPr>
      <w:r>
        <w:rPr>
          <w:rFonts w:hint="eastAsia"/>
          <w:sz w:val="30"/>
          <w:szCs w:val="30"/>
        </w:rPr>
        <w:t>法定代表人王丽卿。</w:t>
      </w:r>
    </w:p>
    <w:p w:rsidR="00000000" w:rsidRDefault="005C724F">
      <w:pPr>
        <w:spacing w:line="500" w:lineRule="atLeast"/>
        <w:ind w:firstLine="600"/>
        <w:divId w:val="1154948257"/>
        <w:rPr>
          <w:rFonts w:hint="eastAsia"/>
          <w:sz w:val="30"/>
          <w:szCs w:val="30"/>
        </w:rPr>
      </w:pPr>
      <w:r>
        <w:rPr>
          <w:rFonts w:hint="eastAsia"/>
          <w:sz w:val="30"/>
          <w:szCs w:val="30"/>
        </w:rPr>
        <w:t>委托代理人卢昭宇，上海瀚元律师事务所律师。</w:t>
      </w:r>
    </w:p>
    <w:p w:rsidR="00000000" w:rsidRDefault="005C724F">
      <w:pPr>
        <w:spacing w:line="500" w:lineRule="atLeast"/>
        <w:ind w:firstLine="600"/>
        <w:divId w:val="1289899852"/>
        <w:rPr>
          <w:rFonts w:hint="eastAsia"/>
          <w:sz w:val="30"/>
          <w:szCs w:val="30"/>
        </w:rPr>
      </w:pPr>
      <w:r>
        <w:rPr>
          <w:rFonts w:hint="eastAsia"/>
          <w:sz w:val="30"/>
          <w:szCs w:val="30"/>
        </w:rPr>
        <w:t>委托代理人陶金龙，上海瀚元律师事务所律师。</w:t>
      </w:r>
    </w:p>
    <w:p w:rsidR="00000000" w:rsidRDefault="005C724F">
      <w:pPr>
        <w:spacing w:line="500" w:lineRule="atLeast"/>
        <w:ind w:firstLine="600"/>
        <w:divId w:val="1035155679"/>
        <w:rPr>
          <w:rFonts w:hint="eastAsia"/>
          <w:sz w:val="30"/>
          <w:szCs w:val="30"/>
        </w:rPr>
      </w:pPr>
      <w:r>
        <w:rPr>
          <w:rFonts w:hint="eastAsia"/>
          <w:sz w:val="30"/>
          <w:szCs w:val="30"/>
        </w:rPr>
        <w:t>上诉人（原审被告）方根生。</w:t>
      </w:r>
    </w:p>
    <w:p w:rsidR="00000000" w:rsidRDefault="005C724F">
      <w:pPr>
        <w:spacing w:line="500" w:lineRule="atLeast"/>
        <w:ind w:firstLine="600"/>
        <w:divId w:val="1224099298"/>
        <w:rPr>
          <w:rFonts w:hint="eastAsia"/>
          <w:sz w:val="30"/>
          <w:szCs w:val="30"/>
        </w:rPr>
      </w:pPr>
      <w:r>
        <w:rPr>
          <w:rFonts w:hint="eastAsia"/>
          <w:sz w:val="30"/>
          <w:szCs w:val="30"/>
        </w:rPr>
        <w:t>委托代理人万文志，上海海耀律师事务所律师。</w:t>
      </w:r>
    </w:p>
    <w:p w:rsidR="00000000" w:rsidRDefault="005C724F">
      <w:pPr>
        <w:spacing w:line="500" w:lineRule="atLeast"/>
        <w:ind w:firstLine="600"/>
        <w:divId w:val="414207327"/>
        <w:rPr>
          <w:rFonts w:hint="eastAsia"/>
          <w:sz w:val="30"/>
          <w:szCs w:val="30"/>
        </w:rPr>
      </w:pPr>
      <w:r>
        <w:rPr>
          <w:rFonts w:hint="eastAsia"/>
          <w:sz w:val="30"/>
          <w:szCs w:val="30"/>
        </w:rPr>
        <w:t>委托代理人周若蒙，上海海耀律师事务所律师。</w:t>
      </w:r>
    </w:p>
    <w:p w:rsidR="00000000" w:rsidRDefault="005C724F">
      <w:pPr>
        <w:spacing w:line="500" w:lineRule="atLeast"/>
        <w:ind w:firstLine="600"/>
        <w:divId w:val="1591157576"/>
        <w:rPr>
          <w:rFonts w:hint="eastAsia"/>
          <w:sz w:val="30"/>
          <w:szCs w:val="30"/>
        </w:rPr>
      </w:pPr>
      <w:r>
        <w:rPr>
          <w:rFonts w:hint="eastAsia"/>
          <w:sz w:val="30"/>
          <w:szCs w:val="30"/>
        </w:rPr>
        <w:t>被上诉人（原审被告）上海水生环境科技有限公司。</w:t>
      </w:r>
    </w:p>
    <w:p w:rsidR="00000000" w:rsidRDefault="005C724F">
      <w:pPr>
        <w:spacing w:line="500" w:lineRule="atLeast"/>
        <w:ind w:firstLine="600"/>
        <w:divId w:val="41910061"/>
        <w:rPr>
          <w:rFonts w:hint="eastAsia"/>
          <w:sz w:val="30"/>
          <w:szCs w:val="30"/>
        </w:rPr>
      </w:pPr>
      <w:r>
        <w:rPr>
          <w:rFonts w:hint="eastAsia"/>
          <w:sz w:val="30"/>
          <w:szCs w:val="30"/>
        </w:rPr>
        <w:t>法定代表人方根生。</w:t>
      </w:r>
    </w:p>
    <w:p w:rsidR="00000000" w:rsidRDefault="005C724F">
      <w:pPr>
        <w:spacing w:line="500" w:lineRule="atLeast"/>
        <w:ind w:firstLine="600"/>
        <w:divId w:val="235482663"/>
        <w:rPr>
          <w:rFonts w:hint="eastAsia"/>
          <w:sz w:val="30"/>
          <w:szCs w:val="30"/>
        </w:rPr>
      </w:pPr>
      <w:r>
        <w:rPr>
          <w:rFonts w:hint="eastAsia"/>
          <w:sz w:val="30"/>
          <w:szCs w:val="30"/>
        </w:rPr>
        <w:t>被上诉人（原审被告）陈爱娇。</w:t>
      </w:r>
    </w:p>
    <w:p w:rsidR="00000000" w:rsidRDefault="005C724F">
      <w:pPr>
        <w:spacing w:line="500" w:lineRule="atLeast"/>
        <w:ind w:firstLine="600"/>
        <w:divId w:val="593126574"/>
        <w:rPr>
          <w:rFonts w:hint="eastAsia"/>
          <w:sz w:val="30"/>
          <w:szCs w:val="30"/>
        </w:rPr>
      </w:pPr>
      <w:r>
        <w:rPr>
          <w:rFonts w:hint="eastAsia"/>
          <w:sz w:val="30"/>
          <w:szCs w:val="30"/>
        </w:rPr>
        <w:t>上诉人上海水生环境工程有限公司（以下简称“水生工程公司”）、方根生因损害公司利益责任纠纷一案，不服上海市杨浦区人民法院（</w:t>
      </w:r>
      <w:r>
        <w:rPr>
          <w:rFonts w:hint="eastAsia"/>
          <w:sz w:val="30"/>
          <w:szCs w:val="30"/>
        </w:rPr>
        <w:t>2013</w:t>
      </w:r>
      <w:r>
        <w:rPr>
          <w:rFonts w:hint="eastAsia"/>
          <w:sz w:val="30"/>
          <w:szCs w:val="30"/>
        </w:rPr>
        <w:t>）杨民二（商）初字第</w:t>
      </w:r>
      <w:r>
        <w:rPr>
          <w:rFonts w:hint="eastAsia"/>
          <w:sz w:val="30"/>
          <w:szCs w:val="30"/>
        </w:rPr>
        <w:t>665</w:t>
      </w:r>
      <w:r>
        <w:rPr>
          <w:rFonts w:hint="eastAsia"/>
          <w:sz w:val="30"/>
          <w:szCs w:val="30"/>
        </w:rPr>
        <w:t>号民事判决，向本院提起上诉。本院依法组成合议庭，公开开庭审理了本案。上诉人方根生，水生工程公司的委托代理人卢昭宇，上诉人方根生暨上海水生环境科技有限公司（以下简称“水生科技公司”）及方根生的委托代理人周若蒙到庭参加诉讼。被上诉人陈爱娇经本院合法传唤，未到庭参加诉讼。本案现已审理终结。</w:t>
      </w:r>
    </w:p>
    <w:p w:rsidR="00000000" w:rsidRDefault="005C724F">
      <w:pPr>
        <w:spacing w:line="500" w:lineRule="atLeast"/>
        <w:ind w:firstLine="600"/>
        <w:divId w:val="3243045"/>
        <w:rPr>
          <w:rFonts w:hint="eastAsia"/>
          <w:sz w:val="30"/>
          <w:szCs w:val="30"/>
        </w:rPr>
      </w:pPr>
      <w:r>
        <w:rPr>
          <w:rFonts w:hint="eastAsia"/>
          <w:sz w:val="30"/>
          <w:szCs w:val="30"/>
        </w:rPr>
        <w:t>原审法院经审理查明：</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2012</w:t>
      </w:r>
      <w:r>
        <w:rPr>
          <w:rFonts w:hint="eastAsia"/>
          <w:sz w:val="30"/>
          <w:szCs w:val="30"/>
        </w:rPr>
        <w:t>年</w:t>
      </w:r>
      <w:r>
        <w:rPr>
          <w:rFonts w:hint="eastAsia"/>
          <w:sz w:val="30"/>
          <w:szCs w:val="30"/>
        </w:rPr>
        <w:t>3</w:t>
      </w:r>
      <w:r>
        <w:rPr>
          <w:rFonts w:hint="eastAsia"/>
          <w:sz w:val="30"/>
          <w:szCs w:val="30"/>
        </w:rPr>
        <w:t>月期间，方根生在水生工</w:t>
      </w:r>
      <w:r>
        <w:rPr>
          <w:rFonts w:hint="eastAsia"/>
          <w:sz w:val="30"/>
          <w:szCs w:val="30"/>
        </w:rPr>
        <w:t>程公司处任职。</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日，水生工程公司任命方根生为常务副总经理，负责行政事务和业务工作。</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日，水生科技公司注册成立，工商登记的股东分别为水生工程公司、方根生和陈爱娇，其中方根生持有</w:t>
      </w:r>
      <w:r>
        <w:rPr>
          <w:rFonts w:hint="eastAsia"/>
          <w:sz w:val="30"/>
          <w:szCs w:val="30"/>
        </w:rPr>
        <w:t>90%</w:t>
      </w:r>
      <w:r>
        <w:rPr>
          <w:rFonts w:hint="eastAsia"/>
          <w:sz w:val="30"/>
          <w:szCs w:val="30"/>
        </w:rPr>
        <w:lastRenderedPageBreak/>
        <w:t>股权。</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方根生以水生工程公司的名义出具了《证明》称，水生工程公司在上海同济科技园投资成立了水生科技公司，水生工程公司所有的科技成果及工程经验都将在水生科技公司得以发展和应用，所有工程案例均可转到新公司。方根生在该《证明》上加盖了水生工程公司的公章，并将该《证明》提供给合肥新站综</w:t>
      </w:r>
      <w:r>
        <w:rPr>
          <w:rFonts w:hint="eastAsia"/>
          <w:sz w:val="30"/>
          <w:szCs w:val="30"/>
        </w:rPr>
        <w:t>合开发试验区管委会。</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合肥新站综合开发试验区政府采购中心向水生科技公司发出《中标通知书》二份，告知水生科技公司被确定为陶冲湖景观水体生态水环境治理项目、瑶海公园景观水体生态水环境治理项目的第一中标供应商。之后，水生科技公司承接了以上两个工程项目，进行施工。水生科技公司陆续取得陶冲湖项目工程款</w:t>
      </w:r>
      <w:r>
        <w:rPr>
          <w:rFonts w:hint="eastAsia"/>
          <w:sz w:val="30"/>
          <w:szCs w:val="30"/>
        </w:rPr>
        <w:t>1</w:t>
      </w:r>
      <w:r>
        <w:rPr>
          <w:rFonts w:hint="eastAsia"/>
          <w:sz w:val="30"/>
          <w:szCs w:val="30"/>
        </w:rPr>
        <w:t>，</w:t>
      </w:r>
      <w:r>
        <w:rPr>
          <w:rFonts w:hint="eastAsia"/>
          <w:sz w:val="30"/>
          <w:szCs w:val="30"/>
        </w:rPr>
        <w:t>734</w:t>
      </w:r>
      <w:r>
        <w:rPr>
          <w:rFonts w:hint="eastAsia"/>
          <w:sz w:val="30"/>
          <w:szCs w:val="30"/>
        </w:rPr>
        <w:t>，</w:t>
      </w:r>
      <w:r>
        <w:rPr>
          <w:rFonts w:hint="eastAsia"/>
          <w:sz w:val="30"/>
          <w:szCs w:val="30"/>
        </w:rPr>
        <w:t>000</w:t>
      </w:r>
      <w:r>
        <w:rPr>
          <w:rFonts w:hint="eastAsia"/>
          <w:sz w:val="30"/>
          <w:szCs w:val="30"/>
        </w:rPr>
        <w:t>元（币种为人民币，以下同）和瑶海公园项目工程款</w:t>
      </w:r>
      <w:r>
        <w:rPr>
          <w:rFonts w:hint="eastAsia"/>
          <w:sz w:val="30"/>
          <w:szCs w:val="30"/>
        </w:rPr>
        <w:t>1</w:t>
      </w:r>
      <w:r>
        <w:rPr>
          <w:rFonts w:hint="eastAsia"/>
          <w:sz w:val="30"/>
          <w:szCs w:val="30"/>
        </w:rPr>
        <w:t>，</w:t>
      </w:r>
      <w:r>
        <w:rPr>
          <w:rFonts w:hint="eastAsia"/>
          <w:sz w:val="30"/>
          <w:szCs w:val="30"/>
        </w:rPr>
        <w:t>602</w:t>
      </w:r>
      <w:r>
        <w:rPr>
          <w:rFonts w:hint="eastAsia"/>
          <w:sz w:val="30"/>
          <w:szCs w:val="30"/>
        </w:rPr>
        <w:t>，</w:t>
      </w:r>
      <w:r>
        <w:rPr>
          <w:rFonts w:hint="eastAsia"/>
          <w:sz w:val="30"/>
          <w:szCs w:val="30"/>
        </w:rPr>
        <w:t>000</w:t>
      </w:r>
      <w:r>
        <w:rPr>
          <w:rFonts w:hint="eastAsia"/>
          <w:sz w:val="30"/>
          <w:szCs w:val="30"/>
        </w:rPr>
        <w:t>元。</w:t>
      </w:r>
    </w:p>
    <w:p w:rsidR="00000000" w:rsidRDefault="005C724F">
      <w:pPr>
        <w:spacing w:line="500" w:lineRule="atLeast"/>
        <w:ind w:firstLine="600"/>
        <w:divId w:val="1231427259"/>
        <w:rPr>
          <w:rFonts w:hint="eastAsia"/>
          <w:sz w:val="30"/>
          <w:szCs w:val="30"/>
        </w:rPr>
      </w:pP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日，水生工程公司以方根生未经其同意擅自将水生工程公司作为股东，注册成立水生科技公司为由，向原</w:t>
      </w:r>
      <w:r>
        <w:rPr>
          <w:rFonts w:hint="eastAsia"/>
          <w:sz w:val="30"/>
          <w:szCs w:val="30"/>
        </w:rPr>
        <w:t>审法院提起诉讼，案号为（</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日，该案开庭审理，水生工程公司当庭陈述：“方根生曾经是水生工程公司的高级管理人员，担任公司副总经理，于</w:t>
      </w:r>
      <w:r>
        <w:rPr>
          <w:rFonts w:hint="eastAsia"/>
          <w:sz w:val="30"/>
          <w:szCs w:val="30"/>
        </w:rPr>
        <w:t>2012</w:t>
      </w:r>
      <w:r>
        <w:rPr>
          <w:rFonts w:hint="eastAsia"/>
          <w:sz w:val="30"/>
          <w:szCs w:val="30"/>
        </w:rPr>
        <w:t>年</w:t>
      </w:r>
      <w:r>
        <w:rPr>
          <w:rFonts w:hint="eastAsia"/>
          <w:sz w:val="30"/>
          <w:szCs w:val="30"/>
        </w:rPr>
        <w:t>3</w:t>
      </w:r>
      <w:r>
        <w:rPr>
          <w:rFonts w:hint="eastAsia"/>
          <w:sz w:val="30"/>
          <w:szCs w:val="30"/>
        </w:rPr>
        <w:t>月左右我方发现方私自设立公司后方自动离职”。水生科技公司、方根生及陈爱娇均答：“无异议”。</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日，原审法院作出（</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号民事判决，“确认水生工程公司自始不是被告上海水生环境科技有限公司股东”。该判决书认定如下事实：“方根生曾任水生工程公司公司总经理职务直至</w:t>
      </w:r>
      <w:r>
        <w:rPr>
          <w:rFonts w:hint="eastAsia"/>
          <w:sz w:val="30"/>
          <w:szCs w:val="30"/>
        </w:rPr>
        <w:t>2012</w:t>
      </w:r>
      <w:r>
        <w:rPr>
          <w:rFonts w:hint="eastAsia"/>
          <w:sz w:val="30"/>
          <w:szCs w:val="30"/>
        </w:rPr>
        <w:t>年</w:t>
      </w:r>
      <w:r>
        <w:rPr>
          <w:rFonts w:hint="eastAsia"/>
          <w:sz w:val="30"/>
          <w:szCs w:val="30"/>
        </w:rPr>
        <w:t>3</w:t>
      </w:r>
      <w:r>
        <w:rPr>
          <w:rFonts w:hint="eastAsia"/>
          <w:sz w:val="30"/>
          <w:szCs w:val="30"/>
        </w:rPr>
        <w:t>月”。水</w:t>
      </w:r>
      <w:r>
        <w:rPr>
          <w:rFonts w:hint="eastAsia"/>
          <w:sz w:val="30"/>
          <w:szCs w:val="30"/>
        </w:rPr>
        <w:t>生科技公司、方根生及陈爱娇不服，提起上诉。</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日，本院作出（</w:t>
      </w:r>
      <w:r>
        <w:rPr>
          <w:rFonts w:hint="eastAsia"/>
          <w:sz w:val="30"/>
          <w:szCs w:val="30"/>
        </w:rPr>
        <w:t>2012</w:t>
      </w:r>
      <w:r>
        <w:rPr>
          <w:rFonts w:hint="eastAsia"/>
          <w:sz w:val="30"/>
          <w:szCs w:val="30"/>
        </w:rPr>
        <w:t>）沪二中民四（商）终字第</w:t>
      </w:r>
      <w:r>
        <w:rPr>
          <w:rFonts w:hint="eastAsia"/>
          <w:sz w:val="30"/>
          <w:szCs w:val="30"/>
        </w:rPr>
        <w:t>1240</w:t>
      </w:r>
      <w:r>
        <w:rPr>
          <w:rFonts w:hint="eastAsia"/>
          <w:sz w:val="30"/>
          <w:szCs w:val="30"/>
        </w:rPr>
        <w:t>号民事裁定，准许上诉人水生科技公司、方根生及陈爱娇</w:t>
      </w:r>
      <w:r>
        <w:rPr>
          <w:rFonts w:hint="eastAsia"/>
          <w:sz w:val="30"/>
          <w:szCs w:val="30"/>
        </w:rPr>
        <w:lastRenderedPageBreak/>
        <w:t>撤回上诉。以上判决生效后，工商行政管理局于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日依法吊销了水生科技公司的营业执照。</w:t>
      </w:r>
    </w:p>
    <w:p w:rsidR="00000000" w:rsidRDefault="005C724F">
      <w:pPr>
        <w:spacing w:line="500" w:lineRule="atLeast"/>
        <w:ind w:firstLine="600"/>
        <w:divId w:val="362024129"/>
        <w:rPr>
          <w:rFonts w:hint="eastAsia"/>
          <w:sz w:val="30"/>
          <w:szCs w:val="30"/>
        </w:rPr>
      </w:pPr>
      <w:r>
        <w:rPr>
          <w:rFonts w:hint="eastAsia"/>
          <w:sz w:val="30"/>
          <w:szCs w:val="30"/>
        </w:rPr>
        <w:t>原审另查明，水生工程公司于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日曾就本案向原审法院提起诉讼，案号为（</w:t>
      </w:r>
      <w:r>
        <w:rPr>
          <w:rFonts w:hint="eastAsia"/>
          <w:sz w:val="30"/>
          <w:szCs w:val="30"/>
        </w:rPr>
        <w:t>2013</w:t>
      </w:r>
      <w:r>
        <w:rPr>
          <w:rFonts w:hint="eastAsia"/>
          <w:sz w:val="30"/>
          <w:szCs w:val="30"/>
        </w:rPr>
        <w:t>）杨民二（商）初字第</w:t>
      </w:r>
      <w:r>
        <w:rPr>
          <w:rFonts w:hint="eastAsia"/>
          <w:sz w:val="30"/>
          <w:szCs w:val="30"/>
        </w:rPr>
        <w:t>102</w:t>
      </w:r>
      <w:r>
        <w:rPr>
          <w:rFonts w:hint="eastAsia"/>
          <w:sz w:val="30"/>
          <w:szCs w:val="30"/>
        </w:rPr>
        <w:t>号。</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日，水生工程公司因故撤回了起诉。之后，水生工程公司又于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日向原审法院提起本案诉讼，请求判令：方</w:t>
      </w:r>
      <w:r>
        <w:rPr>
          <w:rFonts w:hint="eastAsia"/>
          <w:sz w:val="30"/>
          <w:szCs w:val="30"/>
        </w:rPr>
        <w:t>根生、水生科技公司、陈爱娇共同赔偿水生工程公司损失</w:t>
      </w:r>
      <w:r>
        <w:rPr>
          <w:rFonts w:hint="eastAsia"/>
          <w:sz w:val="30"/>
          <w:szCs w:val="30"/>
        </w:rPr>
        <w:t>2</w:t>
      </w:r>
      <w:r>
        <w:rPr>
          <w:rFonts w:hint="eastAsia"/>
          <w:sz w:val="30"/>
          <w:szCs w:val="30"/>
        </w:rPr>
        <w:t>，</w:t>
      </w:r>
      <w:r>
        <w:rPr>
          <w:rFonts w:hint="eastAsia"/>
          <w:sz w:val="30"/>
          <w:szCs w:val="30"/>
        </w:rPr>
        <w:t>575</w:t>
      </w:r>
      <w:r>
        <w:rPr>
          <w:rFonts w:hint="eastAsia"/>
          <w:sz w:val="30"/>
          <w:szCs w:val="30"/>
        </w:rPr>
        <w:t>，</w:t>
      </w:r>
      <w:r>
        <w:rPr>
          <w:rFonts w:hint="eastAsia"/>
          <w:sz w:val="30"/>
          <w:szCs w:val="30"/>
        </w:rPr>
        <w:t>000</w:t>
      </w:r>
      <w:r>
        <w:rPr>
          <w:rFonts w:hint="eastAsia"/>
          <w:sz w:val="30"/>
          <w:szCs w:val="30"/>
        </w:rPr>
        <w:t>元。原审审理中，水生工程公司将诉讼请求变更为：要求方根生、水生科技公司共同赔偿损失（损失金额以</w:t>
      </w:r>
      <w:r>
        <w:rPr>
          <w:rFonts w:hint="eastAsia"/>
          <w:sz w:val="30"/>
          <w:szCs w:val="30"/>
        </w:rPr>
        <w:t>3</w:t>
      </w:r>
      <w:r>
        <w:rPr>
          <w:rFonts w:hint="eastAsia"/>
          <w:sz w:val="30"/>
          <w:szCs w:val="30"/>
        </w:rPr>
        <w:t>，</w:t>
      </w:r>
      <w:r>
        <w:rPr>
          <w:rFonts w:hint="eastAsia"/>
          <w:sz w:val="30"/>
          <w:szCs w:val="30"/>
        </w:rPr>
        <w:t>336</w:t>
      </w:r>
      <w:r>
        <w:rPr>
          <w:rFonts w:hint="eastAsia"/>
          <w:sz w:val="30"/>
          <w:szCs w:val="30"/>
        </w:rPr>
        <w:t>，</w:t>
      </w:r>
      <w:r>
        <w:rPr>
          <w:rFonts w:hint="eastAsia"/>
          <w:sz w:val="30"/>
          <w:szCs w:val="30"/>
        </w:rPr>
        <w:t>000</w:t>
      </w:r>
      <w:r>
        <w:rPr>
          <w:rFonts w:hint="eastAsia"/>
          <w:sz w:val="30"/>
          <w:szCs w:val="30"/>
        </w:rPr>
        <w:t>元为基数，乘以法院酌定的利润率计算）；并支付水生工程公司逾期利息（以上述损失金额为本金，从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日起算至实际支付之日止，按照中国人民银行同期贷款利率计算）。同时，水生工程公司放弃了对陈爱娇主张权利的请求。</w:t>
      </w:r>
    </w:p>
    <w:p w:rsidR="00000000" w:rsidRDefault="005C724F">
      <w:pPr>
        <w:spacing w:line="500" w:lineRule="atLeast"/>
        <w:ind w:firstLine="600"/>
        <w:divId w:val="1253583164"/>
        <w:rPr>
          <w:rFonts w:hint="eastAsia"/>
          <w:sz w:val="30"/>
          <w:szCs w:val="30"/>
        </w:rPr>
      </w:pPr>
      <w:r>
        <w:rPr>
          <w:rFonts w:hint="eastAsia"/>
          <w:sz w:val="30"/>
          <w:szCs w:val="30"/>
        </w:rPr>
        <w:t>原审法院经审理后认为：我国《公司法》规定董事、监事、高级管理人员应当遵守法律、行政法规和公司章程，对公司负有忠实和</w:t>
      </w:r>
      <w:r>
        <w:rPr>
          <w:rFonts w:hint="eastAsia"/>
          <w:sz w:val="30"/>
          <w:szCs w:val="30"/>
        </w:rPr>
        <w:t>勤勉义务。高级管理人员，是指公司的经理、副经理、财务负责人，上市公司董事会秘书和公司章程规定的其他人员。本案水生工程公司提供的《关于任命方根生常务副总经理职务的决定》以及（</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号案件、</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日的庭审笔录和（</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号民事判决书认定的事实，足以证明方根生系水生工程公司的高级管理人员。</w:t>
      </w:r>
    </w:p>
    <w:p w:rsidR="00000000" w:rsidRDefault="005C724F">
      <w:pPr>
        <w:spacing w:line="500" w:lineRule="atLeast"/>
        <w:ind w:firstLine="600"/>
        <w:divId w:val="1870952501"/>
        <w:rPr>
          <w:rFonts w:hint="eastAsia"/>
          <w:sz w:val="30"/>
          <w:szCs w:val="30"/>
        </w:rPr>
      </w:pPr>
      <w:r>
        <w:rPr>
          <w:rFonts w:hint="eastAsia"/>
          <w:sz w:val="30"/>
          <w:szCs w:val="30"/>
        </w:rPr>
        <w:t>《公司法》第一百四十九条明确规定，公司董事、监事、高级管理人员对公司负有竞业禁止义务，包含禁止自营或为他人从事与公司营业有竞争性的活动。方根生作为水生工程公司的</w:t>
      </w:r>
      <w:r>
        <w:rPr>
          <w:rFonts w:hint="eastAsia"/>
          <w:sz w:val="30"/>
          <w:szCs w:val="30"/>
        </w:rPr>
        <w:t>高级管理人员，属于公司法所规定的竞业禁止义务的主体，在未解除所任职务的情况下，其与陈爱娇成立水生科技公司从事与水生工程公司相竞争的业务，其行为显已违反竞业禁止义务，其在水生科技公司所得收入理应依法归水生工程公司所有。关于方根生违反竞业禁止义务所得收入，因方根生及水生科技公司均拒绝提供水生科技公司的财务账册，造成无法通过财务审核的方式对水生科技公司的经营状况及方根生所得收入的金额做出合理认定。由此产生的不利后果，依法应由方根生自行承担。基于上述情况，综合考虑方根生按其持股比例在水生科技公司享有的资产权益、水生</w:t>
      </w:r>
      <w:r>
        <w:rPr>
          <w:rFonts w:hint="eastAsia"/>
          <w:sz w:val="30"/>
          <w:szCs w:val="30"/>
        </w:rPr>
        <w:t>科技公司的实际经营状况以及方根生在水生科技公司的个人收入等各种因素，原审法院依法酌情确定方根生违反竞业禁止义务收入为</w:t>
      </w:r>
      <w:r>
        <w:rPr>
          <w:rFonts w:hint="eastAsia"/>
          <w:sz w:val="30"/>
          <w:szCs w:val="30"/>
        </w:rPr>
        <w:t>150</w:t>
      </w:r>
      <w:r>
        <w:rPr>
          <w:rFonts w:hint="eastAsia"/>
          <w:sz w:val="30"/>
          <w:szCs w:val="30"/>
        </w:rPr>
        <w:t>，</w:t>
      </w:r>
      <w:r>
        <w:rPr>
          <w:rFonts w:hint="eastAsia"/>
          <w:sz w:val="30"/>
          <w:szCs w:val="30"/>
        </w:rPr>
        <w:t>000</w:t>
      </w:r>
      <w:r>
        <w:rPr>
          <w:rFonts w:hint="eastAsia"/>
          <w:sz w:val="30"/>
          <w:szCs w:val="30"/>
        </w:rPr>
        <w:t>元。而水生科技公司并非公司法所规定的竞业禁止义务主体，水生工程公司要求其承担共同责任缺乏法律依据，原审法院不予支持。</w:t>
      </w:r>
    </w:p>
    <w:p w:rsidR="00000000" w:rsidRDefault="005C724F">
      <w:pPr>
        <w:spacing w:line="500" w:lineRule="atLeast"/>
        <w:ind w:firstLine="600"/>
        <w:divId w:val="1211527393"/>
        <w:rPr>
          <w:rFonts w:hint="eastAsia"/>
          <w:sz w:val="30"/>
          <w:szCs w:val="30"/>
        </w:rPr>
      </w:pPr>
      <w:r>
        <w:rPr>
          <w:rFonts w:hint="eastAsia"/>
          <w:sz w:val="30"/>
          <w:szCs w:val="30"/>
        </w:rPr>
        <w:t>关于利息损失，因在本案的判决尚未生效前，水生工程公司主张的归入权是否成立、方根生所得收入应归入水生工程公司的金额等并未确定，故不存在逾期支付的事实。因此，水生工程公司就该笔归入的款项主张利息损失，没有事实和法律依据，原审法院亦不予支持。</w:t>
      </w:r>
    </w:p>
    <w:p w:rsidR="00000000" w:rsidRDefault="005C724F">
      <w:pPr>
        <w:spacing w:line="500" w:lineRule="atLeast"/>
        <w:ind w:firstLine="600"/>
        <w:divId w:val="378165508"/>
        <w:rPr>
          <w:rFonts w:hint="eastAsia"/>
          <w:sz w:val="30"/>
          <w:szCs w:val="30"/>
        </w:rPr>
      </w:pPr>
      <w:r>
        <w:rPr>
          <w:rFonts w:hint="eastAsia"/>
          <w:sz w:val="30"/>
          <w:szCs w:val="30"/>
        </w:rPr>
        <w:t>对于方根生辩称其并非水生工</w:t>
      </w:r>
      <w:r>
        <w:rPr>
          <w:rFonts w:hint="eastAsia"/>
          <w:sz w:val="30"/>
          <w:szCs w:val="30"/>
        </w:rPr>
        <w:t>程公司的高级管理人员之说，则有水生工程公司于</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日出具了《关于任命方根生常务副总经理职务的决定》，和（</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号案件的庭审笔录中，方根生对于其曾担任水生工程公司的副总经理的职务予以认可，以及（</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号民事判决也已认定方根生系水生工程公司总经理。原审法院综合以上情况认定，方根生系水生工程公司的高级管理人员。故对于方根生的该抗辩理由，不予采信。</w:t>
      </w:r>
    </w:p>
    <w:p w:rsidR="00000000" w:rsidRDefault="005C724F">
      <w:pPr>
        <w:spacing w:line="500" w:lineRule="atLeast"/>
        <w:ind w:firstLine="600"/>
        <w:divId w:val="515465271"/>
        <w:rPr>
          <w:rFonts w:hint="eastAsia"/>
          <w:sz w:val="30"/>
          <w:szCs w:val="30"/>
        </w:rPr>
      </w:pPr>
      <w:r>
        <w:rPr>
          <w:rFonts w:hint="eastAsia"/>
          <w:sz w:val="30"/>
          <w:szCs w:val="30"/>
        </w:rPr>
        <w:t>原审法院据此依照《中华人民共和国公司法》第一百四十九条第一款第五项、第一百四十九条第二款，《最高人民</w:t>
      </w:r>
      <w:r>
        <w:rPr>
          <w:rFonts w:hint="eastAsia"/>
          <w:sz w:val="30"/>
          <w:szCs w:val="30"/>
        </w:rPr>
        <w:t>法院关于民事诉讼证据的若干规定》第二条，《中华人民共和国民事诉讼法》第一百四十四条的规定作出判决：一、方根生应于判决生效之日起十日内偿付水生工程公司款项</w:t>
      </w:r>
      <w:r>
        <w:rPr>
          <w:rFonts w:hint="eastAsia"/>
          <w:sz w:val="30"/>
          <w:szCs w:val="30"/>
        </w:rPr>
        <w:t>150</w:t>
      </w:r>
      <w:r>
        <w:rPr>
          <w:rFonts w:hint="eastAsia"/>
          <w:sz w:val="30"/>
          <w:szCs w:val="30"/>
        </w:rPr>
        <w:t>，</w:t>
      </w:r>
      <w:r>
        <w:rPr>
          <w:rFonts w:hint="eastAsia"/>
          <w:sz w:val="30"/>
          <w:szCs w:val="30"/>
        </w:rPr>
        <w:t>000</w:t>
      </w:r>
      <w:r>
        <w:rPr>
          <w:rFonts w:hint="eastAsia"/>
          <w:sz w:val="30"/>
          <w:szCs w:val="30"/>
        </w:rPr>
        <w:t>元；二、水生工程公司的其余诉讼请求，不予支持。如果未按判决指定的期间履行给付金钱义务，应当依照《中华人民共和国民事诉讼法》第二百五十三条之规定，加倍支付迟延履行期间的债务利息。一审案件受理费</w:t>
      </w:r>
      <w:r>
        <w:rPr>
          <w:rFonts w:hint="eastAsia"/>
          <w:sz w:val="30"/>
          <w:szCs w:val="30"/>
        </w:rPr>
        <w:t>3</w:t>
      </w:r>
      <w:r>
        <w:rPr>
          <w:rFonts w:hint="eastAsia"/>
          <w:sz w:val="30"/>
          <w:szCs w:val="30"/>
        </w:rPr>
        <w:t>，</w:t>
      </w:r>
      <w:r>
        <w:rPr>
          <w:rFonts w:hint="eastAsia"/>
          <w:sz w:val="30"/>
          <w:szCs w:val="30"/>
        </w:rPr>
        <w:t>300</w:t>
      </w:r>
      <w:r>
        <w:rPr>
          <w:rFonts w:hint="eastAsia"/>
          <w:sz w:val="30"/>
          <w:szCs w:val="30"/>
        </w:rPr>
        <w:t>元，诉讼保全费</w:t>
      </w:r>
      <w:r>
        <w:rPr>
          <w:rFonts w:hint="eastAsia"/>
          <w:sz w:val="30"/>
          <w:szCs w:val="30"/>
        </w:rPr>
        <w:t>5</w:t>
      </w:r>
      <w:r>
        <w:rPr>
          <w:rFonts w:hint="eastAsia"/>
          <w:sz w:val="30"/>
          <w:szCs w:val="30"/>
        </w:rPr>
        <w:t>，</w:t>
      </w:r>
      <w:r>
        <w:rPr>
          <w:rFonts w:hint="eastAsia"/>
          <w:sz w:val="30"/>
          <w:szCs w:val="30"/>
        </w:rPr>
        <w:t>000</w:t>
      </w:r>
      <w:r>
        <w:rPr>
          <w:rFonts w:hint="eastAsia"/>
          <w:sz w:val="30"/>
          <w:szCs w:val="30"/>
        </w:rPr>
        <w:t>元，共计</w:t>
      </w:r>
      <w:r>
        <w:rPr>
          <w:rFonts w:hint="eastAsia"/>
          <w:sz w:val="30"/>
          <w:szCs w:val="30"/>
        </w:rPr>
        <w:t>8</w:t>
      </w:r>
      <w:r>
        <w:rPr>
          <w:rFonts w:hint="eastAsia"/>
          <w:sz w:val="30"/>
          <w:szCs w:val="30"/>
        </w:rPr>
        <w:t>，</w:t>
      </w:r>
      <w:r>
        <w:rPr>
          <w:rFonts w:hint="eastAsia"/>
          <w:sz w:val="30"/>
          <w:szCs w:val="30"/>
        </w:rPr>
        <w:t>300</w:t>
      </w:r>
      <w:r>
        <w:rPr>
          <w:rFonts w:hint="eastAsia"/>
          <w:sz w:val="30"/>
          <w:szCs w:val="30"/>
        </w:rPr>
        <w:t>元，由水生工程公司负担</w:t>
      </w:r>
      <w:r>
        <w:rPr>
          <w:rFonts w:hint="eastAsia"/>
          <w:sz w:val="30"/>
          <w:szCs w:val="30"/>
        </w:rPr>
        <w:t>5</w:t>
      </w:r>
      <w:r>
        <w:rPr>
          <w:rFonts w:hint="eastAsia"/>
          <w:sz w:val="30"/>
          <w:szCs w:val="30"/>
        </w:rPr>
        <w:t>，</w:t>
      </w:r>
      <w:r>
        <w:rPr>
          <w:rFonts w:hint="eastAsia"/>
          <w:sz w:val="30"/>
          <w:szCs w:val="30"/>
        </w:rPr>
        <w:t>000</w:t>
      </w:r>
      <w:r>
        <w:rPr>
          <w:rFonts w:hint="eastAsia"/>
          <w:sz w:val="30"/>
          <w:szCs w:val="30"/>
        </w:rPr>
        <w:t>元，方根生负担</w:t>
      </w:r>
      <w:r>
        <w:rPr>
          <w:rFonts w:hint="eastAsia"/>
          <w:sz w:val="30"/>
          <w:szCs w:val="30"/>
        </w:rPr>
        <w:t>3</w:t>
      </w:r>
      <w:r>
        <w:rPr>
          <w:rFonts w:hint="eastAsia"/>
          <w:sz w:val="30"/>
          <w:szCs w:val="30"/>
        </w:rPr>
        <w:t>，</w:t>
      </w:r>
      <w:r>
        <w:rPr>
          <w:rFonts w:hint="eastAsia"/>
          <w:sz w:val="30"/>
          <w:szCs w:val="30"/>
        </w:rPr>
        <w:t>300</w:t>
      </w:r>
      <w:r>
        <w:rPr>
          <w:rFonts w:hint="eastAsia"/>
          <w:sz w:val="30"/>
          <w:szCs w:val="30"/>
        </w:rPr>
        <w:t>元。</w:t>
      </w:r>
    </w:p>
    <w:p w:rsidR="00000000" w:rsidRDefault="005C724F">
      <w:pPr>
        <w:spacing w:line="500" w:lineRule="atLeast"/>
        <w:ind w:firstLine="600"/>
        <w:divId w:val="1229413432"/>
        <w:rPr>
          <w:rFonts w:hint="eastAsia"/>
          <w:sz w:val="30"/>
          <w:szCs w:val="30"/>
        </w:rPr>
      </w:pPr>
      <w:r>
        <w:rPr>
          <w:rFonts w:hint="eastAsia"/>
          <w:sz w:val="30"/>
          <w:szCs w:val="30"/>
        </w:rPr>
        <w:t>原审判决后，水生工程公司不服，向本院提起上</w:t>
      </w:r>
      <w:r>
        <w:rPr>
          <w:rFonts w:hint="eastAsia"/>
          <w:sz w:val="30"/>
          <w:szCs w:val="30"/>
        </w:rPr>
        <w:t>诉称：原审判决中部分事实认定不清，酌情的赔付金额明显过低。且原审法院并不应考虑水生科技公司的经营状况。在方根生和水生科技公司并未提出任何证据证明其经营状况的情况下，在酌定赔付金额时考虑这一因素客观上免除了方根生和水生科技公司的举证责任，显失公平。故请求二审法院撤销原审判决，改判支持水生工程公司的一审诉讼请求，因水生科技公司拒绝配合审计，参照行业或水生工程公司的利润率将酌定的利润率适当提高至</w:t>
      </w:r>
      <w:r>
        <w:rPr>
          <w:rFonts w:hint="eastAsia"/>
          <w:sz w:val="30"/>
          <w:szCs w:val="30"/>
        </w:rPr>
        <w:t>25%</w:t>
      </w:r>
      <w:r>
        <w:rPr>
          <w:rFonts w:hint="eastAsia"/>
          <w:sz w:val="30"/>
          <w:szCs w:val="30"/>
        </w:rPr>
        <w:t>。</w:t>
      </w:r>
    </w:p>
    <w:p w:rsidR="00000000" w:rsidRDefault="005C724F">
      <w:pPr>
        <w:spacing w:line="500" w:lineRule="atLeast"/>
        <w:ind w:firstLine="600"/>
        <w:divId w:val="1786731653"/>
        <w:rPr>
          <w:rFonts w:hint="eastAsia"/>
          <w:sz w:val="30"/>
          <w:szCs w:val="30"/>
        </w:rPr>
      </w:pPr>
      <w:r>
        <w:rPr>
          <w:rFonts w:hint="eastAsia"/>
          <w:sz w:val="30"/>
          <w:szCs w:val="30"/>
        </w:rPr>
        <w:t>上诉人方根生亦不服原审判决，其针对水生工程公司的上诉请求答辩称，对水生工程公司的上诉请求和事实理由不予认可。并</w:t>
      </w:r>
      <w:r>
        <w:rPr>
          <w:rFonts w:hint="eastAsia"/>
          <w:sz w:val="30"/>
          <w:szCs w:val="30"/>
        </w:rPr>
        <w:t>向本院提起上诉称：方根生与水生工程公司从未签订过劳动合同，其也没有在水生工程公司担任过总经理等高级管理人员职务。水生工程公司提供的《关于任命方根生常务副总经理职务的决定》可由其在任何时候盖章开具，不足为凭。且水生工程公司在（</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号案庭审时陈述，方根生是该公司高级管理人员，担任公司副总经理。但该案件的一审判决书中认定方根生为水生工程公司的总经理，前后矛盾，亦不足为凭。由于水生工程公司的各种干扰，水生科技公司自</w:t>
      </w:r>
      <w:r>
        <w:rPr>
          <w:rFonts w:hint="eastAsia"/>
          <w:sz w:val="30"/>
          <w:szCs w:val="30"/>
        </w:rPr>
        <w:t>2012</w:t>
      </w:r>
      <w:r>
        <w:rPr>
          <w:rFonts w:hint="eastAsia"/>
          <w:sz w:val="30"/>
          <w:szCs w:val="30"/>
        </w:rPr>
        <w:t>年</w:t>
      </w:r>
      <w:r>
        <w:rPr>
          <w:rFonts w:hint="eastAsia"/>
          <w:sz w:val="30"/>
          <w:szCs w:val="30"/>
        </w:rPr>
        <w:t>3</w:t>
      </w:r>
      <w:r>
        <w:rPr>
          <w:rFonts w:hint="eastAsia"/>
          <w:sz w:val="30"/>
          <w:szCs w:val="30"/>
        </w:rPr>
        <w:t>月起一直不能正常经营，并出现严重亏损。方根生提供了水生科技公</w:t>
      </w:r>
      <w:r>
        <w:rPr>
          <w:rFonts w:hint="eastAsia"/>
          <w:sz w:val="30"/>
          <w:szCs w:val="30"/>
        </w:rPr>
        <w:t>司</w:t>
      </w:r>
      <w:r>
        <w:rPr>
          <w:rFonts w:hint="eastAsia"/>
          <w:sz w:val="30"/>
          <w:szCs w:val="30"/>
        </w:rPr>
        <w:t>2012</w:t>
      </w:r>
      <w:r>
        <w:rPr>
          <w:rFonts w:hint="eastAsia"/>
          <w:sz w:val="30"/>
          <w:szCs w:val="30"/>
        </w:rPr>
        <w:t>年和</w:t>
      </w:r>
      <w:r>
        <w:rPr>
          <w:rFonts w:hint="eastAsia"/>
          <w:sz w:val="30"/>
          <w:szCs w:val="30"/>
        </w:rPr>
        <w:t>2013</w:t>
      </w:r>
      <w:r>
        <w:rPr>
          <w:rFonts w:hint="eastAsia"/>
          <w:sz w:val="30"/>
          <w:szCs w:val="30"/>
        </w:rPr>
        <w:t>年的财务报表。原审法院也曾向税务局调取《税务事项调查证明材料》，证明水生科技公司至</w:t>
      </w:r>
      <w:r>
        <w:rPr>
          <w:rFonts w:hint="eastAsia"/>
          <w:sz w:val="30"/>
          <w:szCs w:val="30"/>
        </w:rPr>
        <w:t>2013</w:t>
      </w:r>
      <w:r>
        <w:rPr>
          <w:rFonts w:hint="eastAsia"/>
          <w:sz w:val="30"/>
          <w:szCs w:val="30"/>
        </w:rPr>
        <w:t>年时已无收入所得。故原审法院认定方根生在水生科技公司所得收入为</w:t>
      </w:r>
      <w:r>
        <w:rPr>
          <w:rFonts w:hint="eastAsia"/>
          <w:sz w:val="30"/>
          <w:szCs w:val="30"/>
        </w:rPr>
        <w:t>15</w:t>
      </w:r>
      <w:r>
        <w:rPr>
          <w:rFonts w:hint="eastAsia"/>
          <w:sz w:val="30"/>
          <w:szCs w:val="30"/>
        </w:rPr>
        <w:t>万元没有事实依据，请求二审法院撤销原审判决，改判驳回水生工程公司的全部诉讼请求。</w:t>
      </w:r>
    </w:p>
    <w:p w:rsidR="00000000" w:rsidRDefault="005C724F">
      <w:pPr>
        <w:spacing w:line="500" w:lineRule="atLeast"/>
        <w:ind w:firstLine="600"/>
        <w:divId w:val="1793592296"/>
        <w:rPr>
          <w:rFonts w:hint="eastAsia"/>
          <w:sz w:val="30"/>
          <w:szCs w:val="30"/>
        </w:rPr>
      </w:pPr>
      <w:r>
        <w:rPr>
          <w:rFonts w:hint="eastAsia"/>
          <w:sz w:val="30"/>
          <w:szCs w:val="30"/>
        </w:rPr>
        <w:t>上诉人水生工程公司针对方根生的上诉请求答辩称：本案原审过程中，方根生及水生科技公司用尽所有诉讼权利，且拒绝配合司法审计，由此产生的不利后果应由方根生和水生科技公司承担。多份证据相互印证方根生确曾在水生工程公司担任高级管理人员。故不同意方根生的上诉请求。</w:t>
      </w:r>
    </w:p>
    <w:p w:rsidR="00000000" w:rsidRDefault="005C724F">
      <w:pPr>
        <w:spacing w:line="500" w:lineRule="atLeast"/>
        <w:ind w:firstLine="600"/>
        <w:divId w:val="1124345623"/>
        <w:rPr>
          <w:rFonts w:hint="eastAsia"/>
          <w:sz w:val="30"/>
          <w:szCs w:val="30"/>
        </w:rPr>
      </w:pPr>
      <w:r>
        <w:rPr>
          <w:rFonts w:hint="eastAsia"/>
          <w:sz w:val="30"/>
          <w:szCs w:val="30"/>
        </w:rPr>
        <w:t>被上诉人水生科技公司针对水生工程公司的上诉请求答辩称：合肥新站陶冲湖公园、瑶海公司两个工程合同金额总计</w:t>
      </w:r>
      <w:r>
        <w:rPr>
          <w:rFonts w:hint="eastAsia"/>
          <w:sz w:val="30"/>
          <w:szCs w:val="30"/>
        </w:rPr>
        <w:t>756</w:t>
      </w:r>
      <w:r>
        <w:rPr>
          <w:rFonts w:hint="eastAsia"/>
          <w:sz w:val="30"/>
          <w:szCs w:val="30"/>
        </w:rPr>
        <w:t>万元，而水生科技公司实际只收到</w:t>
      </w:r>
      <w:r>
        <w:rPr>
          <w:rFonts w:hint="eastAsia"/>
          <w:sz w:val="30"/>
          <w:szCs w:val="30"/>
        </w:rPr>
        <w:t>333.60</w:t>
      </w:r>
      <w:r>
        <w:rPr>
          <w:rFonts w:hint="eastAsia"/>
          <w:sz w:val="30"/>
          <w:szCs w:val="30"/>
        </w:rPr>
        <w:t>万元，故并未产生利润。同意方根生的上诉请求和理由。</w:t>
      </w:r>
    </w:p>
    <w:p w:rsidR="00000000" w:rsidRDefault="005C724F">
      <w:pPr>
        <w:spacing w:line="500" w:lineRule="atLeast"/>
        <w:ind w:firstLine="600"/>
        <w:divId w:val="1111703212"/>
        <w:rPr>
          <w:rFonts w:hint="eastAsia"/>
          <w:sz w:val="30"/>
          <w:szCs w:val="30"/>
        </w:rPr>
      </w:pPr>
      <w:r>
        <w:rPr>
          <w:rFonts w:hint="eastAsia"/>
          <w:sz w:val="30"/>
          <w:szCs w:val="30"/>
        </w:rPr>
        <w:t>被上诉人陈爱娇未到庭应诉，也未作答辩。</w:t>
      </w:r>
    </w:p>
    <w:p w:rsidR="00000000" w:rsidRDefault="005C724F">
      <w:pPr>
        <w:spacing w:line="500" w:lineRule="atLeast"/>
        <w:ind w:firstLine="600"/>
        <w:divId w:val="1910268725"/>
        <w:rPr>
          <w:rFonts w:hint="eastAsia"/>
          <w:sz w:val="30"/>
          <w:szCs w:val="30"/>
        </w:rPr>
      </w:pPr>
      <w:r>
        <w:rPr>
          <w:rFonts w:hint="eastAsia"/>
          <w:sz w:val="30"/>
          <w:szCs w:val="30"/>
        </w:rPr>
        <w:t>二审庭审中，方根生提供以下新的证据材料：</w:t>
      </w:r>
      <w:r>
        <w:rPr>
          <w:rFonts w:hint="eastAsia"/>
          <w:sz w:val="30"/>
          <w:szCs w:val="30"/>
        </w:rPr>
        <w:t>1</w:t>
      </w:r>
      <w:r>
        <w:rPr>
          <w:rFonts w:hint="eastAsia"/>
          <w:sz w:val="30"/>
          <w:szCs w:val="30"/>
        </w:rPr>
        <w:t>、水生工程公司</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日出具的《公司印章保管委托书》，拟证明在</w:t>
      </w:r>
      <w:r>
        <w:rPr>
          <w:rFonts w:hint="eastAsia"/>
          <w:sz w:val="30"/>
          <w:szCs w:val="30"/>
        </w:rPr>
        <w:t>2010</w:t>
      </w:r>
      <w:r>
        <w:rPr>
          <w:rFonts w:hint="eastAsia"/>
          <w:sz w:val="30"/>
          <w:szCs w:val="30"/>
        </w:rPr>
        <w:t>年</w:t>
      </w:r>
      <w:r>
        <w:rPr>
          <w:rFonts w:hint="eastAsia"/>
          <w:sz w:val="30"/>
          <w:szCs w:val="30"/>
        </w:rPr>
        <w:t>5</w:t>
      </w:r>
      <w:r>
        <w:rPr>
          <w:rFonts w:hint="eastAsia"/>
          <w:sz w:val="30"/>
          <w:szCs w:val="30"/>
        </w:rPr>
        <w:t>月时，方根生为水生工程公司的行政总监，水生工程公司公章于</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日起交由其保管，至</w:t>
      </w:r>
      <w:r>
        <w:rPr>
          <w:rFonts w:hint="eastAsia"/>
          <w:sz w:val="30"/>
          <w:szCs w:val="30"/>
        </w:rPr>
        <w:t>2012</w:t>
      </w:r>
      <w:r>
        <w:rPr>
          <w:rFonts w:hint="eastAsia"/>
          <w:sz w:val="30"/>
          <w:szCs w:val="30"/>
        </w:rPr>
        <w:t>年</w:t>
      </w:r>
      <w:r>
        <w:rPr>
          <w:rFonts w:hint="eastAsia"/>
          <w:sz w:val="30"/>
          <w:szCs w:val="30"/>
        </w:rPr>
        <w:t>3</w:t>
      </w:r>
      <w:r>
        <w:rPr>
          <w:rFonts w:hint="eastAsia"/>
          <w:sz w:val="30"/>
          <w:szCs w:val="30"/>
        </w:rPr>
        <w:t>月返还。该委托书中载明没有执行董事（总经理）签字和确认，不得随意盖章。故水生工程公司在没有提供水生工程公司法定代表人王丽卿签字的审批单的情况下向原审法院提交的</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日的《关于任命方根生常务副总经理职务的决定》不属实。</w:t>
      </w:r>
      <w:r>
        <w:rPr>
          <w:rFonts w:hint="eastAsia"/>
          <w:sz w:val="30"/>
          <w:szCs w:val="30"/>
        </w:rPr>
        <w:t>2</w:t>
      </w:r>
      <w:r>
        <w:rPr>
          <w:rFonts w:hint="eastAsia"/>
          <w:sz w:val="30"/>
          <w:szCs w:val="30"/>
        </w:rPr>
        <w:t>、水生工程公司加盖公章审批单，拟证明该些审批单上载明的水</w:t>
      </w:r>
      <w:r>
        <w:rPr>
          <w:rFonts w:hint="eastAsia"/>
          <w:sz w:val="30"/>
          <w:szCs w:val="30"/>
        </w:rPr>
        <w:t>生工程公司总经理一直是王丽卿，方根生直到</w:t>
      </w:r>
      <w:r>
        <w:rPr>
          <w:rFonts w:hint="eastAsia"/>
          <w:sz w:val="30"/>
          <w:szCs w:val="30"/>
        </w:rPr>
        <w:t>2011</w:t>
      </w:r>
      <w:r>
        <w:rPr>
          <w:rFonts w:hint="eastAsia"/>
          <w:sz w:val="30"/>
          <w:szCs w:val="30"/>
        </w:rPr>
        <w:t>年</w:t>
      </w:r>
      <w:r>
        <w:rPr>
          <w:rFonts w:hint="eastAsia"/>
          <w:sz w:val="30"/>
          <w:szCs w:val="30"/>
        </w:rPr>
        <w:t>7</w:t>
      </w:r>
      <w:r>
        <w:rPr>
          <w:rFonts w:hint="eastAsia"/>
          <w:sz w:val="30"/>
          <w:szCs w:val="30"/>
        </w:rPr>
        <w:t>月都只是水生工程公司的部门主管。且结合水生工程公司向原审提供的方根生的工资表，方根生从</w:t>
      </w:r>
      <w:r>
        <w:rPr>
          <w:rFonts w:hint="eastAsia"/>
          <w:sz w:val="30"/>
          <w:szCs w:val="30"/>
        </w:rPr>
        <w:t>2010</w:t>
      </w:r>
      <w:r>
        <w:rPr>
          <w:rFonts w:hint="eastAsia"/>
          <w:sz w:val="30"/>
          <w:szCs w:val="30"/>
        </w:rPr>
        <w:t>年</w:t>
      </w:r>
      <w:r>
        <w:rPr>
          <w:rFonts w:hint="eastAsia"/>
          <w:sz w:val="30"/>
          <w:szCs w:val="30"/>
        </w:rPr>
        <w:t>2</w:t>
      </w:r>
      <w:r>
        <w:rPr>
          <w:rFonts w:hint="eastAsia"/>
          <w:sz w:val="30"/>
          <w:szCs w:val="30"/>
        </w:rPr>
        <w:t>月至离开水生工程公司期间的岗位工资没有变动，甚至有减少的情况，可见方根生实际并无任何升职的情况。</w:t>
      </w:r>
    </w:p>
    <w:p w:rsidR="00000000" w:rsidRDefault="005C724F">
      <w:pPr>
        <w:spacing w:line="500" w:lineRule="atLeast"/>
        <w:ind w:firstLine="600"/>
        <w:divId w:val="237132162"/>
        <w:rPr>
          <w:rFonts w:hint="eastAsia"/>
          <w:sz w:val="30"/>
          <w:szCs w:val="30"/>
        </w:rPr>
      </w:pPr>
      <w:r>
        <w:rPr>
          <w:rFonts w:hint="eastAsia"/>
          <w:sz w:val="30"/>
          <w:szCs w:val="30"/>
        </w:rPr>
        <w:t>上诉人水生工程公司对上述证据材料认为，对证据材料</w:t>
      </w:r>
      <w:r>
        <w:rPr>
          <w:rFonts w:hint="eastAsia"/>
          <w:sz w:val="30"/>
          <w:szCs w:val="30"/>
        </w:rPr>
        <w:t>1</w:t>
      </w:r>
      <w:r>
        <w:rPr>
          <w:rFonts w:hint="eastAsia"/>
          <w:sz w:val="30"/>
          <w:szCs w:val="30"/>
        </w:rPr>
        <w:t>的真实性予以认可，但并非新的证据。且《关于任命方根生常务副总经理职务的决定》上的公章是王丽卿加盖的。该任命决定在形式上的瑕疵不能掩盖事实真相。证据材料</w:t>
      </w:r>
      <w:r>
        <w:rPr>
          <w:rFonts w:hint="eastAsia"/>
          <w:sz w:val="30"/>
          <w:szCs w:val="30"/>
        </w:rPr>
        <w:t>2</w:t>
      </w:r>
      <w:r>
        <w:rPr>
          <w:rFonts w:hint="eastAsia"/>
          <w:sz w:val="30"/>
          <w:szCs w:val="30"/>
        </w:rPr>
        <w:t>如果是真实的，也不能反推方根生在水生工程公司的职务。</w:t>
      </w:r>
    </w:p>
    <w:p w:rsidR="00000000" w:rsidRDefault="005C724F">
      <w:pPr>
        <w:spacing w:line="500" w:lineRule="atLeast"/>
        <w:ind w:firstLine="600"/>
        <w:divId w:val="2076003188"/>
        <w:rPr>
          <w:rFonts w:hint="eastAsia"/>
          <w:sz w:val="30"/>
          <w:szCs w:val="30"/>
        </w:rPr>
      </w:pPr>
      <w:r>
        <w:rPr>
          <w:rFonts w:hint="eastAsia"/>
          <w:sz w:val="30"/>
          <w:szCs w:val="30"/>
        </w:rPr>
        <w:t>被上诉人</w:t>
      </w:r>
      <w:r>
        <w:rPr>
          <w:rFonts w:hint="eastAsia"/>
          <w:sz w:val="30"/>
          <w:szCs w:val="30"/>
        </w:rPr>
        <w:t>水生科技公司对上述新的证据没有异议。</w:t>
      </w:r>
    </w:p>
    <w:p w:rsidR="00000000" w:rsidRDefault="005C724F">
      <w:pPr>
        <w:spacing w:line="500" w:lineRule="atLeast"/>
        <w:ind w:firstLine="600"/>
        <w:divId w:val="955524404"/>
        <w:rPr>
          <w:rFonts w:hint="eastAsia"/>
          <w:sz w:val="30"/>
          <w:szCs w:val="30"/>
        </w:rPr>
      </w:pPr>
      <w:r>
        <w:rPr>
          <w:rFonts w:hint="eastAsia"/>
          <w:sz w:val="30"/>
          <w:szCs w:val="30"/>
        </w:rPr>
        <w:t>本院对以上证据材料认证如下：该些证据材料在原审诉讼之前均已形成，但方根生未在原审举证期限届满和庭审辩论之前提供，且该些证据材料不足以影响对本案重大事实的认定，并可能导致本案裁判明显不公，故该些证据材料不作为二审中的新的证据予以采纳。</w:t>
      </w:r>
    </w:p>
    <w:p w:rsidR="00000000" w:rsidRDefault="005C724F">
      <w:pPr>
        <w:spacing w:line="500" w:lineRule="atLeast"/>
        <w:ind w:firstLine="600"/>
        <w:divId w:val="1108045664"/>
        <w:rPr>
          <w:rFonts w:hint="eastAsia"/>
          <w:sz w:val="30"/>
          <w:szCs w:val="30"/>
        </w:rPr>
      </w:pPr>
      <w:r>
        <w:rPr>
          <w:rFonts w:hint="eastAsia"/>
          <w:sz w:val="30"/>
          <w:szCs w:val="30"/>
        </w:rPr>
        <w:t>本院经审理查明，原审查明事实属实，本院予以确认。</w:t>
      </w:r>
    </w:p>
    <w:p w:rsidR="00000000" w:rsidRDefault="005C724F">
      <w:pPr>
        <w:spacing w:line="500" w:lineRule="atLeast"/>
        <w:ind w:firstLine="600"/>
        <w:divId w:val="1733189267"/>
        <w:rPr>
          <w:rFonts w:hint="eastAsia"/>
          <w:sz w:val="30"/>
          <w:szCs w:val="30"/>
        </w:rPr>
      </w:pPr>
      <w:r>
        <w:rPr>
          <w:rFonts w:hint="eastAsia"/>
          <w:sz w:val="30"/>
          <w:szCs w:val="30"/>
        </w:rPr>
        <w:t>本案二审中的争议焦点为：方根生是否为水生工程公司的高级管理人员；原审酌情判决方根生偿付</w:t>
      </w:r>
      <w:r>
        <w:rPr>
          <w:rFonts w:hint="eastAsia"/>
          <w:sz w:val="30"/>
          <w:szCs w:val="30"/>
        </w:rPr>
        <w:t>15</w:t>
      </w:r>
      <w:r>
        <w:rPr>
          <w:rFonts w:hint="eastAsia"/>
          <w:sz w:val="30"/>
          <w:szCs w:val="30"/>
        </w:rPr>
        <w:t>万元是否合理。</w:t>
      </w:r>
    </w:p>
    <w:p w:rsidR="00000000" w:rsidRDefault="005C724F">
      <w:pPr>
        <w:spacing w:line="500" w:lineRule="atLeast"/>
        <w:ind w:firstLine="600"/>
        <w:divId w:val="1587419064"/>
        <w:rPr>
          <w:rFonts w:hint="eastAsia"/>
          <w:sz w:val="30"/>
          <w:szCs w:val="30"/>
        </w:rPr>
      </w:pPr>
      <w:r>
        <w:rPr>
          <w:rFonts w:hint="eastAsia"/>
          <w:sz w:val="30"/>
          <w:szCs w:val="30"/>
        </w:rPr>
        <w:t>本院认为：水生工程公司是依据我国《公司法》第一百四十八条的规定主张违反竞业禁止义务的</w:t>
      </w:r>
      <w:r>
        <w:rPr>
          <w:rFonts w:hint="eastAsia"/>
          <w:sz w:val="30"/>
          <w:szCs w:val="30"/>
        </w:rPr>
        <w:t>公司高级管理人员所得收入的归入权。《公司法》第二百一十六条规定，高级管理人员是指公司的经理、副经理、财务负责人等。根据（</w:t>
      </w:r>
      <w:r>
        <w:rPr>
          <w:rFonts w:hint="eastAsia"/>
          <w:sz w:val="30"/>
          <w:szCs w:val="30"/>
        </w:rPr>
        <w:t>2012</w:t>
      </w:r>
      <w:r>
        <w:rPr>
          <w:rFonts w:hint="eastAsia"/>
          <w:sz w:val="30"/>
          <w:szCs w:val="30"/>
        </w:rPr>
        <w:t>）杨民二（商）初字第</w:t>
      </w:r>
      <w:r>
        <w:rPr>
          <w:rFonts w:hint="eastAsia"/>
          <w:sz w:val="30"/>
          <w:szCs w:val="30"/>
        </w:rPr>
        <w:t>343</w:t>
      </w:r>
      <w:r>
        <w:rPr>
          <w:rFonts w:hint="eastAsia"/>
          <w:sz w:val="30"/>
          <w:szCs w:val="30"/>
        </w:rPr>
        <w:t>号案件审理笔录中的记载，水生工程公司述称方根生为曾是公司高级管理人员，担任公司副总经理后，方根生和水生科技公司均表示无异议。虽然该案一审判决书中认定方根生系水生工程公司总经理，但方根生提起上诉后主动撤回了上诉。由此可以认定，原审法院对方根生系水生工程公司高级管理人员的认定并无不当，本院对此予以认同。鉴于方根生在二审审理中对其任职期间未经水生工程公司同意，以</w:t>
      </w:r>
      <w:r>
        <w:rPr>
          <w:rFonts w:hint="eastAsia"/>
          <w:sz w:val="30"/>
          <w:szCs w:val="30"/>
        </w:rPr>
        <w:t>水生科技公司名义经营与水生工程公司同类业务的事实不持异议，故方根生违反了《公司法》的规定，其在竞业禁止期间所得收入应归水生工程公司所有。由于各方对水生科技公司合肥新站陶冲湖公园、瑶海公司两个工程合同的总金额和水生科技公司截至目前实际收到</w:t>
      </w:r>
      <w:r>
        <w:rPr>
          <w:rFonts w:hint="eastAsia"/>
          <w:sz w:val="30"/>
          <w:szCs w:val="30"/>
        </w:rPr>
        <w:t>333.60</w:t>
      </w:r>
      <w:r>
        <w:rPr>
          <w:rFonts w:hint="eastAsia"/>
          <w:sz w:val="30"/>
          <w:szCs w:val="30"/>
        </w:rPr>
        <w:t>万元的事实均无异议，故水生工程公司以此作为诉请依据并无不当。原审法院在方根生和水生科技公司拒绝提供财务账册等配合审计的情况下，综合各项因素，酌情判定方根生的违法所得收入</w:t>
      </w:r>
      <w:r>
        <w:rPr>
          <w:rFonts w:hint="eastAsia"/>
          <w:sz w:val="30"/>
          <w:szCs w:val="30"/>
        </w:rPr>
        <w:t>15</w:t>
      </w:r>
      <w:r>
        <w:rPr>
          <w:rFonts w:hint="eastAsia"/>
          <w:sz w:val="30"/>
          <w:szCs w:val="30"/>
        </w:rPr>
        <w:t>万元，本院认为并无不当之处，可予维持。《公司法》规定归入权的义务主体为高级管理人员个人，故水</w:t>
      </w:r>
      <w:r>
        <w:rPr>
          <w:rFonts w:hint="eastAsia"/>
          <w:sz w:val="30"/>
          <w:szCs w:val="30"/>
        </w:rPr>
        <w:t>生工程公司主张水生科技公司承担责任缺乏法律依据，当不予支持。综上所述，水生工程公司和方根生的上诉请求均不能成立，原审认定事实清楚，判决并无不当。据此，依照《中华人民共和国民事诉讼法》第一百七十条第一款第（一）项之规定，判决如下：</w:t>
      </w:r>
    </w:p>
    <w:p w:rsidR="00000000" w:rsidRDefault="005C724F">
      <w:pPr>
        <w:spacing w:line="500" w:lineRule="atLeast"/>
        <w:ind w:firstLine="600"/>
        <w:divId w:val="2028750863"/>
        <w:rPr>
          <w:rFonts w:hint="eastAsia"/>
          <w:sz w:val="30"/>
          <w:szCs w:val="30"/>
        </w:rPr>
      </w:pPr>
      <w:r>
        <w:rPr>
          <w:rFonts w:hint="eastAsia"/>
          <w:sz w:val="30"/>
          <w:szCs w:val="30"/>
        </w:rPr>
        <w:t>驳回上诉，维持原判。</w:t>
      </w:r>
    </w:p>
    <w:p w:rsidR="00000000" w:rsidRDefault="005C724F">
      <w:pPr>
        <w:spacing w:line="500" w:lineRule="atLeast"/>
        <w:ind w:firstLine="600"/>
        <w:divId w:val="1929344087"/>
        <w:rPr>
          <w:rFonts w:hint="eastAsia"/>
          <w:sz w:val="30"/>
          <w:szCs w:val="30"/>
        </w:rPr>
      </w:pPr>
      <w:r>
        <w:rPr>
          <w:rFonts w:hint="eastAsia"/>
          <w:sz w:val="30"/>
          <w:szCs w:val="30"/>
        </w:rPr>
        <w:t>二审案件受理费</w:t>
      </w:r>
      <w:r>
        <w:rPr>
          <w:rFonts w:hint="eastAsia"/>
          <w:sz w:val="30"/>
          <w:szCs w:val="30"/>
        </w:rPr>
        <w:t>3</w:t>
      </w:r>
      <w:r>
        <w:rPr>
          <w:rFonts w:hint="eastAsia"/>
          <w:sz w:val="30"/>
          <w:szCs w:val="30"/>
        </w:rPr>
        <w:t>，</w:t>
      </w:r>
      <w:r>
        <w:rPr>
          <w:rFonts w:hint="eastAsia"/>
          <w:sz w:val="30"/>
          <w:szCs w:val="30"/>
        </w:rPr>
        <w:t>300</w:t>
      </w:r>
      <w:r>
        <w:rPr>
          <w:rFonts w:hint="eastAsia"/>
          <w:sz w:val="30"/>
          <w:szCs w:val="30"/>
        </w:rPr>
        <w:t>元，由上诉人方根生、上海水生环境工程有限公司各半负担。</w:t>
      </w:r>
    </w:p>
    <w:p w:rsidR="00000000" w:rsidRDefault="005C724F">
      <w:pPr>
        <w:spacing w:line="500" w:lineRule="atLeast"/>
        <w:ind w:firstLine="600"/>
        <w:divId w:val="1244267563"/>
        <w:rPr>
          <w:rFonts w:hint="eastAsia"/>
          <w:sz w:val="30"/>
          <w:szCs w:val="30"/>
        </w:rPr>
      </w:pPr>
      <w:r>
        <w:rPr>
          <w:rFonts w:hint="eastAsia"/>
          <w:sz w:val="30"/>
          <w:szCs w:val="30"/>
        </w:rPr>
        <w:t>本判决为终审判决。</w:t>
      </w:r>
    </w:p>
    <w:p w:rsidR="00000000" w:rsidRDefault="005C724F">
      <w:pPr>
        <w:spacing w:line="500" w:lineRule="atLeast"/>
        <w:jc w:val="right"/>
        <w:divId w:val="1956521498"/>
        <w:rPr>
          <w:rFonts w:hint="eastAsia"/>
          <w:sz w:val="30"/>
          <w:szCs w:val="30"/>
        </w:rPr>
      </w:pPr>
      <w:r>
        <w:rPr>
          <w:rFonts w:hint="eastAsia"/>
          <w:sz w:val="30"/>
          <w:szCs w:val="30"/>
        </w:rPr>
        <w:t>审　判　长　　江　南</w:t>
      </w:r>
    </w:p>
    <w:p w:rsidR="00000000" w:rsidRDefault="005C724F">
      <w:pPr>
        <w:spacing w:line="500" w:lineRule="atLeast"/>
        <w:jc w:val="right"/>
        <w:divId w:val="1037387849"/>
        <w:rPr>
          <w:rFonts w:hint="eastAsia"/>
          <w:sz w:val="30"/>
          <w:szCs w:val="30"/>
        </w:rPr>
      </w:pPr>
      <w:r>
        <w:rPr>
          <w:rFonts w:hint="eastAsia"/>
          <w:sz w:val="30"/>
          <w:szCs w:val="30"/>
        </w:rPr>
        <w:t>代理审判员　　杨怡鸣</w:t>
      </w:r>
    </w:p>
    <w:p w:rsidR="00000000" w:rsidRDefault="005C724F">
      <w:pPr>
        <w:spacing w:line="500" w:lineRule="atLeast"/>
        <w:jc w:val="right"/>
        <w:divId w:val="1084376094"/>
        <w:rPr>
          <w:rFonts w:hint="eastAsia"/>
          <w:sz w:val="30"/>
          <w:szCs w:val="30"/>
        </w:rPr>
      </w:pPr>
      <w:r>
        <w:rPr>
          <w:rFonts w:hint="eastAsia"/>
          <w:sz w:val="30"/>
          <w:szCs w:val="30"/>
        </w:rPr>
        <w:t>代理审判员　　赵　炜</w:t>
      </w:r>
    </w:p>
    <w:p w:rsidR="00000000" w:rsidRDefault="005C724F">
      <w:pPr>
        <w:spacing w:line="500" w:lineRule="atLeast"/>
        <w:jc w:val="right"/>
        <w:divId w:val="1208104602"/>
        <w:rPr>
          <w:rFonts w:hint="eastAsia"/>
          <w:sz w:val="30"/>
          <w:szCs w:val="30"/>
        </w:rPr>
      </w:pPr>
      <w:r>
        <w:rPr>
          <w:rFonts w:hint="eastAsia"/>
          <w:sz w:val="30"/>
          <w:szCs w:val="30"/>
        </w:rPr>
        <w:t>二〇一四年七月十一日</w:t>
      </w:r>
    </w:p>
    <w:p w:rsidR="00000000" w:rsidRDefault="005C724F">
      <w:pPr>
        <w:spacing w:line="500" w:lineRule="atLeast"/>
        <w:jc w:val="right"/>
        <w:divId w:val="1520196622"/>
        <w:rPr>
          <w:rFonts w:hint="eastAsia"/>
          <w:sz w:val="30"/>
          <w:szCs w:val="30"/>
        </w:rPr>
      </w:pPr>
      <w:r>
        <w:rPr>
          <w:rFonts w:hint="eastAsia"/>
          <w:sz w:val="30"/>
          <w:szCs w:val="30"/>
        </w:rPr>
        <w:t>书　记　员　　王乐轶</w:t>
      </w:r>
    </w:p>
    <w:p w:rsidR="00000000" w:rsidRDefault="005C724F">
      <w:pPr>
        <w:spacing w:line="500" w:lineRule="atLeast"/>
        <w:ind w:firstLine="600"/>
        <w:divId w:val="818880971"/>
        <w:rPr>
          <w:rFonts w:hint="eastAsia"/>
          <w:sz w:val="30"/>
          <w:szCs w:val="30"/>
        </w:rPr>
      </w:pPr>
      <w:r>
        <w:rPr>
          <w:rFonts w:hint="eastAsia"/>
          <w:sz w:val="30"/>
          <w:szCs w:val="30"/>
        </w:rPr>
        <w:t>附：相关法律条文</w:t>
      </w:r>
    </w:p>
    <w:p w:rsidR="00000000" w:rsidRDefault="005C724F">
      <w:pPr>
        <w:spacing w:line="500" w:lineRule="atLeast"/>
        <w:ind w:firstLine="600"/>
        <w:divId w:val="80180346"/>
        <w:rPr>
          <w:rFonts w:hint="eastAsia"/>
          <w:sz w:val="30"/>
          <w:szCs w:val="30"/>
        </w:rPr>
      </w:pPr>
      <w:r>
        <w:rPr>
          <w:rFonts w:hint="eastAsia"/>
          <w:sz w:val="30"/>
          <w:szCs w:val="30"/>
        </w:rPr>
        <w:t>附：相关的法律条文</w:t>
      </w:r>
    </w:p>
    <w:p w:rsidR="00000000" w:rsidRDefault="005C724F">
      <w:pPr>
        <w:spacing w:line="500" w:lineRule="atLeast"/>
        <w:ind w:firstLine="600"/>
        <w:divId w:val="141165296"/>
        <w:rPr>
          <w:rFonts w:hint="eastAsia"/>
          <w:sz w:val="30"/>
          <w:szCs w:val="30"/>
        </w:rPr>
      </w:pPr>
      <w:r>
        <w:rPr>
          <w:rFonts w:hint="eastAsia"/>
          <w:sz w:val="30"/>
          <w:szCs w:val="30"/>
        </w:rPr>
        <w:t>《中华人民共</w:t>
      </w:r>
      <w:r>
        <w:rPr>
          <w:rFonts w:hint="eastAsia"/>
          <w:sz w:val="30"/>
          <w:szCs w:val="30"/>
        </w:rPr>
        <w:t>和国民事诉讼法》</w:t>
      </w:r>
    </w:p>
    <w:p w:rsidR="00000000" w:rsidRDefault="005C724F">
      <w:pPr>
        <w:spacing w:line="500" w:lineRule="atLeast"/>
        <w:ind w:firstLine="600"/>
        <w:divId w:val="1086415057"/>
        <w:rPr>
          <w:rFonts w:hint="eastAsia"/>
          <w:sz w:val="30"/>
          <w:szCs w:val="30"/>
        </w:rPr>
      </w:pPr>
      <w:r>
        <w:rPr>
          <w:rFonts w:hint="eastAsia"/>
          <w:sz w:val="30"/>
          <w:szCs w:val="30"/>
        </w:rPr>
        <w:t>第一百七十条第二审人民法院对上诉案件，经过审理，按照下列情形，分别处理：</w:t>
      </w:r>
    </w:p>
    <w:p w:rsidR="00000000" w:rsidRDefault="005C724F">
      <w:pPr>
        <w:spacing w:line="500" w:lineRule="atLeast"/>
        <w:ind w:firstLine="600"/>
        <w:divId w:val="1458718927"/>
        <w:rPr>
          <w:rFonts w:hint="eastAsia"/>
          <w:sz w:val="30"/>
          <w:szCs w:val="30"/>
        </w:rPr>
      </w:pPr>
      <w:r>
        <w:rPr>
          <w:rFonts w:hint="eastAsia"/>
          <w:sz w:val="30"/>
          <w:szCs w:val="30"/>
        </w:rPr>
        <w:t>（一）原判决、裁定认定事实清楚，适用法律正确的，以判决、裁定方式驳回上诉，维持原判决、裁定；</w:t>
      </w:r>
    </w:p>
    <w:p w:rsidR="00000000" w:rsidRDefault="005C724F">
      <w:pPr>
        <w:spacing w:line="500" w:lineRule="atLeast"/>
        <w:ind w:firstLine="600"/>
        <w:divId w:val="987053967"/>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24F" w:rsidRDefault="005C724F" w:rsidP="005C724F">
      <w:r>
        <w:separator/>
      </w:r>
    </w:p>
  </w:endnote>
  <w:endnote w:type="continuationSeparator" w:id="0">
    <w:p w:rsidR="005C724F" w:rsidRDefault="005C724F" w:rsidP="005C7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24F" w:rsidRDefault="005C724F" w:rsidP="005C724F">
      <w:r>
        <w:separator/>
      </w:r>
    </w:p>
  </w:footnote>
  <w:footnote w:type="continuationSeparator" w:id="0">
    <w:p w:rsidR="005C724F" w:rsidRDefault="005C724F" w:rsidP="005C72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C724F"/>
    <w:rsid w:val="005C7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C72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724F"/>
    <w:rPr>
      <w:rFonts w:ascii="宋体" w:eastAsia="宋体" w:hAnsi="宋体" w:cs="宋体"/>
      <w:sz w:val="18"/>
      <w:szCs w:val="18"/>
    </w:rPr>
  </w:style>
  <w:style w:type="paragraph" w:styleId="a5">
    <w:name w:val="footer"/>
    <w:basedOn w:val="a"/>
    <w:link w:val="a6"/>
    <w:uiPriority w:val="99"/>
    <w:unhideWhenUsed/>
    <w:rsid w:val="005C724F"/>
    <w:pPr>
      <w:tabs>
        <w:tab w:val="center" w:pos="4153"/>
        <w:tab w:val="right" w:pos="8306"/>
      </w:tabs>
      <w:snapToGrid w:val="0"/>
    </w:pPr>
    <w:rPr>
      <w:sz w:val="18"/>
      <w:szCs w:val="18"/>
    </w:rPr>
  </w:style>
  <w:style w:type="character" w:customStyle="1" w:styleId="a6">
    <w:name w:val="页脚 字符"/>
    <w:basedOn w:val="a0"/>
    <w:link w:val="a5"/>
    <w:uiPriority w:val="99"/>
    <w:rsid w:val="005C724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045">
      <w:marLeft w:val="0"/>
      <w:marRight w:val="0"/>
      <w:marTop w:val="10"/>
      <w:marBottom w:val="10"/>
      <w:divBdr>
        <w:top w:val="none" w:sz="0" w:space="0" w:color="auto"/>
        <w:left w:val="none" w:sz="0" w:space="0" w:color="auto"/>
        <w:bottom w:val="none" w:sz="0" w:space="0" w:color="auto"/>
        <w:right w:val="none" w:sz="0" w:space="0" w:color="auto"/>
      </w:divBdr>
    </w:div>
    <w:div w:id="41910061">
      <w:marLeft w:val="0"/>
      <w:marRight w:val="0"/>
      <w:marTop w:val="10"/>
      <w:marBottom w:val="10"/>
      <w:divBdr>
        <w:top w:val="none" w:sz="0" w:space="0" w:color="auto"/>
        <w:left w:val="none" w:sz="0" w:space="0" w:color="auto"/>
        <w:bottom w:val="none" w:sz="0" w:space="0" w:color="auto"/>
        <w:right w:val="none" w:sz="0" w:space="0" w:color="auto"/>
      </w:divBdr>
    </w:div>
    <w:div w:id="70322052">
      <w:marLeft w:val="0"/>
      <w:marRight w:val="0"/>
      <w:marTop w:val="10"/>
      <w:marBottom w:val="10"/>
      <w:divBdr>
        <w:top w:val="none" w:sz="0" w:space="0" w:color="auto"/>
        <w:left w:val="none" w:sz="0" w:space="0" w:color="auto"/>
        <w:bottom w:val="none" w:sz="0" w:space="0" w:color="auto"/>
        <w:right w:val="none" w:sz="0" w:space="0" w:color="auto"/>
      </w:divBdr>
    </w:div>
    <w:div w:id="80180346">
      <w:marLeft w:val="0"/>
      <w:marRight w:val="0"/>
      <w:marTop w:val="10"/>
      <w:marBottom w:val="10"/>
      <w:divBdr>
        <w:top w:val="none" w:sz="0" w:space="0" w:color="auto"/>
        <w:left w:val="none" w:sz="0" w:space="0" w:color="auto"/>
        <w:bottom w:val="none" w:sz="0" w:space="0" w:color="auto"/>
        <w:right w:val="none" w:sz="0" w:space="0" w:color="auto"/>
      </w:divBdr>
    </w:div>
    <w:div w:id="141165296">
      <w:marLeft w:val="0"/>
      <w:marRight w:val="0"/>
      <w:marTop w:val="10"/>
      <w:marBottom w:val="10"/>
      <w:divBdr>
        <w:top w:val="none" w:sz="0" w:space="0" w:color="auto"/>
        <w:left w:val="none" w:sz="0" w:space="0" w:color="auto"/>
        <w:bottom w:val="none" w:sz="0" w:space="0" w:color="auto"/>
        <w:right w:val="none" w:sz="0" w:space="0" w:color="auto"/>
      </w:divBdr>
    </w:div>
    <w:div w:id="235482663">
      <w:marLeft w:val="0"/>
      <w:marRight w:val="0"/>
      <w:marTop w:val="10"/>
      <w:marBottom w:val="10"/>
      <w:divBdr>
        <w:top w:val="none" w:sz="0" w:space="0" w:color="auto"/>
        <w:left w:val="none" w:sz="0" w:space="0" w:color="auto"/>
        <w:bottom w:val="none" w:sz="0" w:space="0" w:color="auto"/>
        <w:right w:val="none" w:sz="0" w:space="0" w:color="auto"/>
      </w:divBdr>
    </w:div>
    <w:div w:id="237132162">
      <w:marLeft w:val="0"/>
      <w:marRight w:val="0"/>
      <w:marTop w:val="10"/>
      <w:marBottom w:val="10"/>
      <w:divBdr>
        <w:top w:val="none" w:sz="0" w:space="0" w:color="auto"/>
        <w:left w:val="none" w:sz="0" w:space="0" w:color="auto"/>
        <w:bottom w:val="none" w:sz="0" w:space="0" w:color="auto"/>
        <w:right w:val="none" w:sz="0" w:space="0" w:color="auto"/>
      </w:divBdr>
    </w:div>
    <w:div w:id="362024129">
      <w:marLeft w:val="0"/>
      <w:marRight w:val="0"/>
      <w:marTop w:val="10"/>
      <w:marBottom w:val="10"/>
      <w:divBdr>
        <w:top w:val="none" w:sz="0" w:space="0" w:color="auto"/>
        <w:left w:val="none" w:sz="0" w:space="0" w:color="auto"/>
        <w:bottom w:val="none" w:sz="0" w:space="0" w:color="auto"/>
        <w:right w:val="none" w:sz="0" w:space="0" w:color="auto"/>
      </w:divBdr>
    </w:div>
    <w:div w:id="378165508">
      <w:marLeft w:val="0"/>
      <w:marRight w:val="0"/>
      <w:marTop w:val="10"/>
      <w:marBottom w:val="10"/>
      <w:divBdr>
        <w:top w:val="none" w:sz="0" w:space="0" w:color="auto"/>
        <w:left w:val="none" w:sz="0" w:space="0" w:color="auto"/>
        <w:bottom w:val="none" w:sz="0" w:space="0" w:color="auto"/>
        <w:right w:val="none" w:sz="0" w:space="0" w:color="auto"/>
      </w:divBdr>
    </w:div>
    <w:div w:id="414207327">
      <w:marLeft w:val="0"/>
      <w:marRight w:val="0"/>
      <w:marTop w:val="10"/>
      <w:marBottom w:val="10"/>
      <w:divBdr>
        <w:top w:val="none" w:sz="0" w:space="0" w:color="auto"/>
        <w:left w:val="none" w:sz="0" w:space="0" w:color="auto"/>
        <w:bottom w:val="none" w:sz="0" w:space="0" w:color="auto"/>
        <w:right w:val="none" w:sz="0" w:space="0" w:color="auto"/>
      </w:divBdr>
    </w:div>
    <w:div w:id="515465271">
      <w:marLeft w:val="0"/>
      <w:marRight w:val="0"/>
      <w:marTop w:val="10"/>
      <w:marBottom w:val="10"/>
      <w:divBdr>
        <w:top w:val="none" w:sz="0" w:space="0" w:color="auto"/>
        <w:left w:val="none" w:sz="0" w:space="0" w:color="auto"/>
        <w:bottom w:val="none" w:sz="0" w:space="0" w:color="auto"/>
        <w:right w:val="none" w:sz="0" w:space="0" w:color="auto"/>
      </w:divBdr>
    </w:div>
    <w:div w:id="593126574">
      <w:marLeft w:val="0"/>
      <w:marRight w:val="0"/>
      <w:marTop w:val="10"/>
      <w:marBottom w:val="10"/>
      <w:divBdr>
        <w:top w:val="none" w:sz="0" w:space="0" w:color="auto"/>
        <w:left w:val="none" w:sz="0" w:space="0" w:color="auto"/>
        <w:bottom w:val="none" w:sz="0" w:space="0" w:color="auto"/>
        <w:right w:val="none" w:sz="0" w:space="0" w:color="auto"/>
      </w:divBdr>
    </w:div>
    <w:div w:id="818880971">
      <w:marLeft w:val="0"/>
      <w:marRight w:val="0"/>
      <w:marTop w:val="10"/>
      <w:marBottom w:val="10"/>
      <w:divBdr>
        <w:top w:val="none" w:sz="0" w:space="0" w:color="auto"/>
        <w:left w:val="none" w:sz="0" w:space="0" w:color="auto"/>
        <w:bottom w:val="none" w:sz="0" w:space="0" w:color="auto"/>
        <w:right w:val="none" w:sz="0" w:space="0" w:color="auto"/>
      </w:divBdr>
    </w:div>
    <w:div w:id="955524404">
      <w:marLeft w:val="0"/>
      <w:marRight w:val="0"/>
      <w:marTop w:val="10"/>
      <w:marBottom w:val="10"/>
      <w:divBdr>
        <w:top w:val="none" w:sz="0" w:space="0" w:color="auto"/>
        <w:left w:val="none" w:sz="0" w:space="0" w:color="auto"/>
        <w:bottom w:val="none" w:sz="0" w:space="0" w:color="auto"/>
        <w:right w:val="none" w:sz="0" w:space="0" w:color="auto"/>
      </w:divBdr>
    </w:div>
    <w:div w:id="987053967">
      <w:marLeft w:val="0"/>
      <w:marRight w:val="0"/>
      <w:marTop w:val="10"/>
      <w:marBottom w:val="10"/>
      <w:divBdr>
        <w:top w:val="none" w:sz="0" w:space="0" w:color="auto"/>
        <w:left w:val="none" w:sz="0" w:space="0" w:color="auto"/>
        <w:bottom w:val="none" w:sz="0" w:space="0" w:color="auto"/>
        <w:right w:val="none" w:sz="0" w:space="0" w:color="auto"/>
      </w:divBdr>
    </w:div>
    <w:div w:id="1035155679">
      <w:marLeft w:val="0"/>
      <w:marRight w:val="0"/>
      <w:marTop w:val="10"/>
      <w:marBottom w:val="10"/>
      <w:divBdr>
        <w:top w:val="none" w:sz="0" w:space="0" w:color="auto"/>
        <w:left w:val="none" w:sz="0" w:space="0" w:color="auto"/>
        <w:bottom w:val="none" w:sz="0" w:space="0" w:color="auto"/>
        <w:right w:val="none" w:sz="0" w:space="0" w:color="auto"/>
      </w:divBdr>
    </w:div>
    <w:div w:id="1037387849">
      <w:marLeft w:val="0"/>
      <w:marRight w:val="720"/>
      <w:marTop w:val="10"/>
      <w:marBottom w:val="10"/>
      <w:divBdr>
        <w:top w:val="none" w:sz="0" w:space="0" w:color="auto"/>
        <w:left w:val="none" w:sz="0" w:space="0" w:color="auto"/>
        <w:bottom w:val="none" w:sz="0" w:space="0" w:color="auto"/>
        <w:right w:val="none" w:sz="0" w:space="0" w:color="auto"/>
      </w:divBdr>
    </w:div>
    <w:div w:id="1084376094">
      <w:marLeft w:val="0"/>
      <w:marRight w:val="720"/>
      <w:marTop w:val="10"/>
      <w:marBottom w:val="10"/>
      <w:divBdr>
        <w:top w:val="none" w:sz="0" w:space="0" w:color="auto"/>
        <w:left w:val="none" w:sz="0" w:space="0" w:color="auto"/>
        <w:bottom w:val="none" w:sz="0" w:space="0" w:color="auto"/>
        <w:right w:val="none" w:sz="0" w:space="0" w:color="auto"/>
      </w:divBdr>
    </w:div>
    <w:div w:id="1086415057">
      <w:marLeft w:val="0"/>
      <w:marRight w:val="0"/>
      <w:marTop w:val="10"/>
      <w:marBottom w:val="10"/>
      <w:divBdr>
        <w:top w:val="none" w:sz="0" w:space="0" w:color="auto"/>
        <w:left w:val="none" w:sz="0" w:space="0" w:color="auto"/>
        <w:bottom w:val="none" w:sz="0" w:space="0" w:color="auto"/>
        <w:right w:val="none" w:sz="0" w:space="0" w:color="auto"/>
      </w:divBdr>
    </w:div>
    <w:div w:id="1108045664">
      <w:marLeft w:val="0"/>
      <w:marRight w:val="0"/>
      <w:marTop w:val="10"/>
      <w:marBottom w:val="10"/>
      <w:divBdr>
        <w:top w:val="none" w:sz="0" w:space="0" w:color="auto"/>
        <w:left w:val="none" w:sz="0" w:space="0" w:color="auto"/>
        <w:bottom w:val="none" w:sz="0" w:space="0" w:color="auto"/>
        <w:right w:val="none" w:sz="0" w:space="0" w:color="auto"/>
      </w:divBdr>
    </w:div>
    <w:div w:id="1111703212">
      <w:marLeft w:val="0"/>
      <w:marRight w:val="0"/>
      <w:marTop w:val="10"/>
      <w:marBottom w:val="10"/>
      <w:divBdr>
        <w:top w:val="none" w:sz="0" w:space="0" w:color="auto"/>
        <w:left w:val="none" w:sz="0" w:space="0" w:color="auto"/>
        <w:bottom w:val="none" w:sz="0" w:space="0" w:color="auto"/>
        <w:right w:val="none" w:sz="0" w:space="0" w:color="auto"/>
      </w:divBdr>
    </w:div>
    <w:div w:id="1124345623">
      <w:marLeft w:val="0"/>
      <w:marRight w:val="0"/>
      <w:marTop w:val="10"/>
      <w:marBottom w:val="10"/>
      <w:divBdr>
        <w:top w:val="none" w:sz="0" w:space="0" w:color="auto"/>
        <w:left w:val="none" w:sz="0" w:space="0" w:color="auto"/>
        <w:bottom w:val="none" w:sz="0" w:space="0" w:color="auto"/>
        <w:right w:val="none" w:sz="0" w:space="0" w:color="auto"/>
      </w:divBdr>
    </w:div>
    <w:div w:id="1154948257">
      <w:marLeft w:val="0"/>
      <w:marRight w:val="0"/>
      <w:marTop w:val="10"/>
      <w:marBottom w:val="10"/>
      <w:divBdr>
        <w:top w:val="none" w:sz="0" w:space="0" w:color="auto"/>
        <w:left w:val="none" w:sz="0" w:space="0" w:color="auto"/>
        <w:bottom w:val="none" w:sz="0" w:space="0" w:color="auto"/>
        <w:right w:val="none" w:sz="0" w:space="0" w:color="auto"/>
      </w:divBdr>
    </w:div>
    <w:div w:id="1208104602">
      <w:marLeft w:val="0"/>
      <w:marRight w:val="720"/>
      <w:marTop w:val="10"/>
      <w:marBottom w:val="10"/>
      <w:divBdr>
        <w:top w:val="none" w:sz="0" w:space="0" w:color="auto"/>
        <w:left w:val="none" w:sz="0" w:space="0" w:color="auto"/>
        <w:bottom w:val="none" w:sz="0" w:space="0" w:color="auto"/>
        <w:right w:val="none" w:sz="0" w:space="0" w:color="auto"/>
      </w:divBdr>
    </w:div>
    <w:div w:id="1211527393">
      <w:marLeft w:val="0"/>
      <w:marRight w:val="0"/>
      <w:marTop w:val="10"/>
      <w:marBottom w:val="10"/>
      <w:divBdr>
        <w:top w:val="none" w:sz="0" w:space="0" w:color="auto"/>
        <w:left w:val="none" w:sz="0" w:space="0" w:color="auto"/>
        <w:bottom w:val="none" w:sz="0" w:space="0" w:color="auto"/>
        <w:right w:val="none" w:sz="0" w:space="0" w:color="auto"/>
      </w:divBdr>
    </w:div>
    <w:div w:id="1224099298">
      <w:marLeft w:val="0"/>
      <w:marRight w:val="0"/>
      <w:marTop w:val="10"/>
      <w:marBottom w:val="10"/>
      <w:divBdr>
        <w:top w:val="none" w:sz="0" w:space="0" w:color="auto"/>
        <w:left w:val="none" w:sz="0" w:space="0" w:color="auto"/>
        <w:bottom w:val="none" w:sz="0" w:space="0" w:color="auto"/>
        <w:right w:val="none" w:sz="0" w:space="0" w:color="auto"/>
      </w:divBdr>
    </w:div>
    <w:div w:id="1229413432">
      <w:marLeft w:val="0"/>
      <w:marRight w:val="0"/>
      <w:marTop w:val="10"/>
      <w:marBottom w:val="10"/>
      <w:divBdr>
        <w:top w:val="none" w:sz="0" w:space="0" w:color="auto"/>
        <w:left w:val="none" w:sz="0" w:space="0" w:color="auto"/>
        <w:bottom w:val="none" w:sz="0" w:space="0" w:color="auto"/>
        <w:right w:val="none" w:sz="0" w:space="0" w:color="auto"/>
      </w:divBdr>
    </w:div>
    <w:div w:id="1231427259">
      <w:marLeft w:val="0"/>
      <w:marRight w:val="0"/>
      <w:marTop w:val="10"/>
      <w:marBottom w:val="10"/>
      <w:divBdr>
        <w:top w:val="none" w:sz="0" w:space="0" w:color="auto"/>
        <w:left w:val="none" w:sz="0" w:space="0" w:color="auto"/>
        <w:bottom w:val="none" w:sz="0" w:space="0" w:color="auto"/>
        <w:right w:val="none" w:sz="0" w:space="0" w:color="auto"/>
      </w:divBdr>
    </w:div>
    <w:div w:id="1244267563">
      <w:marLeft w:val="0"/>
      <w:marRight w:val="0"/>
      <w:marTop w:val="10"/>
      <w:marBottom w:val="10"/>
      <w:divBdr>
        <w:top w:val="none" w:sz="0" w:space="0" w:color="auto"/>
        <w:left w:val="none" w:sz="0" w:space="0" w:color="auto"/>
        <w:bottom w:val="none" w:sz="0" w:space="0" w:color="auto"/>
        <w:right w:val="none" w:sz="0" w:space="0" w:color="auto"/>
      </w:divBdr>
    </w:div>
    <w:div w:id="1253583164">
      <w:marLeft w:val="0"/>
      <w:marRight w:val="0"/>
      <w:marTop w:val="10"/>
      <w:marBottom w:val="10"/>
      <w:divBdr>
        <w:top w:val="none" w:sz="0" w:space="0" w:color="auto"/>
        <w:left w:val="none" w:sz="0" w:space="0" w:color="auto"/>
        <w:bottom w:val="none" w:sz="0" w:space="0" w:color="auto"/>
        <w:right w:val="none" w:sz="0" w:space="0" w:color="auto"/>
      </w:divBdr>
    </w:div>
    <w:div w:id="1289899852">
      <w:marLeft w:val="0"/>
      <w:marRight w:val="0"/>
      <w:marTop w:val="10"/>
      <w:marBottom w:val="10"/>
      <w:divBdr>
        <w:top w:val="none" w:sz="0" w:space="0" w:color="auto"/>
        <w:left w:val="none" w:sz="0" w:space="0" w:color="auto"/>
        <w:bottom w:val="none" w:sz="0" w:space="0" w:color="auto"/>
        <w:right w:val="none" w:sz="0" w:space="0" w:color="auto"/>
      </w:divBdr>
    </w:div>
    <w:div w:id="1355231715">
      <w:marLeft w:val="0"/>
      <w:marRight w:val="0"/>
      <w:marTop w:val="10"/>
      <w:marBottom w:val="10"/>
      <w:divBdr>
        <w:top w:val="none" w:sz="0" w:space="0" w:color="auto"/>
        <w:left w:val="none" w:sz="0" w:space="0" w:color="auto"/>
        <w:bottom w:val="none" w:sz="0" w:space="0" w:color="auto"/>
        <w:right w:val="none" w:sz="0" w:space="0" w:color="auto"/>
      </w:divBdr>
    </w:div>
    <w:div w:id="1458718927">
      <w:marLeft w:val="0"/>
      <w:marRight w:val="0"/>
      <w:marTop w:val="10"/>
      <w:marBottom w:val="10"/>
      <w:divBdr>
        <w:top w:val="none" w:sz="0" w:space="0" w:color="auto"/>
        <w:left w:val="none" w:sz="0" w:space="0" w:color="auto"/>
        <w:bottom w:val="none" w:sz="0" w:space="0" w:color="auto"/>
        <w:right w:val="none" w:sz="0" w:space="0" w:color="auto"/>
      </w:divBdr>
    </w:div>
    <w:div w:id="1520196622">
      <w:marLeft w:val="0"/>
      <w:marRight w:val="720"/>
      <w:marTop w:val="10"/>
      <w:marBottom w:val="10"/>
      <w:divBdr>
        <w:top w:val="none" w:sz="0" w:space="0" w:color="auto"/>
        <w:left w:val="none" w:sz="0" w:space="0" w:color="auto"/>
        <w:bottom w:val="none" w:sz="0" w:space="0" w:color="auto"/>
        <w:right w:val="none" w:sz="0" w:space="0" w:color="auto"/>
      </w:divBdr>
    </w:div>
    <w:div w:id="1587419064">
      <w:marLeft w:val="0"/>
      <w:marRight w:val="0"/>
      <w:marTop w:val="10"/>
      <w:marBottom w:val="10"/>
      <w:divBdr>
        <w:top w:val="none" w:sz="0" w:space="0" w:color="auto"/>
        <w:left w:val="none" w:sz="0" w:space="0" w:color="auto"/>
        <w:bottom w:val="none" w:sz="0" w:space="0" w:color="auto"/>
        <w:right w:val="none" w:sz="0" w:space="0" w:color="auto"/>
      </w:divBdr>
    </w:div>
    <w:div w:id="1591157576">
      <w:marLeft w:val="0"/>
      <w:marRight w:val="0"/>
      <w:marTop w:val="10"/>
      <w:marBottom w:val="10"/>
      <w:divBdr>
        <w:top w:val="none" w:sz="0" w:space="0" w:color="auto"/>
        <w:left w:val="none" w:sz="0" w:space="0" w:color="auto"/>
        <w:bottom w:val="none" w:sz="0" w:space="0" w:color="auto"/>
        <w:right w:val="none" w:sz="0" w:space="0" w:color="auto"/>
      </w:divBdr>
    </w:div>
    <w:div w:id="1602686789">
      <w:marLeft w:val="0"/>
      <w:marRight w:val="0"/>
      <w:marTop w:val="10"/>
      <w:marBottom w:val="10"/>
      <w:divBdr>
        <w:top w:val="none" w:sz="0" w:space="0" w:color="auto"/>
        <w:left w:val="none" w:sz="0" w:space="0" w:color="auto"/>
        <w:bottom w:val="none" w:sz="0" w:space="0" w:color="auto"/>
        <w:right w:val="none" w:sz="0" w:space="0" w:color="auto"/>
      </w:divBdr>
    </w:div>
    <w:div w:id="1606231666">
      <w:marLeft w:val="0"/>
      <w:marRight w:val="0"/>
      <w:marTop w:val="10"/>
      <w:marBottom w:val="10"/>
      <w:divBdr>
        <w:top w:val="none" w:sz="0" w:space="0" w:color="auto"/>
        <w:left w:val="none" w:sz="0" w:space="0" w:color="auto"/>
        <w:bottom w:val="none" w:sz="0" w:space="0" w:color="auto"/>
        <w:right w:val="none" w:sz="0" w:space="0" w:color="auto"/>
      </w:divBdr>
    </w:div>
    <w:div w:id="1729719142">
      <w:marLeft w:val="0"/>
      <w:marRight w:val="0"/>
      <w:marTop w:val="10"/>
      <w:marBottom w:val="10"/>
      <w:divBdr>
        <w:top w:val="none" w:sz="0" w:space="0" w:color="auto"/>
        <w:left w:val="none" w:sz="0" w:space="0" w:color="auto"/>
        <w:bottom w:val="none" w:sz="0" w:space="0" w:color="auto"/>
        <w:right w:val="none" w:sz="0" w:space="0" w:color="auto"/>
      </w:divBdr>
    </w:div>
    <w:div w:id="1733189267">
      <w:marLeft w:val="0"/>
      <w:marRight w:val="0"/>
      <w:marTop w:val="10"/>
      <w:marBottom w:val="10"/>
      <w:divBdr>
        <w:top w:val="none" w:sz="0" w:space="0" w:color="auto"/>
        <w:left w:val="none" w:sz="0" w:space="0" w:color="auto"/>
        <w:bottom w:val="none" w:sz="0" w:space="0" w:color="auto"/>
        <w:right w:val="none" w:sz="0" w:space="0" w:color="auto"/>
      </w:divBdr>
    </w:div>
    <w:div w:id="1786731653">
      <w:marLeft w:val="0"/>
      <w:marRight w:val="0"/>
      <w:marTop w:val="10"/>
      <w:marBottom w:val="10"/>
      <w:divBdr>
        <w:top w:val="none" w:sz="0" w:space="0" w:color="auto"/>
        <w:left w:val="none" w:sz="0" w:space="0" w:color="auto"/>
        <w:bottom w:val="none" w:sz="0" w:space="0" w:color="auto"/>
        <w:right w:val="none" w:sz="0" w:space="0" w:color="auto"/>
      </w:divBdr>
    </w:div>
    <w:div w:id="1793592296">
      <w:marLeft w:val="0"/>
      <w:marRight w:val="0"/>
      <w:marTop w:val="10"/>
      <w:marBottom w:val="10"/>
      <w:divBdr>
        <w:top w:val="none" w:sz="0" w:space="0" w:color="auto"/>
        <w:left w:val="none" w:sz="0" w:space="0" w:color="auto"/>
        <w:bottom w:val="none" w:sz="0" w:space="0" w:color="auto"/>
        <w:right w:val="none" w:sz="0" w:space="0" w:color="auto"/>
      </w:divBdr>
    </w:div>
    <w:div w:id="1870952501">
      <w:marLeft w:val="0"/>
      <w:marRight w:val="0"/>
      <w:marTop w:val="10"/>
      <w:marBottom w:val="10"/>
      <w:divBdr>
        <w:top w:val="none" w:sz="0" w:space="0" w:color="auto"/>
        <w:left w:val="none" w:sz="0" w:space="0" w:color="auto"/>
        <w:bottom w:val="none" w:sz="0" w:space="0" w:color="auto"/>
        <w:right w:val="none" w:sz="0" w:space="0" w:color="auto"/>
      </w:divBdr>
    </w:div>
    <w:div w:id="1910268725">
      <w:marLeft w:val="0"/>
      <w:marRight w:val="0"/>
      <w:marTop w:val="10"/>
      <w:marBottom w:val="10"/>
      <w:divBdr>
        <w:top w:val="none" w:sz="0" w:space="0" w:color="auto"/>
        <w:left w:val="none" w:sz="0" w:space="0" w:color="auto"/>
        <w:bottom w:val="none" w:sz="0" w:space="0" w:color="auto"/>
        <w:right w:val="none" w:sz="0" w:space="0" w:color="auto"/>
      </w:divBdr>
    </w:div>
    <w:div w:id="1929344087">
      <w:marLeft w:val="0"/>
      <w:marRight w:val="0"/>
      <w:marTop w:val="10"/>
      <w:marBottom w:val="10"/>
      <w:divBdr>
        <w:top w:val="none" w:sz="0" w:space="0" w:color="auto"/>
        <w:left w:val="none" w:sz="0" w:space="0" w:color="auto"/>
        <w:bottom w:val="none" w:sz="0" w:space="0" w:color="auto"/>
        <w:right w:val="none" w:sz="0" w:space="0" w:color="auto"/>
      </w:divBdr>
    </w:div>
    <w:div w:id="1956521498">
      <w:marLeft w:val="0"/>
      <w:marRight w:val="720"/>
      <w:marTop w:val="10"/>
      <w:marBottom w:val="10"/>
      <w:divBdr>
        <w:top w:val="none" w:sz="0" w:space="0" w:color="auto"/>
        <w:left w:val="none" w:sz="0" w:space="0" w:color="auto"/>
        <w:bottom w:val="none" w:sz="0" w:space="0" w:color="auto"/>
        <w:right w:val="none" w:sz="0" w:space="0" w:color="auto"/>
      </w:divBdr>
    </w:div>
    <w:div w:id="2028750863">
      <w:marLeft w:val="0"/>
      <w:marRight w:val="0"/>
      <w:marTop w:val="10"/>
      <w:marBottom w:val="10"/>
      <w:divBdr>
        <w:top w:val="none" w:sz="0" w:space="0" w:color="auto"/>
        <w:left w:val="none" w:sz="0" w:space="0" w:color="auto"/>
        <w:bottom w:val="none" w:sz="0" w:space="0" w:color="auto"/>
        <w:right w:val="none" w:sz="0" w:space="0" w:color="auto"/>
      </w:divBdr>
    </w:div>
    <w:div w:id="207600318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