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35030">
      <w:pPr>
        <w:spacing w:line="500" w:lineRule="atLeast"/>
        <w:jc w:val="center"/>
        <w:divId w:val="779880107"/>
        <w:rPr>
          <w:rFonts w:ascii="黑体" w:eastAsia="黑体" w:hAnsi="黑体"/>
          <w:sz w:val="36"/>
          <w:szCs w:val="36"/>
        </w:rPr>
      </w:pPr>
      <w:bookmarkStart w:id="0" w:name="_GoBack"/>
      <w:bookmarkEnd w:id="0"/>
      <w:r>
        <w:rPr>
          <w:rFonts w:ascii="黑体" w:eastAsia="黑体" w:hAnsi="黑体" w:hint="eastAsia"/>
          <w:sz w:val="36"/>
          <w:szCs w:val="36"/>
        </w:rPr>
        <w:t>上海市高级人民法院</w:t>
      </w:r>
    </w:p>
    <w:p w:rsidR="00000000" w:rsidRDefault="00C35030">
      <w:pPr>
        <w:spacing w:line="500" w:lineRule="atLeast"/>
        <w:jc w:val="center"/>
        <w:divId w:val="149160486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35030">
      <w:pPr>
        <w:spacing w:line="500" w:lineRule="atLeast"/>
        <w:jc w:val="right"/>
        <w:divId w:val="1536849260"/>
        <w:rPr>
          <w:rFonts w:hint="eastAsia"/>
          <w:sz w:val="30"/>
          <w:szCs w:val="30"/>
        </w:rPr>
      </w:pPr>
      <w:r>
        <w:rPr>
          <w:rFonts w:hint="eastAsia"/>
          <w:sz w:val="30"/>
          <w:szCs w:val="30"/>
        </w:rPr>
        <w:t>（</w:t>
      </w:r>
      <w:r>
        <w:rPr>
          <w:rFonts w:hint="eastAsia"/>
          <w:sz w:val="30"/>
          <w:szCs w:val="30"/>
        </w:rPr>
        <w:t>2016</w:t>
      </w:r>
      <w:r>
        <w:rPr>
          <w:rFonts w:hint="eastAsia"/>
          <w:sz w:val="30"/>
          <w:szCs w:val="30"/>
        </w:rPr>
        <w:t>）沪民申</w:t>
      </w:r>
      <w:r>
        <w:rPr>
          <w:rFonts w:hint="eastAsia"/>
          <w:sz w:val="30"/>
          <w:szCs w:val="30"/>
        </w:rPr>
        <w:t>436</w:t>
      </w:r>
      <w:r>
        <w:rPr>
          <w:rFonts w:hint="eastAsia"/>
          <w:sz w:val="30"/>
          <w:szCs w:val="30"/>
        </w:rPr>
        <w:t>号</w:t>
      </w:r>
    </w:p>
    <w:p w:rsidR="00000000" w:rsidRDefault="00C35030">
      <w:pPr>
        <w:spacing w:line="500" w:lineRule="atLeast"/>
        <w:ind w:firstLine="600"/>
        <w:divId w:val="1265118368"/>
        <w:rPr>
          <w:rFonts w:hint="eastAsia"/>
          <w:sz w:val="30"/>
          <w:szCs w:val="30"/>
        </w:rPr>
      </w:pPr>
      <w:r>
        <w:rPr>
          <w:rFonts w:hint="eastAsia"/>
          <w:sz w:val="30"/>
          <w:szCs w:val="30"/>
        </w:rPr>
        <w:t>再审申请人（一审原告、二审上诉人）上海航铝航空材料有限公司，住所地上海市金山区。</w:t>
      </w:r>
    </w:p>
    <w:p w:rsidR="00000000" w:rsidRDefault="00C35030">
      <w:pPr>
        <w:spacing w:line="500" w:lineRule="atLeast"/>
        <w:ind w:firstLine="600"/>
        <w:divId w:val="45030411"/>
        <w:rPr>
          <w:rFonts w:hint="eastAsia"/>
          <w:sz w:val="30"/>
          <w:szCs w:val="30"/>
        </w:rPr>
      </w:pPr>
      <w:r>
        <w:rPr>
          <w:rFonts w:hint="eastAsia"/>
          <w:sz w:val="30"/>
          <w:szCs w:val="30"/>
        </w:rPr>
        <w:t>法定代表人刘树奇，总经理。</w:t>
      </w:r>
    </w:p>
    <w:p w:rsidR="00000000" w:rsidRDefault="00C35030">
      <w:pPr>
        <w:spacing w:line="500" w:lineRule="atLeast"/>
        <w:ind w:firstLine="600"/>
        <w:divId w:val="1717973036"/>
        <w:rPr>
          <w:rFonts w:hint="eastAsia"/>
          <w:sz w:val="30"/>
          <w:szCs w:val="30"/>
        </w:rPr>
      </w:pPr>
      <w:r>
        <w:rPr>
          <w:rFonts w:hint="eastAsia"/>
          <w:sz w:val="30"/>
          <w:szCs w:val="30"/>
        </w:rPr>
        <w:t>委托代理人朱进，上海小城（苏州）律师事务所律师。</w:t>
      </w:r>
    </w:p>
    <w:p w:rsidR="00000000" w:rsidRDefault="00C35030">
      <w:pPr>
        <w:spacing w:line="500" w:lineRule="atLeast"/>
        <w:ind w:firstLine="600"/>
        <w:divId w:val="381444163"/>
        <w:rPr>
          <w:rFonts w:hint="eastAsia"/>
          <w:sz w:val="30"/>
          <w:szCs w:val="30"/>
        </w:rPr>
      </w:pPr>
      <w:r>
        <w:rPr>
          <w:rFonts w:hint="eastAsia"/>
          <w:sz w:val="30"/>
          <w:szCs w:val="30"/>
        </w:rPr>
        <w:t>被申请人（一审被告、二审被上诉人）吴边。</w:t>
      </w:r>
    </w:p>
    <w:p w:rsidR="00000000" w:rsidRDefault="00C35030">
      <w:pPr>
        <w:spacing w:line="500" w:lineRule="atLeast"/>
        <w:ind w:firstLine="600"/>
        <w:divId w:val="451562143"/>
        <w:rPr>
          <w:rFonts w:hint="eastAsia"/>
          <w:sz w:val="30"/>
          <w:szCs w:val="30"/>
        </w:rPr>
      </w:pPr>
      <w:r>
        <w:rPr>
          <w:rFonts w:hint="eastAsia"/>
          <w:sz w:val="30"/>
          <w:szCs w:val="30"/>
        </w:rPr>
        <w:t>委托代理人杨征东，上海申同律师事务所律师。</w:t>
      </w:r>
    </w:p>
    <w:p w:rsidR="00000000" w:rsidRDefault="00C35030">
      <w:pPr>
        <w:spacing w:line="500" w:lineRule="atLeast"/>
        <w:ind w:firstLine="600"/>
        <w:divId w:val="1435369926"/>
        <w:rPr>
          <w:rFonts w:hint="eastAsia"/>
          <w:sz w:val="30"/>
          <w:szCs w:val="30"/>
        </w:rPr>
      </w:pPr>
      <w:r>
        <w:rPr>
          <w:rFonts w:hint="eastAsia"/>
          <w:sz w:val="30"/>
          <w:szCs w:val="30"/>
        </w:rPr>
        <w:t>再审申请人上海航铝航空材料有限公司（以下简称航铝公司）因与被申请人吴边损害公司利益责任纠纷一案，不服上海市第一中级人民法院（</w:t>
      </w:r>
      <w:r>
        <w:rPr>
          <w:rFonts w:hint="eastAsia"/>
          <w:sz w:val="30"/>
          <w:szCs w:val="30"/>
        </w:rPr>
        <w:t>2015</w:t>
      </w:r>
      <w:r>
        <w:rPr>
          <w:rFonts w:hint="eastAsia"/>
          <w:sz w:val="30"/>
          <w:szCs w:val="30"/>
        </w:rPr>
        <w:t>）沪一中民四（商）终字第</w:t>
      </w:r>
      <w:r>
        <w:rPr>
          <w:rFonts w:hint="eastAsia"/>
          <w:sz w:val="30"/>
          <w:szCs w:val="30"/>
        </w:rPr>
        <w:t>1764</w:t>
      </w:r>
      <w:r>
        <w:rPr>
          <w:rFonts w:hint="eastAsia"/>
          <w:sz w:val="30"/>
          <w:szCs w:val="30"/>
        </w:rPr>
        <w:t>号民事判决，向本院申请再审。本院依法组成合议庭对本案进行了审查，现已审查终结。</w:t>
      </w:r>
    </w:p>
    <w:p w:rsidR="00000000" w:rsidRDefault="00C35030">
      <w:pPr>
        <w:spacing w:line="500" w:lineRule="atLeast"/>
        <w:ind w:firstLine="600"/>
        <w:divId w:val="577247801"/>
        <w:rPr>
          <w:rFonts w:hint="eastAsia"/>
          <w:sz w:val="30"/>
          <w:szCs w:val="30"/>
        </w:rPr>
      </w:pPr>
      <w:r>
        <w:rPr>
          <w:rFonts w:hint="eastAsia"/>
          <w:sz w:val="30"/>
          <w:szCs w:val="30"/>
        </w:rPr>
        <w:t>航铝公司申请再审称：</w:t>
      </w:r>
      <w:r>
        <w:rPr>
          <w:rFonts w:hint="eastAsia"/>
          <w:sz w:val="30"/>
          <w:szCs w:val="30"/>
        </w:rPr>
        <w:t>1</w:t>
      </w:r>
      <w:r>
        <w:rPr>
          <w:rFonts w:hint="eastAsia"/>
          <w:sz w:val="30"/>
          <w:szCs w:val="30"/>
        </w:rPr>
        <w:t>、二审适用法律错误。二审纠正了一审的错误认定，确认了吴边的航铝公司高级管理人员身份以及吴边违反对航铝公司负有的忠实义务，但却最终仍以“原审法院认定事实清楚，所作判决并无不当”为由驳回航铝公司的上诉请求，显然适用法律不当。</w:t>
      </w:r>
      <w:r>
        <w:rPr>
          <w:rFonts w:hint="eastAsia"/>
          <w:sz w:val="30"/>
          <w:szCs w:val="30"/>
        </w:rPr>
        <w:t>2</w:t>
      </w:r>
      <w:r>
        <w:rPr>
          <w:rFonts w:hint="eastAsia"/>
          <w:sz w:val="30"/>
          <w:szCs w:val="30"/>
        </w:rPr>
        <w:t>、二审认定事实不清。关于</w:t>
      </w:r>
      <w:r>
        <w:rPr>
          <w:rFonts w:hint="eastAsia"/>
          <w:sz w:val="30"/>
          <w:szCs w:val="30"/>
        </w:rPr>
        <w:t>吴边应予赔偿的损失及归入权，航铝公司在一审程序中已经完成举证，即明确吴边投资的上海鲁迪航空金属材料有限公司（以下简称鲁迪公司）财务账册为本案证据，因航铝公司无法取得鲁迪公司财务账册，故而在一、二审期间均向法院申请予以调查保全，但一、二审法院均未查明该事实且在判决书中予以回避。综上，航铝公司请求依照《中华人民共和国民事诉讼法》第二百条第五项、第六项的规定申请再审。</w:t>
      </w:r>
    </w:p>
    <w:p w:rsidR="00000000" w:rsidRDefault="00C35030">
      <w:pPr>
        <w:spacing w:line="500" w:lineRule="atLeast"/>
        <w:ind w:firstLine="600"/>
        <w:divId w:val="235479319"/>
        <w:rPr>
          <w:rFonts w:hint="eastAsia"/>
          <w:sz w:val="30"/>
          <w:szCs w:val="30"/>
        </w:rPr>
      </w:pPr>
      <w:r>
        <w:rPr>
          <w:rFonts w:hint="eastAsia"/>
          <w:sz w:val="30"/>
          <w:szCs w:val="30"/>
        </w:rPr>
        <w:lastRenderedPageBreak/>
        <w:t>吴边提交意见称：</w:t>
      </w:r>
      <w:r>
        <w:rPr>
          <w:rFonts w:hint="eastAsia"/>
          <w:sz w:val="30"/>
          <w:szCs w:val="30"/>
        </w:rPr>
        <w:t>1</w:t>
      </w:r>
      <w:r>
        <w:rPr>
          <w:rFonts w:hint="eastAsia"/>
          <w:sz w:val="30"/>
          <w:szCs w:val="30"/>
        </w:rPr>
        <w:t>、对于二审法院认定吴边的高级管理人员身份以及违反竞业禁止予以服从。</w:t>
      </w:r>
      <w:r>
        <w:rPr>
          <w:rFonts w:hint="eastAsia"/>
          <w:sz w:val="30"/>
          <w:szCs w:val="30"/>
        </w:rPr>
        <w:t>2</w:t>
      </w:r>
      <w:r>
        <w:rPr>
          <w:rFonts w:hint="eastAsia"/>
          <w:sz w:val="30"/>
          <w:szCs w:val="30"/>
        </w:rPr>
        <w:t>、航铝公司申请法院调查鲁迪公司财务账册，应当提交初步证据，在</w:t>
      </w:r>
      <w:r>
        <w:rPr>
          <w:rFonts w:hint="eastAsia"/>
          <w:sz w:val="30"/>
          <w:szCs w:val="30"/>
        </w:rPr>
        <w:t>此基础上才能申请法院调查。现航铝公司无初步证据即直接申请调取案外人的财务资料不符合法律规定。</w:t>
      </w:r>
    </w:p>
    <w:p w:rsidR="00000000" w:rsidRDefault="00C35030">
      <w:pPr>
        <w:spacing w:line="500" w:lineRule="atLeast"/>
        <w:ind w:firstLine="600"/>
        <w:divId w:val="313484520"/>
        <w:rPr>
          <w:rFonts w:hint="eastAsia"/>
          <w:sz w:val="30"/>
          <w:szCs w:val="30"/>
        </w:rPr>
      </w:pPr>
      <w:r>
        <w:rPr>
          <w:rFonts w:hint="eastAsia"/>
          <w:sz w:val="30"/>
          <w:szCs w:val="30"/>
        </w:rPr>
        <w:t>本案审查期间，航铝公司向本院申请调取鲁迪公司</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月期间及上海特鲁斯航空材料公司</w:t>
      </w:r>
      <w:r>
        <w:rPr>
          <w:rFonts w:hint="eastAsia"/>
          <w:sz w:val="30"/>
          <w:szCs w:val="30"/>
        </w:rPr>
        <w:t>2015</w:t>
      </w:r>
      <w:r>
        <w:rPr>
          <w:rFonts w:hint="eastAsia"/>
          <w:sz w:val="30"/>
          <w:szCs w:val="30"/>
        </w:rPr>
        <w:t>年</w:t>
      </w:r>
      <w:r>
        <w:rPr>
          <w:rFonts w:hint="eastAsia"/>
          <w:sz w:val="30"/>
          <w:szCs w:val="30"/>
        </w:rPr>
        <w:t>1-3</w:t>
      </w:r>
      <w:r>
        <w:rPr>
          <w:rFonts w:hint="eastAsia"/>
          <w:sz w:val="30"/>
          <w:szCs w:val="30"/>
        </w:rPr>
        <w:t>月期间的财务资料（含账目、银行资金往来及开票资料）。</w:t>
      </w:r>
    </w:p>
    <w:p w:rsidR="00000000" w:rsidRDefault="00C35030">
      <w:pPr>
        <w:spacing w:line="500" w:lineRule="atLeast"/>
        <w:ind w:firstLine="600"/>
        <w:divId w:val="1067846345"/>
        <w:rPr>
          <w:rFonts w:hint="eastAsia"/>
          <w:sz w:val="30"/>
          <w:szCs w:val="30"/>
        </w:rPr>
      </w:pPr>
      <w:r>
        <w:rPr>
          <w:rFonts w:hint="eastAsia"/>
          <w:sz w:val="30"/>
          <w:szCs w:val="30"/>
        </w:rPr>
        <w:t>本院经审查认为，吴边在担任航铝公司高级管理人员期间，违反竞业禁止的规定，经营与航铝公司同类的业务，侵害了航铝公司利益。现航铝公司主张吴边应将违反竞业禁止所得的收入归航铝公司所有，应当提供相应赔偿数额的依据。航铝公司请求法院调取案外人的财务资料，</w:t>
      </w:r>
      <w:r>
        <w:rPr>
          <w:rFonts w:hint="eastAsia"/>
          <w:sz w:val="30"/>
          <w:szCs w:val="30"/>
        </w:rPr>
        <w:t>但未能提供任何初步证据，其申请不符合法律规定，本院不予准许。由于航铝公司未能就赔偿数额和归入权进行举证，故二审判决对其诉讼请求不予支持符合法律规定。综上所述，二审法院认定事实清楚，适用法律正确，航铝公司的再审申请不符合《中华人民共和国民事诉讼法》第二百条规定的情形。依照《中华人民共和国民事诉讼法》第二百零四条第一款之规定，裁定如下：</w:t>
      </w:r>
    </w:p>
    <w:p w:rsidR="00000000" w:rsidRDefault="00C35030">
      <w:pPr>
        <w:spacing w:line="500" w:lineRule="atLeast"/>
        <w:ind w:firstLine="600"/>
        <w:divId w:val="1335956237"/>
        <w:rPr>
          <w:rFonts w:hint="eastAsia"/>
          <w:sz w:val="30"/>
          <w:szCs w:val="30"/>
        </w:rPr>
      </w:pPr>
      <w:r>
        <w:rPr>
          <w:rFonts w:hint="eastAsia"/>
          <w:sz w:val="30"/>
          <w:szCs w:val="30"/>
        </w:rPr>
        <w:t>驳回上海航铝航空材料有限公司的再审申请。</w:t>
      </w:r>
    </w:p>
    <w:p w:rsidR="00000000" w:rsidRDefault="00C35030">
      <w:pPr>
        <w:spacing w:line="500" w:lineRule="atLeast"/>
        <w:jc w:val="right"/>
        <w:divId w:val="2049333278"/>
        <w:rPr>
          <w:rFonts w:hint="eastAsia"/>
          <w:sz w:val="30"/>
          <w:szCs w:val="30"/>
        </w:rPr>
      </w:pPr>
      <w:r>
        <w:rPr>
          <w:rFonts w:hint="eastAsia"/>
          <w:sz w:val="30"/>
          <w:szCs w:val="30"/>
        </w:rPr>
        <w:t>审　判　长　　壮春晖</w:t>
      </w:r>
    </w:p>
    <w:p w:rsidR="00000000" w:rsidRDefault="00C35030">
      <w:pPr>
        <w:spacing w:line="500" w:lineRule="atLeast"/>
        <w:jc w:val="right"/>
        <w:divId w:val="102964242"/>
        <w:rPr>
          <w:rFonts w:hint="eastAsia"/>
          <w:sz w:val="30"/>
          <w:szCs w:val="30"/>
        </w:rPr>
      </w:pPr>
      <w:r>
        <w:rPr>
          <w:rFonts w:hint="eastAsia"/>
          <w:sz w:val="30"/>
          <w:szCs w:val="30"/>
        </w:rPr>
        <w:t>审　判　员　　马清华</w:t>
      </w:r>
    </w:p>
    <w:p w:rsidR="00000000" w:rsidRDefault="00C35030">
      <w:pPr>
        <w:spacing w:line="500" w:lineRule="atLeast"/>
        <w:jc w:val="right"/>
        <w:divId w:val="1627538984"/>
        <w:rPr>
          <w:rFonts w:hint="eastAsia"/>
          <w:sz w:val="30"/>
          <w:szCs w:val="30"/>
        </w:rPr>
      </w:pPr>
      <w:r>
        <w:rPr>
          <w:rFonts w:hint="eastAsia"/>
          <w:sz w:val="30"/>
          <w:szCs w:val="30"/>
        </w:rPr>
        <w:t>代理审判员　　贺　幸</w:t>
      </w:r>
    </w:p>
    <w:p w:rsidR="00000000" w:rsidRDefault="00C35030">
      <w:pPr>
        <w:spacing w:line="500" w:lineRule="atLeast"/>
        <w:jc w:val="right"/>
        <w:divId w:val="2145661908"/>
        <w:rPr>
          <w:rFonts w:hint="eastAsia"/>
          <w:sz w:val="30"/>
          <w:szCs w:val="30"/>
        </w:rPr>
      </w:pPr>
      <w:r>
        <w:rPr>
          <w:rFonts w:hint="eastAsia"/>
          <w:sz w:val="30"/>
          <w:szCs w:val="30"/>
        </w:rPr>
        <w:t>二〇一六年三月二十八日</w:t>
      </w:r>
    </w:p>
    <w:p w:rsidR="00000000" w:rsidRDefault="00C35030">
      <w:pPr>
        <w:spacing w:line="500" w:lineRule="atLeast"/>
        <w:jc w:val="right"/>
        <w:divId w:val="1391689255"/>
        <w:rPr>
          <w:rFonts w:hint="eastAsia"/>
          <w:sz w:val="30"/>
          <w:szCs w:val="30"/>
        </w:rPr>
      </w:pPr>
      <w:r>
        <w:rPr>
          <w:rFonts w:hint="eastAsia"/>
          <w:sz w:val="30"/>
          <w:szCs w:val="30"/>
        </w:rPr>
        <w:t>书　记　员　　郝　伟</w:t>
      </w:r>
    </w:p>
    <w:p w:rsidR="00000000" w:rsidRDefault="00C35030">
      <w:pPr>
        <w:spacing w:line="500" w:lineRule="atLeast"/>
        <w:ind w:firstLine="600"/>
        <w:divId w:val="1527527425"/>
        <w:rPr>
          <w:rFonts w:hint="eastAsia"/>
          <w:sz w:val="30"/>
          <w:szCs w:val="30"/>
        </w:rPr>
      </w:pPr>
      <w:r>
        <w:rPr>
          <w:rFonts w:hint="eastAsia"/>
          <w:sz w:val="30"/>
          <w:szCs w:val="30"/>
        </w:rPr>
        <w:t>附：相关法律条文</w:t>
      </w:r>
    </w:p>
    <w:p w:rsidR="00000000" w:rsidRDefault="00C35030">
      <w:pPr>
        <w:spacing w:line="500" w:lineRule="atLeast"/>
        <w:ind w:firstLine="600"/>
        <w:divId w:val="292908935"/>
        <w:rPr>
          <w:rFonts w:hint="eastAsia"/>
          <w:sz w:val="30"/>
          <w:szCs w:val="30"/>
        </w:rPr>
      </w:pPr>
      <w:r>
        <w:rPr>
          <w:rFonts w:hint="eastAsia"/>
          <w:sz w:val="30"/>
          <w:szCs w:val="30"/>
        </w:rPr>
        <w:t>《中</w:t>
      </w:r>
      <w:r>
        <w:rPr>
          <w:rFonts w:hint="eastAsia"/>
          <w:sz w:val="30"/>
          <w:szCs w:val="30"/>
        </w:rPr>
        <w:t>华人民共和国民事诉讼法》</w:t>
      </w:r>
    </w:p>
    <w:p w:rsidR="00000000" w:rsidRDefault="00C35030">
      <w:pPr>
        <w:spacing w:line="500" w:lineRule="atLeast"/>
        <w:ind w:firstLine="600"/>
        <w:divId w:val="976955383"/>
        <w:rPr>
          <w:rFonts w:hint="eastAsia"/>
          <w:sz w:val="30"/>
          <w:szCs w:val="30"/>
        </w:rPr>
      </w:pPr>
      <w:r>
        <w:rPr>
          <w:rFonts w:hint="eastAsia"/>
          <w:sz w:val="30"/>
          <w:szCs w:val="30"/>
        </w:rPr>
        <w:lastRenderedPageBreak/>
        <w:t>第二百零四条人民法院应当自收到再审申请书之日起三个月内审查，符合本法规定的，裁定再审；不符合本法规定的，裁定驳回申请。有特殊情况需要延长的，由本院院长批准。</w:t>
      </w:r>
    </w:p>
    <w:p w:rsidR="00000000" w:rsidRDefault="00C35030">
      <w:pPr>
        <w:spacing w:line="500" w:lineRule="atLeast"/>
        <w:ind w:firstLine="600"/>
        <w:divId w:val="1366980785"/>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030" w:rsidRDefault="00C35030" w:rsidP="00C35030">
      <w:r>
        <w:separator/>
      </w:r>
    </w:p>
  </w:endnote>
  <w:endnote w:type="continuationSeparator" w:id="0">
    <w:p w:rsidR="00C35030" w:rsidRDefault="00C35030" w:rsidP="00C35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030" w:rsidRDefault="00C35030" w:rsidP="00C35030">
      <w:r>
        <w:separator/>
      </w:r>
    </w:p>
  </w:footnote>
  <w:footnote w:type="continuationSeparator" w:id="0">
    <w:p w:rsidR="00C35030" w:rsidRDefault="00C35030" w:rsidP="00C350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35030"/>
    <w:rsid w:val="00C35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350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5030"/>
    <w:rPr>
      <w:rFonts w:ascii="宋体" w:eastAsia="宋体" w:hAnsi="宋体" w:cs="宋体"/>
      <w:sz w:val="18"/>
      <w:szCs w:val="18"/>
    </w:rPr>
  </w:style>
  <w:style w:type="paragraph" w:styleId="a5">
    <w:name w:val="footer"/>
    <w:basedOn w:val="a"/>
    <w:link w:val="a6"/>
    <w:uiPriority w:val="99"/>
    <w:unhideWhenUsed/>
    <w:rsid w:val="00C35030"/>
    <w:pPr>
      <w:tabs>
        <w:tab w:val="center" w:pos="4153"/>
        <w:tab w:val="right" w:pos="8306"/>
      </w:tabs>
      <w:snapToGrid w:val="0"/>
    </w:pPr>
    <w:rPr>
      <w:sz w:val="18"/>
      <w:szCs w:val="18"/>
    </w:rPr>
  </w:style>
  <w:style w:type="character" w:customStyle="1" w:styleId="a6">
    <w:name w:val="页脚 字符"/>
    <w:basedOn w:val="a0"/>
    <w:link w:val="a5"/>
    <w:uiPriority w:val="99"/>
    <w:rsid w:val="00C3503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0411">
      <w:marLeft w:val="0"/>
      <w:marRight w:val="0"/>
      <w:marTop w:val="10"/>
      <w:marBottom w:val="10"/>
      <w:divBdr>
        <w:top w:val="none" w:sz="0" w:space="0" w:color="auto"/>
        <w:left w:val="none" w:sz="0" w:space="0" w:color="auto"/>
        <w:bottom w:val="none" w:sz="0" w:space="0" w:color="auto"/>
        <w:right w:val="none" w:sz="0" w:space="0" w:color="auto"/>
      </w:divBdr>
    </w:div>
    <w:div w:id="102964242">
      <w:marLeft w:val="0"/>
      <w:marRight w:val="720"/>
      <w:marTop w:val="10"/>
      <w:marBottom w:val="10"/>
      <w:divBdr>
        <w:top w:val="none" w:sz="0" w:space="0" w:color="auto"/>
        <w:left w:val="none" w:sz="0" w:space="0" w:color="auto"/>
        <w:bottom w:val="none" w:sz="0" w:space="0" w:color="auto"/>
        <w:right w:val="none" w:sz="0" w:space="0" w:color="auto"/>
      </w:divBdr>
    </w:div>
    <w:div w:id="235479319">
      <w:marLeft w:val="0"/>
      <w:marRight w:val="0"/>
      <w:marTop w:val="10"/>
      <w:marBottom w:val="10"/>
      <w:divBdr>
        <w:top w:val="none" w:sz="0" w:space="0" w:color="auto"/>
        <w:left w:val="none" w:sz="0" w:space="0" w:color="auto"/>
        <w:bottom w:val="none" w:sz="0" w:space="0" w:color="auto"/>
        <w:right w:val="none" w:sz="0" w:space="0" w:color="auto"/>
      </w:divBdr>
    </w:div>
    <w:div w:id="292908935">
      <w:marLeft w:val="0"/>
      <w:marRight w:val="0"/>
      <w:marTop w:val="10"/>
      <w:marBottom w:val="10"/>
      <w:divBdr>
        <w:top w:val="none" w:sz="0" w:space="0" w:color="auto"/>
        <w:left w:val="none" w:sz="0" w:space="0" w:color="auto"/>
        <w:bottom w:val="none" w:sz="0" w:space="0" w:color="auto"/>
        <w:right w:val="none" w:sz="0" w:space="0" w:color="auto"/>
      </w:divBdr>
    </w:div>
    <w:div w:id="313484520">
      <w:marLeft w:val="0"/>
      <w:marRight w:val="0"/>
      <w:marTop w:val="10"/>
      <w:marBottom w:val="10"/>
      <w:divBdr>
        <w:top w:val="none" w:sz="0" w:space="0" w:color="auto"/>
        <w:left w:val="none" w:sz="0" w:space="0" w:color="auto"/>
        <w:bottom w:val="none" w:sz="0" w:space="0" w:color="auto"/>
        <w:right w:val="none" w:sz="0" w:space="0" w:color="auto"/>
      </w:divBdr>
    </w:div>
    <w:div w:id="381444163">
      <w:marLeft w:val="0"/>
      <w:marRight w:val="0"/>
      <w:marTop w:val="10"/>
      <w:marBottom w:val="10"/>
      <w:divBdr>
        <w:top w:val="none" w:sz="0" w:space="0" w:color="auto"/>
        <w:left w:val="none" w:sz="0" w:space="0" w:color="auto"/>
        <w:bottom w:val="none" w:sz="0" w:space="0" w:color="auto"/>
        <w:right w:val="none" w:sz="0" w:space="0" w:color="auto"/>
      </w:divBdr>
    </w:div>
    <w:div w:id="451562143">
      <w:marLeft w:val="0"/>
      <w:marRight w:val="0"/>
      <w:marTop w:val="10"/>
      <w:marBottom w:val="10"/>
      <w:divBdr>
        <w:top w:val="none" w:sz="0" w:space="0" w:color="auto"/>
        <w:left w:val="none" w:sz="0" w:space="0" w:color="auto"/>
        <w:bottom w:val="none" w:sz="0" w:space="0" w:color="auto"/>
        <w:right w:val="none" w:sz="0" w:space="0" w:color="auto"/>
      </w:divBdr>
    </w:div>
    <w:div w:id="577247801">
      <w:marLeft w:val="0"/>
      <w:marRight w:val="0"/>
      <w:marTop w:val="10"/>
      <w:marBottom w:val="10"/>
      <w:divBdr>
        <w:top w:val="none" w:sz="0" w:space="0" w:color="auto"/>
        <w:left w:val="none" w:sz="0" w:space="0" w:color="auto"/>
        <w:bottom w:val="none" w:sz="0" w:space="0" w:color="auto"/>
        <w:right w:val="none" w:sz="0" w:space="0" w:color="auto"/>
      </w:divBdr>
    </w:div>
    <w:div w:id="779880107">
      <w:marLeft w:val="0"/>
      <w:marRight w:val="0"/>
      <w:marTop w:val="10"/>
      <w:marBottom w:val="10"/>
      <w:divBdr>
        <w:top w:val="none" w:sz="0" w:space="0" w:color="auto"/>
        <w:left w:val="none" w:sz="0" w:space="0" w:color="auto"/>
        <w:bottom w:val="none" w:sz="0" w:space="0" w:color="auto"/>
        <w:right w:val="none" w:sz="0" w:space="0" w:color="auto"/>
      </w:divBdr>
    </w:div>
    <w:div w:id="976955383">
      <w:marLeft w:val="0"/>
      <w:marRight w:val="0"/>
      <w:marTop w:val="10"/>
      <w:marBottom w:val="10"/>
      <w:divBdr>
        <w:top w:val="none" w:sz="0" w:space="0" w:color="auto"/>
        <w:left w:val="none" w:sz="0" w:space="0" w:color="auto"/>
        <w:bottom w:val="none" w:sz="0" w:space="0" w:color="auto"/>
        <w:right w:val="none" w:sz="0" w:space="0" w:color="auto"/>
      </w:divBdr>
    </w:div>
    <w:div w:id="1067846345">
      <w:marLeft w:val="0"/>
      <w:marRight w:val="0"/>
      <w:marTop w:val="10"/>
      <w:marBottom w:val="10"/>
      <w:divBdr>
        <w:top w:val="none" w:sz="0" w:space="0" w:color="auto"/>
        <w:left w:val="none" w:sz="0" w:space="0" w:color="auto"/>
        <w:bottom w:val="none" w:sz="0" w:space="0" w:color="auto"/>
        <w:right w:val="none" w:sz="0" w:space="0" w:color="auto"/>
      </w:divBdr>
    </w:div>
    <w:div w:id="1265118368">
      <w:marLeft w:val="0"/>
      <w:marRight w:val="0"/>
      <w:marTop w:val="10"/>
      <w:marBottom w:val="10"/>
      <w:divBdr>
        <w:top w:val="none" w:sz="0" w:space="0" w:color="auto"/>
        <w:left w:val="none" w:sz="0" w:space="0" w:color="auto"/>
        <w:bottom w:val="none" w:sz="0" w:space="0" w:color="auto"/>
        <w:right w:val="none" w:sz="0" w:space="0" w:color="auto"/>
      </w:divBdr>
    </w:div>
    <w:div w:id="1335956237">
      <w:marLeft w:val="0"/>
      <w:marRight w:val="0"/>
      <w:marTop w:val="10"/>
      <w:marBottom w:val="10"/>
      <w:divBdr>
        <w:top w:val="none" w:sz="0" w:space="0" w:color="auto"/>
        <w:left w:val="none" w:sz="0" w:space="0" w:color="auto"/>
        <w:bottom w:val="none" w:sz="0" w:space="0" w:color="auto"/>
        <w:right w:val="none" w:sz="0" w:space="0" w:color="auto"/>
      </w:divBdr>
    </w:div>
    <w:div w:id="1366980785">
      <w:marLeft w:val="0"/>
      <w:marRight w:val="0"/>
      <w:marTop w:val="10"/>
      <w:marBottom w:val="10"/>
      <w:divBdr>
        <w:top w:val="none" w:sz="0" w:space="0" w:color="auto"/>
        <w:left w:val="none" w:sz="0" w:space="0" w:color="auto"/>
        <w:bottom w:val="none" w:sz="0" w:space="0" w:color="auto"/>
        <w:right w:val="none" w:sz="0" w:space="0" w:color="auto"/>
      </w:divBdr>
    </w:div>
    <w:div w:id="1391689255">
      <w:marLeft w:val="0"/>
      <w:marRight w:val="720"/>
      <w:marTop w:val="10"/>
      <w:marBottom w:val="10"/>
      <w:divBdr>
        <w:top w:val="none" w:sz="0" w:space="0" w:color="auto"/>
        <w:left w:val="none" w:sz="0" w:space="0" w:color="auto"/>
        <w:bottom w:val="none" w:sz="0" w:space="0" w:color="auto"/>
        <w:right w:val="none" w:sz="0" w:space="0" w:color="auto"/>
      </w:divBdr>
    </w:div>
    <w:div w:id="1435369926">
      <w:marLeft w:val="0"/>
      <w:marRight w:val="0"/>
      <w:marTop w:val="10"/>
      <w:marBottom w:val="10"/>
      <w:divBdr>
        <w:top w:val="none" w:sz="0" w:space="0" w:color="auto"/>
        <w:left w:val="none" w:sz="0" w:space="0" w:color="auto"/>
        <w:bottom w:val="none" w:sz="0" w:space="0" w:color="auto"/>
        <w:right w:val="none" w:sz="0" w:space="0" w:color="auto"/>
      </w:divBdr>
    </w:div>
    <w:div w:id="1491604864">
      <w:marLeft w:val="0"/>
      <w:marRight w:val="0"/>
      <w:marTop w:val="10"/>
      <w:marBottom w:val="10"/>
      <w:divBdr>
        <w:top w:val="none" w:sz="0" w:space="0" w:color="auto"/>
        <w:left w:val="none" w:sz="0" w:space="0" w:color="auto"/>
        <w:bottom w:val="none" w:sz="0" w:space="0" w:color="auto"/>
        <w:right w:val="none" w:sz="0" w:space="0" w:color="auto"/>
      </w:divBdr>
    </w:div>
    <w:div w:id="1527527425">
      <w:marLeft w:val="0"/>
      <w:marRight w:val="0"/>
      <w:marTop w:val="10"/>
      <w:marBottom w:val="10"/>
      <w:divBdr>
        <w:top w:val="none" w:sz="0" w:space="0" w:color="auto"/>
        <w:left w:val="none" w:sz="0" w:space="0" w:color="auto"/>
        <w:bottom w:val="none" w:sz="0" w:space="0" w:color="auto"/>
        <w:right w:val="none" w:sz="0" w:space="0" w:color="auto"/>
      </w:divBdr>
    </w:div>
    <w:div w:id="1536849260">
      <w:marLeft w:val="0"/>
      <w:marRight w:val="0"/>
      <w:marTop w:val="10"/>
      <w:marBottom w:val="10"/>
      <w:divBdr>
        <w:top w:val="none" w:sz="0" w:space="0" w:color="auto"/>
        <w:left w:val="none" w:sz="0" w:space="0" w:color="auto"/>
        <w:bottom w:val="none" w:sz="0" w:space="0" w:color="auto"/>
        <w:right w:val="none" w:sz="0" w:space="0" w:color="auto"/>
      </w:divBdr>
    </w:div>
    <w:div w:id="1627538984">
      <w:marLeft w:val="0"/>
      <w:marRight w:val="720"/>
      <w:marTop w:val="10"/>
      <w:marBottom w:val="10"/>
      <w:divBdr>
        <w:top w:val="none" w:sz="0" w:space="0" w:color="auto"/>
        <w:left w:val="none" w:sz="0" w:space="0" w:color="auto"/>
        <w:bottom w:val="none" w:sz="0" w:space="0" w:color="auto"/>
        <w:right w:val="none" w:sz="0" w:space="0" w:color="auto"/>
      </w:divBdr>
    </w:div>
    <w:div w:id="1717973036">
      <w:marLeft w:val="0"/>
      <w:marRight w:val="0"/>
      <w:marTop w:val="10"/>
      <w:marBottom w:val="10"/>
      <w:divBdr>
        <w:top w:val="none" w:sz="0" w:space="0" w:color="auto"/>
        <w:left w:val="none" w:sz="0" w:space="0" w:color="auto"/>
        <w:bottom w:val="none" w:sz="0" w:space="0" w:color="auto"/>
        <w:right w:val="none" w:sz="0" w:space="0" w:color="auto"/>
      </w:divBdr>
    </w:div>
    <w:div w:id="2049333278">
      <w:marLeft w:val="0"/>
      <w:marRight w:val="720"/>
      <w:marTop w:val="10"/>
      <w:marBottom w:val="10"/>
      <w:divBdr>
        <w:top w:val="none" w:sz="0" w:space="0" w:color="auto"/>
        <w:left w:val="none" w:sz="0" w:space="0" w:color="auto"/>
        <w:bottom w:val="none" w:sz="0" w:space="0" w:color="auto"/>
        <w:right w:val="none" w:sz="0" w:space="0" w:color="auto"/>
      </w:divBdr>
    </w:div>
    <w:div w:id="2145661908">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