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785BA4">
      <w:pPr>
        <w:spacing w:line="500" w:lineRule="atLeast"/>
        <w:jc w:val="center"/>
        <w:divId w:val="1693653554"/>
        <w:rPr>
          <w:rFonts w:ascii="黑体" w:eastAsia="黑体" w:hAnsi="黑体"/>
          <w:sz w:val="36"/>
          <w:szCs w:val="36"/>
        </w:rPr>
      </w:pPr>
      <w:bookmarkStart w:id="0" w:name="_GoBack"/>
      <w:bookmarkEnd w:id="0"/>
      <w:r>
        <w:rPr>
          <w:rFonts w:ascii="黑体" w:eastAsia="黑体" w:hAnsi="黑体" w:hint="eastAsia"/>
          <w:sz w:val="36"/>
          <w:szCs w:val="36"/>
        </w:rPr>
        <w:t>上海市第一中级人民法院</w:t>
      </w:r>
    </w:p>
    <w:p w:rsidR="00000000" w:rsidRDefault="00785BA4">
      <w:pPr>
        <w:spacing w:line="500" w:lineRule="atLeast"/>
        <w:jc w:val="center"/>
        <w:divId w:val="2038189234"/>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785BA4">
      <w:pPr>
        <w:spacing w:line="500" w:lineRule="atLeast"/>
        <w:jc w:val="right"/>
        <w:divId w:val="1833176023"/>
        <w:rPr>
          <w:rFonts w:hint="eastAsia"/>
          <w:sz w:val="30"/>
          <w:szCs w:val="30"/>
        </w:rPr>
      </w:pPr>
      <w:r>
        <w:rPr>
          <w:rFonts w:hint="eastAsia"/>
          <w:sz w:val="30"/>
          <w:szCs w:val="30"/>
        </w:rPr>
        <w:t>（</w:t>
      </w:r>
      <w:r>
        <w:rPr>
          <w:rFonts w:hint="eastAsia"/>
          <w:sz w:val="30"/>
          <w:szCs w:val="30"/>
        </w:rPr>
        <w:t>2019</w:t>
      </w:r>
      <w:r>
        <w:rPr>
          <w:rFonts w:hint="eastAsia"/>
          <w:sz w:val="30"/>
          <w:szCs w:val="30"/>
        </w:rPr>
        <w:t>）沪</w:t>
      </w:r>
      <w:r>
        <w:rPr>
          <w:rFonts w:hint="eastAsia"/>
          <w:sz w:val="30"/>
          <w:szCs w:val="30"/>
        </w:rPr>
        <w:t>01</w:t>
      </w:r>
      <w:r>
        <w:rPr>
          <w:rFonts w:hint="eastAsia"/>
          <w:sz w:val="30"/>
          <w:szCs w:val="30"/>
        </w:rPr>
        <w:t>民终</w:t>
      </w:r>
      <w:r>
        <w:rPr>
          <w:rFonts w:hint="eastAsia"/>
          <w:sz w:val="30"/>
          <w:szCs w:val="30"/>
        </w:rPr>
        <w:t>1160</w:t>
      </w:r>
      <w:r>
        <w:rPr>
          <w:rFonts w:hint="eastAsia"/>
          <w:sz w:val="30"/>
          <w:szCs w:val="30"/>
        </w:rPr>
        <w:t>号</w:t>
      </w:r>
    </w:p>
    <w:p w:rsidR="00000000" w:rsidRDefault="00785BA4">
      <w:pPr>
        <w:spacing w:line="500" w:lineRule="atLeast"/>
        <w:ind w:firstLine="600"/>
        <w:divId w:val="1086003480"/>
        <w:rPr>
          <w:rFonts w:hint="eastAsia"/>
          <w:sz w:val="30"/>
          <w:szCs w:val="30"/>
        </w:rPr>
      </w:pPr>
      <w:r>
        <w:rPr>
          <w:rFonts w:hint="eastAsia"/>
          <w:sz w:val="30"/>
          <w:szCs w:val="30"/>
        </w:rPr>
        <w:t>上诉人（原审原告）：上海黛永企业管理有限公司，住所地上海市金山区廊下镇景乐路</w:t>
      </w:r>
      <w:r>
        <w:rPr>
          <w:rFonts w:hint="eastAsia"/>
          <w:sz w:val="30"/>
          <w:szCs w:val="30"/>
        </w:rPr>
        <w:t>228</w:t>
      </w:r>
      <w:r>
        <w:rPr>
          <w:rFonts w:hint="eastAsia"/>
          <w:sz w:val="30"/>
          <w:szCs w:val="30"/>
        </w:rPr>
        <w:t>号</w:t>
      </w:r>
      <w:r>
        <w:rPr>
          <w:rFonts w:hint="eastAsia"/>
          <w:sz w:val="30"/>
          <w:szCs w:val="30"/>
        </w:rPr>
        <w:t>7</w:t>
      </w:r>
      <w:r>
        <w:rPr>
          <w:rFonts w:hint="eastAsia"/>
          <w:sz w:val="30"/>
          <w:szCs w:val="30"/>
        </w:rPr>
        <w:t>幢</w:t>
      </w:r>
      <w:r>
        <w:rPr>
          <w:rFonts w:hint="eastAsia"/>
          <w:sz w:val="30"/>
          <w:szCs w:val="30"/>
        </w:rPr>
        <w:t>K131</w:t>
      </w:r>
      <w:r>
        <w:rPr>
          <w:rFonts w:hint="eastAsia"/>
          <w:sz w:val="30"/>
          <w:szCs w:val="30"/>
        </w:rPr>
        <w:t>室。</w:t>
      </w:r>
    </w:p>
    <w:p w:rsidR="00000000" w:rsidRDefault="00785BA4">
      <w:pPr>
        <w:spacing w:line="500" w:lineRule="atLeast"/>
        <w:ind w:firstLine="600"/>
        <w:divId w:val="740521364"/>
        <w:rPr>
          <w:rFonts w:hint="eastAsia"/>
          <w:sz w:val="30"/>
          <w:szCs w:val="30"/>
        </w:rPr>
      </w:pPr>
      <w:r>
        <w:rPr>
          <w:rFonts w:hint="eastAsia"/>
          <w:sz w:val="30"/>
          <w:szCs w:val="30"/>
        </w:rPr>
        <w:t>法定代表人：周婷。</w:t>
      </w:r>
    </w:p>
    <w:p w:rsidR="00000000" w:rsidRDefault="00785BA4">
      <w:pPr>
        <w:spacing w:line="500" w:lineRule="atLeast"/>
        <w:ind w:firstLine="600"/>
        <w:divId w:val="1223755720"/>
        <w:rPr>
          <w:rFonts w:hint="eastAsia"/>
          <w:sz w:val="30"/>
          <w:szCs w:val="30"/>
        </w:rPr>
      </w:pPr>
      <w:r>
        <w:rPr>
          <w:rFonts w:hint="eastAsia"/>
          <w:sz w:val="30"/>
          <w:szCs w:val="30"/>
        </w:rPr>
        <w:t>诉讼代表人：王凌裕，女，</w:t>
      </w:r>
      <w:r>
        <w:rPr>
          <w:rFonts w:hint="eastAsia"/>
          <w:sz w:val="30"/>
          <w:szCs w:val="30"/>
        </w:rPr>
        <w:t>1990</w:t>
      </w:r>
      <w:r>
        <w:rPr>
          <w:rFonts w:hint="eastAsia"/>
          <w:sz w:val="30"/>
          <w:szCs w:val="30"/>
        </w:rPr>
        <w:t>年</w:t>
      </w:r>
      <w:r>
        <w:rPr>
          <w:rFonts w:hint="eastAsia"/>
          <w:sz w:val="30"/>
          <w:szCs w:val="30"/>
        </w:rPr>
        <w:t>9</w:t>
      </w:r>
      <w:r>
        <w:rPr>
          <w:rFonts w:hint="eastAsia"/>
          <w:sz w:val="30"/>
          <w:szCs w:val="30"/>
        </w:rPr>
        <w:t>月</w:t>
      </w:r>
      <w:r>
        <w:rPr>
          <w:rFonts w:hint="eastAsia"/>
          <w:sz w:val="30"/>
          <w:szCs w:val="30"/>
        </w:rPr>
        <w:t>25</w:t>
      </w:r>
      <w:r>
        <w:rPr>
          <w:rFonts w:hint="eastAsia"/>
          <w:sz w:val="30"/>
          <w:szCs w:val="30"/>
        </w:rPr>
        <w:t>日出生，汉族，住上海市松江区。</w:t>
      </w:r>
    </w:p>
    <w:p w:rsidR="00000000" w:rsidRDefault="00785BA4">
      <w:pPr>
        <w:spacing w:line="500" w:lineRule="atLeast"/>
        <w:ind w:firstLine="600"/>
        <w:divId w:val="176309081"/>
        <w:rPr>
          <w:rFonts w:hint="eastAsia"/>
          <w:sz w:val="30"/>
          <w:szCs w:val="30"/>
        </w:rPr>
      </w:pPr>
      <w:r>
        <w:rPr>
          <w:rFonts w:hint="eastAsia"/>
          <w:sz w:val="30"/>
          <w:szCs w:val="30"/>
        </w:rPr>
        <w:t>委托诉讼代理人：刘国强，上海市尚法律师事务所律师。</w:t>
      </w:r>
    </w:p>
    <w:p w:rsidR="00000000" w:rsidRDefault="00785BA4">
      <w:pPr>
        <w:spacing w:line="500" w:lineRule="atLeast"/>
        <w:ind w:firstLine="600"/>
        <w:divId w:val="1447038405"/>
        <w:rPr>
          <w:rFonts w:hint="eastAsia"/>
          <w:sz w:val="30"/>
          <w:szCs w:val="30"/>
        </w:rPr>
      </w:pPr>
      <w:r>
        <w:rPr>
          <w:rFonts w:hint="eastAsia"/>
          <w:sz w:val="30"/>
          <w:szCs w:val="30"/>
        </w:rPr>
        <w:t>委托诉讼代理人：皮岗升，上海市尚法律师事务所律师。</w:t>
      </w:r>
    </w:p>
    <w:p w:rsidR="00000000" w:rsidRDefault="00785BA4">
      <w:pPr>
        <w:spacing w:line="500" w:lineRule="atLeast"/>
        <w:ind w:firstLine="600"/>
        <w:divId w:val="1425416055"/>
        <w:rPr>
          <w:rFonts w:hint="eastAsia"/>
          <w:sz w:val="30"/>
          <w:szCs w:val="30"/>
        </w:rPr>
      </w:pPr>
      <w:r>
        <w:rPr>
          <w:rFonts w:hint="eastAsia"/>
          <w:sz w:val="30"/>
          <w:szCs w:val="30"/>
        </w:rPr>
        <w:t>被上诉人（原审被告）：周婷，女，</w:t>
      </w:r>
      <w:r>
        <w:rPr>
          <w:rFonts w:hint="eastAsia"/>
          <w:sz w:val="30"/>
          <w:szCs w:val="30"/>
        </w:rPr>
        <w:t>1993</w:t>
      </w:r>
      <w:r>
        <w:rPr>
          <w:rFonts w:hint="eastAsia"/>
          <w:sz w:val="30"/>
          <w:szCs w:val="30"/>
        </w:rPr>
        <w:t>年</w:t>
      </w:r>
      <w:r>
        <w:rPr>
          <w:rFonts w:hint="eastAsia"/>
          <w:sz w:val="30"/>
          <w:szCs w:val="30"/>
        </w:rPr>
        <w:t>11</w:t>
      </w:r>
      <w:r>
        <w:rPr>
          <w:rFonts w:hint="eastAsia"/>
          <w:sz w:val="30"/>
          <w:szCs w:val="30"/>
        </w:rPr>
        <w:t>月</w:t>
      </w:r>
      <w:r>
        <w:rPr>
          <w:rFonts w:hint="eastAsia"/>
          <w:sz w:val="30"/>
          <w:szCs w:val="30"/>
        </w:rPr>
        <w:t>21</w:t>
      </w:r>
      <w:r>
        <w:rPr>
          <w:rFonts w:hint="eastAsia"/>
          <w:sz w:val="30"/>
          <w:szCs w:val="30"/>
        </w:rPr>
        <w:t>日出生，汉族，住广东省广州市南沙区。</w:t>
      </w:r>
    </w:p>
    <w:p w:rsidR="00000000" w:rsidRDefault="00785BA4">
      <w:pPr>
        <w:spacing w:line="500" w:lineRule="atLeast"/>
        <w:ind w:firstLine="600"/>
        <w:divId w:val="890919543"/>
        <w:rPr>
          <w:rFonts w:hint="eastAsia"/>
          <w:sz w:val="30"/>
          <w:szCs w:val="30"/>
        </w:rPr>
      </w:pPr>
      <w:r>
        <w:rPr>
          <w:rFonts w:hint="eastAsia"/>
          <w:sz w:val="30"/>
          <w:szCs w:val="30"/>
        </w:rPr>
        <w:t>被上诉人（原审被告）：上海酷指商务咨询有限公司，住所地上海市奉贤区南虹路</w:t>
      </w:r>
      <w:r>
        <w:rPr>
          <w:rFonts w:hint="eastAsia"/>
          <w:sz w:val="30"/>
          <w:szCs w:val="30"/>
        </w:rPr>
        <w:t>8</w:t>
      </w:r>
      <w:r>
        <w:rPr>
          <w:rFonts w:hint="eastAsia"/>
          <w:sz w:val="30"/>
          <w:szCs w:val="30"/>
        </w:rPr>
        <w:t>号</w:t>
      </w:r>
      <w:r>
        <w:rPr>
          <w:rFonts w:hint="eastAsia"/>
          <w:sz w:val="30"/>
          <w:szCs w:val="30"/>
        </w:rPr>
        <w:t>1095</w:t>
      </w:r>
      <w:r>
        <w:rPr>
          <w:rFonts w:hint="eastAsia"/>
          <w:sz w:val="30"/>
          <w:szCs w:val="30"/>
        </w:rPr>
        <w:t>室。</w:t>
      </w:r>
    </w:p>
    <w:p w:rsidR="00000000" w:rsidRDefault="00785BA4">
      <w:pPr>
        <w:spacing w:line="500" w:lineRule="atLeast"/>
        <w:ind w:firstLine="600"/>
        <w:divId w:val="929504386"/>
        <w:rPr>
          <w:rFonts w:hint="eastAsia"/>
          <w:sz w:val="30"/>
          <w:szCs w:val="30"/>
        </w:rPr>
      </w:pPr>
      <w:r>
        <w:rPr>
          <w:rFonts w:hint="eastAsia"/>
          <w:sz w:val="30"/>
          <w:szCs w:val="30"/>
        </w:rPr>
        <w:t>法定代表人：周婷，总经理。</w:t>
      </w:r>
    </w:p>
    <w:p w:rsidR="00000000" w:rsidRDefault="00785BA4">
      <w:pPr>
        <w:spacing w:line="500" w:lineRule="atLeast"/>
        <w:ind w:firstLine="600"/>
        <w:divId w:val="625821139"/>
        <w:rPr>
          <w:rFonts w:hint="eastAsia"/>
          <w:sz w:val="30"/>
          <w:szCs w:val="30"/>
        </w:rPr>
      </w:pPr>
      <w:r>
        <w:rPr>
          <w:rFonts w:hint="eastAsia"/>
          <w:sz w:val="30"/>
          <w:szCs w:val="30"/>
        </w:rPr>
        <w:t>上列两被上诉人的共同委托诉讼代理人：范晓峰，高朋（上海）律师事务所律师。</w:t>
      </w:r>
    </w:p>
    <w:p w:rsidR="00000000" w:rsidRDefault="00785BA4">
      <w:pPr>
        <w:spacing w:line="500" w:lineRule="atLeast"/>
        <w:ind w:firstLine="600"/>
        <w:divId w:val="1105614369"/>
        <w:rPr>
          <w:rFonts w:hint="eastAsia"/>
          <w:sz w:val="30"/>
          <w:szCs w:val="30"/>
        </w:rPr>
      </w:pPr>
      <w:r>
        <w:rPr>
          <w:rFonts w:hint="eastAsia"/>
          <w:sz w:val="30"/>
          <w:szCs w:val="30"/>
        </w:rPr>
        <w:t>上诉人上海黛永企业管理有限公司（以下简称黛永公司）因与被上诉人周婷、上海酷指商务咨询有限公司（以下简称酷指公司）损害公司利益责任纠纷一案，不服上海市金山区人民法院（</w:t>
      </w:r>
      <w:r>
        <w:rPr>
          <w:rFonts w:hint="eastAsia"/>
          <w:sz w:val="30"/>
          <w:szCs w:val="30"/>
        </w:rPr>
        <w:t>2018</w:t>
      </w:r>
      <w:r>
        <w:rPr>
          <w:rFonts w:hint="eastAsia"/>
          <w:sz w:val="30"/>
          <w:szCs w:val="30"/>
        </w:rPr>
        <w:t>）沪</w:t>
      </w:r>
      <w:r>
        <w:rPr>
          <w:rFonts w:hint="eastAsia"/>
          <w:sz w:val="30"/>
          <w:szCs w:val="30"/>
        </w:rPr>
        <w:t>0116</w:t>
      </w:r>
      <w:r>
        <w:rPr>
          <w:rFonts w:hint="eastAsia"/>
          <w:sz w:val="30"/>
          <w:szCs w:val="30"/>
        </w:rPr>
        <w:t>民初</w:t>
      </w:r>
      <w:r>
        <w:rPr>
          <w:rFonts w:hint="eastAsia"/>
          <w:sz w:val="30"/>
          <w:szCs w:val="30"/>
        </w:rPr>
        <w:t>6706</w:t>
      </w:r>
      <w:r>
        <w:rPr>
          <w:rFonts w:hint="eastAsia"/>
          <w:sz w:val="30"/>
          <w:szCs w:val="30"/>
        </w:rPr>
        <w:t>号民事判决，向本院提起上诉。本院于</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10</w:t>
      </w:r>
      <w:r>
        <w:rPr>
          <w:rFonts w:hint="eastAsia"/>
          <w:sz w:val="30"/>
          <w:szCs w:val="30"/>
        </w:rPr>
        <w:t>日立案后，依法组成合议庭，并于</w:t>
      </w:r>
      <w:r>
        <w:rPr>
          <w:rFonts w:hint="eastAsia"/>
          <w:sz w:val="30"/>
          <w:szCs w:val="30"/>
        </w:rPr>
        <w:t>2019</w:t>
      </w:r>
      <w:r>
        <w:rPr>
          <w:rFonts w:hint="eastAsia"/>
          <w:sz w:val="30"/>
          <w:szCs w:val="30"/>
        </w:rPr>
        <w:t>年</w:t>
      </w:r>
      <w:r>
        <w:rPr>
          <w:rFonts w:hint="eastAsia"/>
          <w:sz w:val="30"/>
          <w:szCs w:val="30"/>
        </w:rPr>
        <w:t>3</w:t>
      </w:r>
      <w:r>
        <w:rPr>
          <w:rFonts w:hint="eastAsia"/>
          <w:sz w:val="30"/>
          <w:szCs w:val="30"/>
        </w:rPr>
        <w:t>月</w:t>
      </w:r>
      <w:r>
        <w:rPr>
          <w:rFonts w:hint="eastAsia"/>
          <w:sz w:val="30"/>
          <w:szCs w:val="30"/>
        </w:rPr>
        <w:t>5</w:t>
      </w:r>
      <w:r>
        <w:rPr>
          <w:rFonts w:hint="eastAsia"/>
          <w:sz w:val="30"/>
          <w:szCs w:val="30"/>
        </w:rPr>
        <w:t>日公开开庭进行了审理。上诉</w:t>
      </w:r>
      <w:r>
        <w:rPr>
          <w:rFonts w:hint="eastAsia"/>
          <w:sz w:val="30"/>
          <w:szCs w:val="30"/>
        </w:rPr>
        <w:t>人黛永公司的诉讼代表人王凌裕及其委托诉讼代理人刘国强、被上诉人周婷及酷指公司的共同委托诉讼代理人范晓峰到庭参加诉讼。本案现已审理终结。</w:t>
      </w:r>
    </w:p>
    <w:p w:rsidR="00000000" w:rsidRDefault="00785BA4">
      <w:pPr>
        <w:spacing w:line="500" w:lineRule="atLeast"/>
        <w:ind w:firstLine="600"/>
        <w:divId w:val="1193375152"/>
        <w:rPr>
          <w:rFonts w:hint="eastAsia"/>
          <w:sz w:val="30"/>
          <w:szCs w:val="30"/>
        </w:rPr>
      </w:pPr>
      <w:r>
        <w:rPr>
          <w:rFonts w:hint="eastAsia"/>
          <w:sz w:val="30"/>
          <w:szCs w:val="30"/>
        </w:rPr>
        <w:lastRenderedPageBreak/>
        <w:t>黛永公司上诉请求：变更一审判决第一项、撤销一审判决第三项，依法改判支持其一审全部诉讼请求或发回重审。事实和理由：一、一审法院在双方均确认黛永公司收支证据的情况下，却以该部分同案涉争议没有关联为由未予认定，且未责令周婷提供相应的书证或法院主动调查查明黛永公司的收支情况，属事实认定错误。二、黛永公司在一审中所提的三项诉讼请求的请求权基础属于同一或同一类法律关系。而一审法院在未分</w:t>
      </w:r>
      <w:r>
        <w:rPr>
          <w:rFonts w:hint="eastAsia"/>
          <w:sz w:val="30"/>
          <w:szCs w:val="30"/>
        </w:rPr>
        <w:t>案且仅审理第</w:t>
      </w:r>
      <w:r>
        <w:rPr>
          <w:rFonts w:hint="eastAsia"/>
          <w:sz w:val="30"/>
          <w:szCs w:val="30"/>
        </w:rPr>
        <w:t>1</w:t>
      </w:r>
      <w:r>
        <w:rPr>
          <w:rFonts w:hint="eastAsia"/>
          <w:sz w:val="30"/>
          <w:szCs w:val="30"/>
        </w:rPr>
        <w:t>项和第</w:t>
      </w:r>
      <w:r>
        <w:rPr>
          <w:rFonts w:hint="eastAsia"/>
          <w:sz w:val="30"/>
          <w:szCs w:val="30"/>
        </w:rPr>
        <w:t>3</w:t>
      </w:r>
      <w:r>
        <w:rPr>
          <w:rFonts w:hint="eastAsia"/>
          <w:sz w:val="30"/>
          <w:szCs w:val="30"/>
        </w:rPr>
        <w:t>项诉讼请求的情况下即判决驳回黛永公司在一审中的其他全部诉讼请求，属于遗漏诉讼请求。三、本案系损害公司利益责任纠纷，一审法院未适用我国《公司法》第一百四十七条、第一百四十八条的规定，而援引《物权法》，属法律适用错误。四、酷指公司是周婷所设立的一人公司，其经营范围与黛永公司高度重合，酷指公司与周婷共同侵权，故应承担连带责任。</w:t>
      </w:r>
    </w:p>
    <w:p w:rsidR="00000000" w:rsidRDefault="00785BA4">
      <w:pPr>
        <w:spacing w:line="500" w:lineRule="atLeast"/>
        <w:ind w:firstLine="600"/>
        <w:divId w:val="174224082"/>
        <w:rPr>
          <w:rFonts w:hint="eastAsia"/>
          <w:sz w:val="30"/>
          <w:szCs w:val="30"/>
        </w:rPr>
      </w:pPr>
      <w:r>
        <w:rPr>
          <w:rFonts w:hint="eastAsia"/>
          <w:sz w:val="30"/>
          <w:szCs w:val="30"/>
        </w:rPr>
        <w:t>周婷、酷指公司共同辩称，一、黛永公司最初设立时，使用的是周婷名下编号为</w:t>
      </w:r>
      <w:r>
        <w:rPr>
          <w:rFonts w:hint="eastAsia"/>
          <w:sz w:val="30"/>
          <w:szCs w:val="30"/>
        </w:rPr>
        <w:t>XXXXXXXXXXXX9029</w:t>
      </w:r>
      <w:r>
        <w:rPr>
          <w:rFonts w:hint="eastAsia"/>
          <w:sz w:val="30"/>
          <w:szCs w:val="30"/>
        </w:rPr>
        <w:t>的银行卡（以下简称尾号</w:t>
      </w:r>
      <w:r>
        <w:rPr>
          <w:rFonts w:hint="eastAsia"/>
          <w:sz w:val="30"/>
          <w:szCs w:val="30"/>
        </w:rPr>
        <w:t>9029</w:t>
      </w:r>
      <w:r>
        <w:rPr>
          <w:rFonts w:hint="eastAsia"/>
          <w:sz w:val="30"/>
          <w:szCs w:val="30"/>
        </w:rPr>
        <w:t>银行卡），该卡中的任何款项均未流入</w:t>
      </w:r>
      <w:r>
        <w:rPr>
          <w:rFonts w:hint="eastAsia"/>
          <w:sz w:val="30"/>
          <w:szCs w:val="30"/>
        </w:rPr>
        <w:t>至周婷的其他账户，黛永公司也未提供其他证据线索证明周婷侵占黛永公司的资产。黛永公司要求调查周婷的个人账户，涉及侵犯周婷的个人隐私，一审法院未予支持，并无不当。二、黛永公司在一审中提出的三个诉讼请求，是基于两种法律关系，一审法院在庭审中已对黛永公司进行释明，且对此处理并无不当。三、黛永公司错误引用《公司法》的相关规定，其反向引用公司人格否认条款没有法律依据。一审法院认定事实清楚，适用法律正确，请求驳回上诉，维持原判。</w:t>
      </w:r>
    </w:p>
    <w:p w:rsidR="00000000" w:rsidRDefault="00785BA4">
      <w:pPr>
        <w:spacing w:line="500" w:lineRule="atLeast"/>
        <w:ind w:firstLine="600"/>
        <w:divId w:val="63577312"/>
        <w:rPr>
          <w:rFonts w:hint="eastAsia"/>
          <w:sz w:val="30"/>
          <w:szCs w:val="30"/>
        </w:rPr>
      </w:pPr>
      <w:r>
        <w:rPr>
          <w:rFonts w:hint="eastAsia"/>
          <w:sz w:val="30"/>
          <w:szCs w:val="30"/>
        </w:rPr>
        <w:t>黛永公司向一审法院起诉请求：</w:t>
      </w:r>
      <w:r>
        <w:rPr>
          <w:rFonts w:hint="eastAsia"/>
          <w:sz w:val="30"/>
          <w:szCs w:val="30"/>
        </w:rPr>
        <w:t>1.</w:t>
      </w:r>
      <w:r>
        <w:rPr>
          <w:rFonts w:hint="eastAsia"/>
          <w:sz w:val="30"/>
          <w:szCs w:val="30"/>
        </w:rPr>
        <w:t>周婷、酷指公司连带归还挪用的资金</w:t>
      </w:r>
      <w:r>
        <w:rPr>
          <w:rFonts w:hint="eastAsia"/>
          <w:sz w:val="30"/>
          <w:szCs w:val="30"/>
        </w:rPr>
        <w:t>639,841.92</w:t>
      </w:r>
      <w:r>
        <w:rPr>
          <w:rFonts w:hint="eastAsia"/>
          <w:sz w:val="30"/>
          <w:szCs w:val="30"/>
        </w:rPr>
        <w:t>元以及资</w:t>
      </w:r>
      <w:r>
        <w:rPr>
          <w:rFonts w:hint="eastAsia"/>
          <w:sz w:val="30"/>
          <w:szCs w:val="30"/>
        </w:rPr>
        <w:t>金占用利息（以</w:t>
      </w:r>
      <w:r>
        <w:rPr>
          <w:rFonts w:hint="eastAsia"/>
          <w:sz w:val="30"/>
          <w:szCs w:val="30"/>
        </w:rPr>
        <w:lastRenderedPageBreak/>
        <w:t>639,841.92</w:t>
      </w:r>
      <w:r>
        <w:rPr>
          <w:rFonts w:hint="eastAsia"/>
          <w:sz w:val="30"/>
          <w:szCs w:val="30"/>
        </w:rPr>
        <w:t>元为基数，自</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13</w:t>
      </w:r>
      <w:r>
        <w:rPr>
          <w:rFonts w:hint="eastAsia"/>
          <w:sz w:val="30"/>
          <w:szCs w:val="30"/>
        </w:rPr>
        <w:t>日起至付清之日止，按银行同期贷款利率的</w:t>
      </w:r>
      <w:r>
        <w:rPr>
          <w:rFonts w:hint="eastAsia"/>
          <w:sz w:val="30"/>
          <w:szCs w:val="30"/>
        </w:rPr>
        <w:t>1.3</w:t>
      </w:r>
      <w:r>
        <w:rPr>
          <w:rFonts w:hint="eastAsia"/>
          <w:sz w:val="30"/>
          <w:szCs w:val="30"/>
        </w:rPr>
        <w:t>倍计算）；</w:t>
      </w:r>
      <w:r>
        <w:rPr>
          <w:rFonts w:hint="eastAsia"/>
          <w:sz w:val="30"/>
          <w:szCs w:val="30"/>
        </w:rPr>
        <w:t>2.</w:t>
      </w:r>
      <w:r>
        <w:rPr>
          <w:rFonts w:hint="eastAsia"/>
          <w:sz w:val="30"/>
          <w:szCs w:val="30"/>
        </w:rPr>
        <w:t>周婷、酷指公司连带归还同业获利</w:t>
      </w:r>
      <w:r>
        <w:rPr>
          <w:rFonts w:hint="eastAsia"/>
          <w:sz w:val="30"/>
          <w:szCs w:val="30"/>
        </w:rPr>
        <w:t>300,000</w:t>
      </w:r>
      <w:r>
        <w:rPr>
          <w:rFonts w:hint="eastAsia"/>
          <w:sz w:val="30"/>
          <w:szCs w:val="30"/>
        </w:rPr>
        <w:t>元（具体以法院核实为准，如核实不足</w:t>
      </w:r>
      <w:r>
        <w:rPr>
          <w:rFonts w:hint="eastAsia"/>
          <w:sz w:val="30"/>
          <w:szCs w:val="30"/>
        </w:rPr>
        <w:t>300,000</w:t>
      </w:r>
      <w:r>
        <w:rPr>
          <w:rFonts w:hint="eastAsia"/>
          <w:sz w:val="30"/>
          <w:szCs w:val="30"/>
        </w:rPr>
        <w:t>元，则由周婷、酷指公司补足至</w:t>
      </w:r>
      <w:r>
        <w:rPr>
          <w:rFonts w:hint="eastAsia"/>
          <w:sz w:val="30"/>
          <w:szCs w:val="30"/>
        </w:rPr>
        <w:t>300,000</w:t>
      </w:r>
      <w:r>
        <w:rPr>
          <w:rFonts w:hint="eastAsia"/>
          <w:sz w:val="30"/>
          <w:szCs w:val="30"/>
        </w:rPr>
        <w:t>元；</w:t>
      </w:r>
      <w:r>
        <w:rPr>
          <w:rFonts w:hint="eastAsia"/>
          <w:sz w:val="30"/>
          <w:szCs w:val="30"/>
        </w:rPr>
        <w:t>3.</w:t>
      </w:r>
      <w:r>
        <w:rPr>
          <w:rFonts w:hint="eastAsia"/>
          <w:sz w:val="30"/>
          <w:szCs w:val="30"/>
        </w:rPr>
        <w:t>要求周婷、酷指公司归还挪用的资产，无法归还，则按购买价</w:t>
      </w:r>
      <w:r>
        <w:rPr>
          <w:rFonts w:hint="eastAsia"/>
          <w:sz w:val="30"/>
          <w:szCs w:val="30"/>
        </w:rPr>
        <w:t>29,008.70</w:t>
      </w:r>
      <w:r>
        <w:rPr>
          <w:rFonts w:hint="eastAsia"/>
          <w:sz w:val="30"/>
          <w:szCs w:val="30"/>
        </w:rPr>
        <w:t>元赔偿。</w:t>
      </w:r>
    </w:p>
    <w:p w:rsidR="00000000" w:rsidRDefault="00785BA4">
      <w:pPr>
        <w:spacing w:line="500" w:lineRule="atLeast"/>
        <w:ind w:firstLine="600"/>
        <w:divId w:val="1442072702"/>
        <w:rPr>
          <w:rFonts w:hint="eastAsia"/>
          <w:sz w:val="30"/>
          <w:szCs w:val="30"/>
        </w:rPr>
      </w:pPr>
      <w:r>
        <w:rPr>
          <w:rFonts w:hint="eastAsia"/>
          <w:sz w:val="30"/>
          <w:szCs w:val="30"/>
        </w:rPr>
        <w:t>一审法院认定事实如下：</w:t>
      </w:r>
    </w:p>
    <w:p w:rsidR="00000000" w:rsidRDefault="00785BA4">
      <w:pPr>
        <w:spacing w:line="500" w:lineRule="atLeast"/>
        <w:ind w:firstLine="600"/>
        <w:divId w:val="361975411"/>
        <w:rPr>
          <w:rFonts w:hint="eastAsia"/>
          <w:sz w:val="30"/>
          <w:szCs w:val="30"/>
        </w:rPr>
      </w:pP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31</w:t>
      </w:r>
      <w:r>
        <w:rPr>
          <w:rFonts w:hint="eastAsia"/>
          <w:sz w:val="30"/>
          <w:szCs w:val="30"/>
        </w:rPr>
        <w:t>日，王凌裕作为甲方与周婷作为乙方，签订了</w:t>
      </w:r>
      <w:r>
        <w:rPr>
          <w:rFonts w:hint="eastAsia"/>
          <w:sz w:val="30"/>
          <w:szCs w:val="30"/>
        </w:rPr>
        <w:t>1</w:t>
      </w:r>
      <w:r>
        <w:rPr>
          <w:rFonts w:hint="eastAsia"/>
          <w:sz w:val="30"/>
          <w:szCs w:val="30"/>
        </w:rPr>
        <w:t>份协议书，就双方拟投资成立公司需对外签订室内设计装修合同，有关设计费、装修费用等</w:t>
      </w:r>
      <w:r>
        <w:rPr>
          <w:rFonts w:hint="eastAsia"/>
          <w:sz w:val="30"/>
          <w:szCs w:val="30"/>
        </w:rPr>
        <w:t>事项作了约定，其中第三条约定，甲乙双方共同选定银行，办理银行卡，以乙方名义办理借记卡（即尾号</w:t>
      </w:r>
      <w:r>
        <w:rPr>
          <w:rFonts w:hint="eastAsia"/>
          <w:sz w:val="30"/>
          <w:szCs w:val="30"/>
        </w:rPr>
        <w:t>9029</w:t>
      </w:r>
      <w:r>
        <w:rPr>
          <w:rFonts w:hint="eastAsia"/>
          <w:sz w:val="30"/>
          <w:szCs w:val="30"/>
        </w:rPr>
        <w:t>银行卡）并负责保管，甲方设定借记卡密码，银行留存甲乙双方联系方式，办理支付业务双方到场。至起诉时止，该卡余额为</w:t>
      </w:r>
      <w:r>
        <w:rPr>
          <w:rFonts w:hint="eastAsia"/>
          <w:sz w:val="30"/>
          <w:szCs w:val="30"/>
        </w:rPr>
        <w:t>1,773.80</w:t>
      </w:r>
      <w:r>
        <w:rPr>
          <w:rFonts w:hint="eastAsia"/>
          <w:sz w:val="30"/>
          <w:szCs w:val="30"/>
        </w:rPr>
        <w:t>元。</w:t>
      </w:r>
    </w:p>
    <w:p w:rsidR="00000000" w:rsidRDefault="00785BA4">
      <w:pPr>
        <w:spacing w:line="500" w:lineRule="atLeast"/>
        <w:ind w:firstLine="600"/>
        <w:divId w:val="931544110"/>
        <w:rPr>
          <w:rFonts w:hint="eastAsia"/>
          <w:sz w:val="30"/>
          <w:szCs w:val="30"/>
        </w:rPr>
      </w:pP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14</w:t>
      </w:r>
      <w:r>
        <w:rPr>
          <w:rFonts w:hint="eastAsia"/>
          <w:sz w:val="30"/>
          <w:szCs w:val="30"/>
        </w:rPr>
        <w:t>日，黛永公司召开首次股东会会议，并作出决议，选举周婷为公司第一届执行董事，王凌裕为公司第一届监事。</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29</w:t>
      </w:r>
      <w:r>
        <w:rPr>
          <w:rFonts w:hint="eastAsia"/>
          <w:sz w:val="30"/>
          <w:szCs w:val="30"/>
        </w:rPr>
        <w:t>日，黛永公司经注册成立。</w:t>
      </w:r>
    </w:p>
    <w:p w:rsidR="00000000" w:rsidRDefault="00785BA4">
      <w:pPr>
        <w:spacing w:line="500" w:lineRule="atLeast"/>
        <w:ind w:firstLine="600"/>
        <w:divId w:val="1063600946"/>
        <w:rPr>
          <w:rFonts w:hint="eastAsia"/>
          <w:sz w:val="30"/>
          <w:szCs w:val="30"/>
        </w:rPr>
      </w:pPr>
      <w:r>
        <w:rPr>
          <w:rFonts w:hint="eastAsia"/>
          <w:sz w:val="30"/>
          <w:szCs w:val="30"/>
        </w:rPr>
        <w:t>在公司设立期间，黛永公司购置了小气泡（</w:t>
      </w:r>
      <w:r>
        <w:rPr>
          <w:rFonts w:hint="eastAsia"/>
          <w:sz w:val="30"/>
          <w:szCs w:val="30"/>
        </w:rPr>
        <w:t>4,500</w:t>
      </w:r>
      <w:r>
        <w:rPr>
          <w:rFonts w:hint="eastAsia"/>
          <w:sz w:val="30"/>
          <w:szCs w:val="30"/>
        </w:rPr>
        <w:t>元）、综合仪器（</w:t>
      </w:r>
      <w:r>
        <w:rPr>
          <w:rFonts w:hint="eastAsia"/>
          <w:sz w:val="30"/>
          <w:szCs w:val="30"/>
        </w:rPr>
        <w:t>7,500</w:t>
      </w:r>
      <w:r>
        <w:rPr>
          <w:rFonts w:hint="eastAsia"/>
          <w:sz w:val="30"/>
          <w:szCs w:val="30"/>
        </w:rPr>
        <w:t>元）、光谱仪（</w:t>
      </w:r>
      <w:r>
        <w:rPr>
          <w:rFonts w:hint="eastAsia"/>
          <w:sz w:val="30"/>
          <w:szCs w:val="30"/>
        </w:rPr>
        <w:t>3,000</w:t>
      </w:r>
      <w:r>
        <w:rPr>
          <w:rFonts w:hint="eastAsia"/>
          <w:sz w:val="30"/>
          <w:szCs w:val="30"/>
        </w:rPr>
        <w:t>元）、</w:t>
      </w:r>
      <w:r>
        <w:rPr>
          <w:rFonts w:hint="eastAsia"/>
          <w:sz w:val="30"/>
          <w:szCs w:val="30"/>
        </w:rPr>
        <w:t>magiclin</w:t>
      </w:r>
      <w:r>
        <w:rPr>
          <w:rFonts w:hint="eastAsia"/>
          <w:sz w:val="30"/>
          <w:szCs w:val="30"/>
        </w:rPr>
        <w:t>e</w:t>
      </w:r>
      <w:r>
        <w:rPr>
          <w:rFonts w:hint="eastAsia"/>
          <w:sz w:val="30"/>
          <w:szCs w:val="30"/>
        </w:rPr>
        <w:t>（</w:t>
      </w:r>
      <w:r>
        <w:rPr>
          <w:rFonts w:hint="eastAsia"/>
          <w:sz w:val="30"/>
          <w:szCs w:val="30"/>
        </w:rPr>
        <w:t>8,800</w:t>
      </w:r>
      <w:r>
        <w:rPr>
          <w:rFonts w:hint="eastAsia"/>
          <w:sz w:val="30"/>
          <w:szCs w:val="30"/>
        </w:rPr>
        <w:t>元）、喷雾器（</w:t>
      </w:r>
      <w:r>
        <w:rPr>
          <w:rFonts w:hint="eastAsia"/>
          <w:sz w:val="30"/>
          <w:szCs w:val="30"/>
        </w:rPr>
        <w:t>400</w:t>
      </w:r>
      <w:r>
        <w:rPr>
          <w:rFonts w:hint="eastAsia"/>
          <w:sz w:val="30"/>
          <w:szCs w:val="30"/>
        </w:rPr>
        <w:t>元）、高频霜（</w:t>
      </w:r>
      <w:r>
        <w:rPr>
          <w:rFonts w:hint="eastAsia"/>
          <w:sz w:val="30"/>
          <w:szCs w:val="30"/>
        </w:rPr>
        <w:t>300</w:t>
      </w:r>
      <w:r>
        <w:rPr>
          <w:rFonts w:hint="eastAsia"/>
          <w:sz w:val="30"/>
          <w:szCs w:val="30"/>
        </w:rPr>
        <w:t>元）、黑头导出液（</w:t>
      </w:r>
      <w:r>
        <w:rPr>
          <w:rFonts w:hint="eastAsia"/>
          <w:sz w:val="30"/>
          <w:szCs w:val="30"/>
        </w:rPr>
        <w:t>460</w:t>
      </w:r>
      <w:r>
        <w:rPr>
          <w:rFonts w:hint="eastAsia"/>
          <w:sz w:val="30"/>
          <w:szCs w:val="30"/>
        </w:rPr>
        <w:t>元）、消毒水</w:t>
      </w:r>
      <w:r>
        <w:rPr>
          <w:rFonts w:hint="eastAsia"/>
          <w:sz w:val="30"/>
          <w:szCs w:val="30"/>
        </w:rPr>
        <w:t>236ml</w:t>
      </w:r>
      <w:r>
        <w:rPr>
          <w:rFonts w:hint="eastAsia"/>
          <w:sz w:val="30"/>
          <w:szCs w:val="30"/>
        </w:rPr>
        <w:t>（</w:t>
      </w:r>
      <w:r>
        <w:rPr>
          <w:rFonts w:hint="eastAsia"/>
          <w:sz w:val="30"/>
          <w:szCs w:val="30"/>
        </w:rPr>
        <w:t>380</w:t>
      </w:r>
      <w:r>
        <w:rPr>
          <w:rFonts w:hint="eastAsia"/>
          <w:sz w:val="30"/>
          <w:szCs w:val="30"/>
        </w:rPr>
        <w:t>元）、消毒啫喱</w:t>
      </w:r>
      <w:r>
        <w:rPr>
          <w:rFonts w:hint="eastAsia"/>
          <w:sz w:val="30"/>
          <w:szCs w:val="30"/>
        </w:rPr>
        <w:t>120ml</w:t>
      </w:r>
      <w:r>
        <w:rPr>
          <w:rFonts w:hint="eastAsia"/>
          <w:sz w:val="30"/>
          <w:szCs w:val="30"/>
        </w:rPr>
        <w:t>（</w:t>
      </w:r>
      <w:r>
        <w:rPr>
          <w:rFonts w:hint="eastAsia"/>
          <w:sz w:val="30"/>
          <w:szCs w:val="30"/>
        </w:rPr>
        <w:t>380</w:t>
      </w:r>
      <w:r>
        <w:rPr>
          <w:rFonts w:hint="eastAsia"/>
          <w:sz w:val="30"/>
          <w:szCs w:val="30"/>
        </w:rPr>
        <w:t>元）、表皮稳定剂</w:t>
      </w:r>
      <w:r>
        <w:rPr>
          <w:rFonts w:hint="eastAsia"/>
          <w:sz w:val="30"/>
          <w:szCs w:val="30"/>
        </w:rPr>
        <w:t>45g</w:t>
      </w:r>
      <w:r>
        <w:rPr>
          <w:rFonts w:hint="eastAsia"/>
          <w:sz w:val="30"/>
          <w:szCs w:val="30"/>
        </w:rPr>
        <w:t>（</w:t>
      </w:r>
      <w:r>
        <w:rPr>
          <w:rFonts w:hint="eastAsia"/>
          <w:sz w:val="30"/>
          <w:szCs w:val="30"/>
        </w:rPr>
        <w:t>680</w:t>
      </w:r>
      <w:r>
        <w:rPr>
          <w:rFonts w:hint="eastAsia"/>
          <w:sz w:val="30"/>
          <w:szCs w:val="30"/>
        </w:rPr>
        <w:t>元）、镇静软膜</w:t>
      </w:r>
      <w:r>
        <w:rPr>
          <w:rFonts w:hint="eastAsia"/>
          <w:sz w:val="30"/>
          <w:szCs w:val="30"/>
        </w:rPr>
        <w:t>cool</w:t>
      </w:r>
      <w:r>
        <w:rPr>
          <w:rFonts w:hint="eastAsia"/>
          <w:sz w:val="30"/>
          <w:szCs w:val="30"/>
        </w:rPr>
        <w:t>（</w:t>
      </w:r>
      <w:r>
        <w:rPr>
          <w:rFonts w:hint="eastAsia"/>
          <w:sz w:val="30"/>
          <w:szCs w:val="30"/>
        </w:rPr>
        <w:t>220</w:t>
      </w:r>
      <w:r>
        <w:rPr>
          <w:rFonts w:hint="eastAsia"/>
          <w:sz w:val="30"/>
          <w:szCs w:val="30"/>
        </w:rPr>
        <w:t>元）、冰敷仪（</w:t>
      </w:r>
      <w:r>
        <w:rPr>
          <w:rFonts w:hint="eastAsia"/>
          <w:sz w:val="30"/>
          <w:szCs w:val="30"/>
        </w:rPr>
        <w:t>196</w:t>
      </w:r>
      <w:r>
        <w:rPr>
          <w:rFonts w:hint="eastAsia"/>
          <w:sz w:val="30"/>
          <w:szCs w:val="30"/>
        </w:rPr>
        <w:t>元）、身体按摩油（</w:t>
      </w:r>
      <w:r>
        <w:rPr>
          <w:rFonts w:hint="eastAsia"/>
          <w:sz w:val="30"/>
          <w:szCs w:val="30"/>
        </w:rPr>
        <w:t>350</w:t>
      </w:r>
      <w:r>
        <w:rPr>
          <w:rFonts w:hint="eastAsia"/>
          <w:sz w:val="30"/>
          <w:szCs w:val="30"/>
        </w:rPr>
        <w:t>元）、空调管线（</w:t>
      </w:r>
      <w:r>
        <w:rPr>
          <w:rFonts w:hint="eastAsia"/>
          <w:sz w:val="30"/>
          <w:szCs w:val="30"/>
        </w:rPr>
        <w:t>270</w:t>
      </w:r>
      <w:r>
        <w:rPr>
          <w:rFonts w:hint="eastAsia"/>
          <w:sz w:val="30"/>
          <w:szCs w:val="30"/>
        </w:rPr>
        <w:t>元）、不锈钢支架（</w:t>
      </w:r>
      <w:r>
        <w:rPr>
          <w:rFonts w:hint="eastAsia"/>
          <w:sz w:val="30"/>
          <w:szCs w:val="30"/>
        </w:rPr>
        <w:t>120</w:t>
      </w:r>
      <w:r>
        <w:rPr>
          <w:rFonts w:hint="eastAsia"/>
          <w:sz w:val="30"/>
          <w:szCs w:val="30"/>
        </w:rPr>
        <w:t>元）、空开（</w:t>
      </w:r>
      <w:r>
        <w:rPr>
          <w:rFonts w:hint="eastAsia"/>
          <w:sz w:val="30"/>
          <w:szCs w:val="30"/>
        </w:rPr>
        <w:t>110</w:t>
      </w:r>
      <w:r>
        <w:rPr>
          <w:rFonts w:hint="eastAsia"/>
          <w:sz w:val="30"/>
          <w:szCs w:val="30"/>
        </w:rPr>
        <w:t>元）、伦斯卡洗脸池沙龙头（</w:t>
      </w:r>
      <w:r>
        <w:rPr>
          <w:rFonts w:hint="eastAsia"/>
          <w:sz w:val="30"/>
          <w:szCs w:val="30"/>
        </w:rPr>
        <w:t>495</w:t>
      </w:r>
      <w:r>
        <w:rPr>
          <w:rFonts w:hint="eastAsia"/>
          <w:sz w:val="30"/>
          <w:szCs w:val="30"/>
        </w:rPr>
        <w:t>元）、汉维肯单槽洗脸池（</w:t>
      </w:r>
      <w:r>
        <w:rPr>
          <w:rFonts w:hint="eastAsia"/>
          <w:sz w:val="30"/>
          <w:szCs w:val="30"/>
        </w:rPr>
        <w:t>495</w:t>
      </w:r>
      <w:r>
        <w:rPr>
          <w:rFonts w:hint="eastAsia"/>
          <w:sz w:val="30"/>
          <w:szCs w:val="30"/>
        </w:rPr>
        <w:t>元）、西文单门洗脸池柜（</w:t>
      </w:r>
      <w:r>
        <w:rPr>
          <w:rFonts w:hint="eastAsia"/>
          <w:sz w:val="30"/>
          <w:szCs w:val="30"/>
        </w:rPr>
        <w:t>395</w:t>
      </w:r>
      <w:r>
        <w:rPr>
          <w:rFonts w:hint="eastAsia"/>
          <w:sz w:val="30"/>
          <w:szCs w:val="30"/>
        </w:rPr>
        <w:t>元）、西门支腿（</w:t>
      </w:r>
      <w:r>
        <w:rPr>
          <w:rFonts w:hint="eastAsia"/>
          <w:sz w:val="30"/>
          <w:szCs w:val="30"/>
        </w:rPr>
        <w:t>50</w:t>
      </w:r>
      <w:r>
        <w:rPr>
          <w:rFonts w:hint="eastAsia"/>
          <w:sz w:val="30"/>
          <w:szCs w:val="30"/>
        </w:rPr>
        <w:t>元）。</w:t>
      </w:r>
    </w:p>
    <w:p w:rsidR="00000000" w:rsidRDefault="00785BA4">
      <w:pPr>
        <w:spacing w:line="500" w:lineRule="atLeast"/>
        <w:ind w:firstLine="600"/>
        <w:divId w:val="1843348251"/>
        <w:rPr>
          <w:rFonts w:hint="eastAsia"/>
          <w:sz w:val="30"/>
          <w:szCs w:val="30"/>
        </w:rPr>
      </w:pPr>
      <w:r>
        <w:rPr>
          <w:rFonts w:hint="eastAsia"/>
          <w:sz w:val="30"/>
          <w:szCs w:val="30"/>
        </w:rPr>
        <w:t>2017</w:t>
      </w:r>
      <w:r>
        <w:rPr>
          <w:rFonts w:hint="eastAsia"/>
          <w:sz w:val="30"/>
          <w:szCs w:val="30"/>
        </w:rPr>
        <w:t>年</w:t>
      </w:r>
      <w:r>
        <w:rPr>
          <w:rFonts w:hint="eastAsia"/>
          <w:sz w:val="30"/>
          <w:szCs w:val="30"/>
        </w:rPr>
        <w:t>6</w:t>
      </w:r>
      <w:r>
        <w:rPr>
          <w:rFonts w:hint="eastAsia"/>
          <w:sz w:val="30"/>
          <w:szCs w:val="30"/>
        </w:rPr>
        <w:t>月起，黛永公司经营美甲、美容业务，直至</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月底。</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月底，周婷将在公司经营地址内的相关物品搬离。</w:t>
      </w:r>
    </w:p>
    <w:p w:rsidR="00000000" w:rsidRDefault="00785BA4">
      <w:pPr>
        <w:spacing w:line="500" w:lineRule="atLeast"/>
        <w:ind w:firstLine="600"/>
        <w:divId w:val="1927110828"/>
        <w:rPr>
          <w:rFonts w:hint="eastAsia"/>
          <w:sz w:val="30"/>
          <w:szCs w:val="30"/>
        </w:rPr>
      </w:pPr>
      <w:r>
        <w:rPr>
          <w:rFonts w:hint="eastAsia"/>
          <w:sz w:val="30"/>
          <w:szCs w:val="30"/>
        </w:rPr>
        <w:t>酷指公司系一家一人有限责任公司，注册成立于</w:t>
      </w:r>
      <w:r>
        <w:rPr>
          <w:rFonts w:hint="eastAsia"/>
          <w:sz w:val="30"/>
          <w:szCs w:val="30"/>
        </w:rPr>
        <w:t>2015</w:t>
      </w:r>
      <w:r>
        <w:rPr>
          <w:rFonts w:hint="eastAsia"/>
          <w:sz w:val="30"/>
          <w:szCs w:val="30"/>
        </w:rPr>
        <w:t>年</w:t>
      </w:r>
      <w:r>
        <w:rPr>
          <w:rFonts w:hint="eastAsia"/>
          <w:sz w:val="30"/>
          <w:szCs w:val="30"/>
        </w:rPr>
        <w:t>9</w:t>
      </w:r>
      <w:r>
        <w:rPr>
          <w:rFonts w:hint="eastAsia"/>
          <w:sz w:val="30"/>
          <w:szCs w:val="30"/>
        </w:rPr>
        <w:t>月</w:t>
      </w:r>
      <w:r>
        <w:rPr>
          <w:rFonts w:hint="eastAsia"/>
          <w:sz w:val="30"/>
          <w:szCs w:val="30"/>
        </w:rPr>
        <w:t>9</w:t>
      </w:r>
      <w:r>
        <w:rPr>
          <w:rFonts w:hint="eastAsia"/>
          <w:sz w:val="30"/>
          <w:szCs w:val="30"/>
        </w:rPr>
        <w:t>日，公司唯一股东是周婷。</w:t>
      </w:r>
    </w:p>
    <w:p w:rsidR="00000000" w:rsidRDefault="00785BA4">
      <w:pPr>
        <w:spacing w:line="500" w:lineRule="atLeast"/>
        <w:ind w:firstLine="600"/>
        <w:divId w:val="1279753822"/>
        <w:rPr>
          <w:rFonts w:hint="eastAsia"/>
          <w:sz w:val="30"/>
          <w:szCs w:val="30"/>
        </w:rPr>
      </w:pPr>
      <w:r>
        <w:rPr>
          <w:rFonts w:hint="eastAsia"/>
          <w:sz w:val="30"/>
          <w:szCs w:val="30"/>
        </w:rPr>
        <w:t>一审法院认为，王凌裕作为黛永公司的监事可以代表公司向周婷、酷指公司提起诉讼，黛永公司认为，其所提出的三项诉讼请求是基于以下事由，一、周婷有挪用黛永公司资金、将公司交易佣金据为已有的侵权行为，违反了忠实勤勉义务，根据公司法第一百四十七条和第一百四十八条第五项的规定，黛永公司行使归入权，要求周婷、酷指公司归还资金及资金占用利息。二、周婷带走了黛永公司的客户、员工、设备，通过酷指公司进</w:t>
      </w:r>
      <w:r>
        <w:rPr>
          <w:rFonts w:hint="eastAsia"/>
          <w:sz w:val="30"/>
          <w:szCs w:val="30"/>
        </w:rPr>
        <w:t>行同业经营，违反了竞业禁止义务，根据公司法第一百四十七条和第一百四十八条第五项的规定，黛永公司行使归入权，要求周婷、酷指公司归还同业获利。三、周婷挪用、侵占黛永公司的公司财物，黛永公司可以要求返还。分析以上各请求权，显然上述这三项诉讼请求具有各自的独立性，可以分案成诉。第</w:t>
      </w:r>
      <w:r>
        <w:rPr>
          <w:rFonts w:hint="eastAsia"/>
          <w:sz w:val="30"/>
          <w:szCs w:val="30"/>
        </w:rPr>
        <w:t>1</w:t>
      </w:r>
      <w:r>
        <w:rPr>
          <w:rFonts w:hint="eastAsia"/>
          <w:sz w:val="30"/>
          <w:szCs w:val="30"/>
        </w:rPr>
        <w:t>项和第</w:t>
      </w:r>
      <w:r>
        <w:rPr>
          <w:rFonts w:hint="eastAsia"/>
          <w:sz w:val="30"/>
          <w:szCs w:val="30"/>
        </w:rPr>
        <w:t>3</w:t>
      </w:r>
      <w:r>
        <w:rPr>
          <w:rFonts w:hint="eastAsia"/>
          <w:sz w:val="30"/>
          <w:szCs w:val="30"/>
        </w:rPr>
        <w:t>项诉讼请求是要求周婷、酷指公司归还相应资金和财物，诉讼标的性质上属于同一种类，从方便诉讼角度而言，可以在一案中合并审理，而第</w:t>
      </w:r>
      <w:r>
        <w:rPr>
          <w:rFonts w:hint="eastAsia"/>
          <w:sz w:val="30"/>
          <w:szCs w:val="30"/>
        </w:rPr>
        <w:t>2</w:t>
      </w:r>
      <w:r>
        <w:rPr>
          <w:rFonts w:hint="eastAsia"/>
          <w:sz w:val="30"/>
          <w:szCs w:val="30"/>
        </w:rPr>
        <w:t>项诉讼请求黛永公司是要求周婷、酷指公司归还同业经营获利，与另两项诉讼请求相比，事实基础差异明显，诉讼标的</w:t>
      </w:r>
      <w:r>
        <w:rPr>
          <w:rFonts w:hint="eastAsia"/>
          <w:sz w:val="30"/>
          <w:szCs w:val="30"/>
        </w:rPr>
        <w:t>属性既非同一，也非同一种类，不宜合并审理。对此，周婷、酷指公司也认为这是两个法律关系，两个诉。为此，一审法院向黛永公司释明，要求对黛永公司选择其中之一作为本案的请求权基础，但黛永公司坚持要求一并审理，故一审法院根据黛永公司提起请求的顺序，只审理第</w:t>
      </w:r>
      <w:r>
        <w:rPr>
          <w:rFonts w:hint="eastAsia"/>
          <w:sz w:val="30"/>
          <w:szCs w:val="30"/>
        </w:rPr>
        <w:t>1</w:t>
      </w:r>
      <w:r>
        <w:rPr>
          <w:rFonts w:hint="eastAsia"/>
          <w:sz w:val="30"/>
          <w:szCs w:val="30"/>
        </w:rPr>
        <w:t>项和第</w:t>
      </w:r>
      <w:r>
        <w:rPr>
          <w:rFonts w:hint="eastAsia"/>
          <w:sz w:val="30"/>
          <w:szCs w:val="30"/>
        </w:rPr>
        <w:t>3</w:t>
      </w:r>
      <w:r>
        <w:rPr>
          <w:rFonts w:hint="eastAsia"/>
          <w:sz w:val="30"/>
          <w:szCs w:val="30"/>
        </w:rPr>
        <w:t>项诉讼请求。</w:t>
      </w:r>
    </w:p>
    <w:p w:rsidR="00000000" w:rsidRDefault="00785BA4">
      <w:pPr>
        <w:spacing w:line="500" w:lineRule="atLeast"/>
        <w:ind w:firstLine="600"/>
        <w:divId w:val="2017461100"/>
        <w:rPr>
          <w:rFonts w:hint="eastAsia"/>
          <w:sz w:val="30"/>
          <w:szCs w:val="30"/>
        </w:rPr>
      </w:pPr>
      <w:r>
        <w:rPr>
          <w:rFonts w:hint="eastAsia"/>
          <w:sz w:val="30"/>
          <w:szCs w:val="30"/>
        </w:rPr>
        <w:t>黛永公司的第</w:t>
      </w:r>
      <w:r>
        <w:rPr>
          <w:rFonts w:hint="eastAsia"/>
          <w:sz w:val="30"/>
          <w:szCs w:val="30"/>
        </w:rPr>
        <w:t>1</w:t>
      </w:r>
      <w:r>
        <w:rPr>
          <w:rFonts w:hint="eastAsia"/>
          <w:sz w:val="30"/>
          <w:szCs w:val="30"/>
        </w:rPr>
        <w:t>项诉讼请求，是要求周婷、酷指公司归还挪用的资金及资金占用利息，具体侵权行为指的是，周婷通过个人微信、支付宝、银行卡，实际收了公司的营业收入，但未归账。但查明的事实只反映了周婷的尾号</w:t>
      </w:r>
      <w:r>
        <w:rPr>
          <w:rFonts w:hint="eastAsia"/>
          <w:sz w:val="30"/>
          <w:szCs w:val="30"/>
        </w:rPr>
        <w:t>9029</w:t>
      </w:r>
      <w:r>
        <w:rPr>
          <w:rFonts w:hint="eastAsia"/>
          <w:sz w:val="30"/>
          <w:szCs w:val="30"/>
        </w:rPr>
        <w:t>银行卡中有黛永公司钱款流转的行为，但该卡</w:t>
      </w:r>
      <w:r>
        <w:rPr>
          <w:rFonts w:hint="eastAsia"/>
          <w:sz w:val="30"/>
          <w:szCs w:val="30"/>
        </w:rPr>
        <w:t>是公司股东王凌裕和周婷共同认可的专属于黛永公司经营活动的银行卡，现黛永公司未能指出该卡中的钱款流转有非黛永公司经营活动的行为，因此，仅凭该卡的开户主体是周婷，不足以认定周婷实际收取了黛永公司的营业收入。当然，目前状况下，公司的股东王凌裕和周婷之间已存有较大的矛盾，现该卡中的余额</w:t>
      </w:r>
      <w:r>
        <w:rPr>
          <w:rFonts w:hint="eastAsia"/>
          <w:sz w:val="30"/>
          <w:szCs w:val="30"/>
        </w:rPr>
        <w:t>1,773.80</w:t>
      </w:r>
      <w:r>
        <w:rPr>
          <w:rFonts w:hint="eastAsia"/>
          <w:sz w:val="30"/>
          <w:szCs w:val="30"/>
        </w:rPr>
        <w:t>元，作为该卡的实际控制人周婷应返还黛永公司为宜。一审诉讼中，黛永公司向一审法院提出申请，要求调取周婷的个人账户以查明其收取他人交易佣金的具体数额。周婷的个人账户信息，属于其个人隐私范畴，一审法院对此进行调查，必须是在正</w:t>
      </w:r>
      <w:r>
        <w:rPr>
          <w:rFonts w:hint="eastAsia"/>
          <w:sz w:val="30"/>
          <w:szCs w:val="30"/>
        </w:rPr>
        <w:t>当和合法的理由基础之上，就本案而言，至少黛永公司应当向一审法院说明其对外收取佣金的适当理由以及具体的收取对象、金额等线索，现黛永公司只作简单的怀疑而提出调查的申请，一审法院不宜准许。因而，黛永公司未提供充足的证据证明周婷收取了公司的营业收入但未归账。这一请求部分，一审法院只宜支持</w:t>
      </w:r>
      <w:r>
        <w:rPr>
          <w:rFonts w:hint="eastAsia"/>
          <w:sz w:val="30"/>
          <w:szCs w:val="30"/>
        </w:rPr>
        <w:t>1,773.80</w:t>
      </w:r>
      <w:r>
        <w:rPr>
          <w:rFonts w:hint="eastAsia"/>
          <w:sz w:val="30"/>
          <w:szCs w:val="30"/>
        </w:rPr>
        <w:t>元。一审法院支持的这一部分金额现存于周婷个人银行卡中，支持的原因并非周婷的过错，故这一黛永公司所提的利息损失请求，不应支持。</w:t>
      </w:r>
    </w:p>
    <w:p w:rsidR="00000000" w:rsidRDefault="00785BA4">
      <w:pPr>
        <w:spacing w:line="500" w:lineRule="atLeast"/>
        <w:ind w:firstLine="600"/>
        <w:divId w:val="1632439675"/>
        <w:rPr>
          <w:rFonts w:hint="eastAsia"/>
          <w:sz w:val="30"/>
          <w:szCs w:val="30"/>
        </w:rPr>
      </w:pPr>
      <w:r>
        <w:rPr>
          <w:rFonts w:hint="eastAsia"/>
          <w:sz w:val="30"/>
          <w:szCs w:val="30"/>
        </w:rPr>
        <w:t>对于第</w:t>
      </w:r>
      <w:r>
        <w:rPr>
          <w:rFonts w:hint="eastAsia"/>
          <w:sz w:val="30"/>
          <w:szCs w:val="30"/>
        </w:rPr>
        <w:t>3</w:t>
      </w:r>
      <w:r>
        <w:rPr>
          <w:rFonts w:hint="eastAsia"/>
          <w:sz w:val="30"/>
          <w:szCs w:val="30"/>
        </w:rPr>
        <w:t>项诉讼请求，黛永公司虽未提供充足的证据证明周婷直接侵占了涉案的财物，但周婷表示同意</w:t>
      </w:r>
      <w:r>
        <w:rPr>
          <w:rFonts w:hint="eastAsia"/>
          <w:sz w:val="30"/>
          <w:szCs w:val="30"/>
        </w:rPr>
        <w:t>归还黛永公司清单第</w:t>
      </w:r>
      <w:r>
        <w:rPr>
          <w:rFonts w:hint="eastAsia"/>
          <w:sz w:val="30"/>
          <w:szCs w:val="30"/>
        </w:rPr>
        <w:t>1-11</w:t>
      </w:r>
      <w:r>
        <w:rPr>
          <w:rFonts w:hint="eastAsia"/>
          <w:sz w:val="30"/>
          <w:szCs w:val="30"/>
        </w:rPr>
        <w:t>项和第</w:t>
      </w:r>
      <w:r>
        <w:rPr>
          <w:rFonts w:hint="eastAsia"/>
          <w:sz w:val="30"/>
          <w:szCs w:val="30"/>
        </w:rPr>
        <w:t>13</w:t>
      </w:r>
      <w:r>
        <w:rPr>
          <w:rFonts w:hint="eastAsia"/>
          <w:sz w:val="30"/>
          <w:szCs w:val="30"/>
        </w:rPr>
        <w:t>项物品，一审法院应予准许，其不能归还的部分，可以按黛永公司标明的价格予以赔偿。关于周婷有异议部分的财物，因黛永公司未能就诉讼请求这一部分财物的属性作出解释，也未提供证据证明周婷搬离财物的具体名称及数量，故一审法院可支持部分的请求为周婷认可的上述部分。</w:t>
      </w:r>
    </w:p>
    <w:p w:rsidR="00000000" w:rsidRDefault="00785BA4">
      <w:pPr>
        <w:spacing w:line="500" w:lineRule="atLeast"/>
        <w:ind w:firstLine="600"/>
        <w:divId w:val="1121993852"/>
        <w:rPr>
          <w:rFonts w:hint="eastAsia"/>
          <w:sz w:val="30"/>
          <w:szCs w:val="30"/>
        </w:rPr>
      </w:pPr>
      <w:r>
        <w:rPr>
          <w:rFonts w:hint="eastAsia"/>
          <w:sz w:val="30"/>
          <w:szCs w:val="30"/>
        </w:rPr>
        <w:t>黛永公司还要求酷指公司承担连带责任，理由是酷指公司是一家一人有限公司，根据公司法第六十三条的规定，存在周婷与酷指公司之间人格同一的情形，应当互相连带对外承担责任。公司法第六十三条规定，一人有限责任公司的股东不能证明公司财产独</w:t>
      </w:r>
      <w:r>
        <w:rPr>
          <w:rFonts w:hint="eastAsia"/>
          <w:sz w:val="30"/>
          <w:szCs w:val="30"/>
        </w:rPr>
        <w:t>立于股东自己财产的，应当对公司债务承担连带责任。仅就该法条而言，一人有限责任公司的股东需对公司债务承担连带责任，而非公司对股东承担连带责任，黛永公司要求酷指公司对周婷的债务承担连带责任，缺乏直接的法律依据。黛永公司坚持认为，周婷与酷指公司之间出现了“逆向”的适用法人人格否认原则的情形，周婷与酷指公司之间应视为一体，应当对各自的债务互相承担连带责任。但适用公司法人人格否认原则其主旨目的在于保护债权人的合法利益，人民法院应当注意审查是否同时具备下列三项要件：（一）股东实施了滥用公司法人独立地位和股东有限责任的行</w:t>
      </w:r>
      <w:r>
        <w:rPr>
          <w:rFonts w:hint="eastAsia"/>
          <w:sz w:val="30"/>
          <w:szCs w:val="30"/>
        </w:rPr>
        <w:t>为；（二）逃避债务；（三）严重损害公司债权人利益。也就是说，公司虽未能清偿到期债务，但有清偿债务可能，尚不构成严重损害债权人利益的，人民法院不宜适用法人人格否认原则。黛永公司可支持部分的请求是现周婷个人银行卡中的余额</w:t>
      </w:r>
      <w:r>
        <w:rPr>
          <w:rFonts w:hint="eastAsia"/>
          <w:sz w:val="30"/>
          <w:szCs w:val="30"/>
        </w:rPr>
        <w:t>1,773.80</w:t>
      </w:r>
      <w:r>
        <w:rPr>
          <w:rFonts w:hint="eastAsia"/>
          <w:sz w:val="30"/>
          <w:szCs w:val="30"/>
        </w:rPr>
        <w:t>元以及相关财物的返还，周婷完全有清偿债务的可能，尚不构成严重损害黛永公司的利益，黛永公司要求“逆向”适用法人人格原则，判令酷指公司承担连带责任，缺乏法律依据，一审法院难以支持。</w:t>
      </w:r>
    </w:p>
    <w:p w:rsidR="00000000" w:rsidRDefault="00785BA4">
      <w:pPr>
        <w:spacing w:line="500" w:lineRule="atLeast"/>
        <w:ind w:firstLine="600"/>
        <w:divId w:val="1759522186"/>
        <w:rPr>
          <w:rFonts w:hint="eastAsia"/>
          <w:sz w:val="30"/>
          <w:szCs w:val="30"/>
        </w:rPr>
      </w:pPr>
      <w:r>
        <w:rPr>
          <w:rFonts w:hint="eastAsia"/>
          <w:sz w:val="30"/>
          <w:szCs w:val="30"/>
        </w:rPr>
        <w:t>一审法院还要说明的是，黛永公司要求周婷、酷指公司归还同业经营获利</w:t>
      </w:r>
      <w:r>
        <w:rPr>
          <w:rFonts w:hint="eastAsia"/>
          <w:sz w:val="30"/>
          <w:szCs w:val="30"/>
        </w:rPr>
        <w:t>300,000</w:t>
      </w:r>
      <w:r>
        <w:rPr>
          <w:rFonts w:hint="eastAsia"/>
          <w:sz w:val="30"/>
          <w:szCs w:val="30"/>
        </w:rPr>
        <w:t>元的诉讼请求，也缺乏相应的事实基础。</w:t>
      </w:r>
    </w:p>
    <w:p w:rsidR="00000000" w:rsidRDefault="00785BA4">
      <w:pPr>
        <w:spacing w:line="500" w:lineRule="atLeast"/>
        <w:ind w:firstLine="600"/>
        <w:divId w:val="509830563"/>
        <w:rPr>
          <w:rFonts w:hint="eastAsia"/>
          <w:sz w:val="30"/>
          <w:szCs w:val="30"/>
        </w:rPr>
      </w:pPr>
      <w:r>
        <w:rPr>
          <w:rFonts w:hint="eastAsia"/>
          <w:sz w:val="30"/>
          <w:szCs w:val="30"/>
        </w:rPr>
        <w:t>综上，一审法院依照《中华人民共和国物权法》第三十四条、《中华人民共和国民事诉讼法》第一百四十二条的规定，判决如下：一、周婷应于判决生效之日起十日内返还黛永公司</w:t>
      </w:r>
      <w:r>
        <w:rPr>
          <w:rFonts w:hint="eastAsia"/>
          <w:sz w:val="30"/>
          <w:szCs w:val="30"/>
        </w:rPr>
        <w:t>1,773.80</w:t>
      </w:r>
      <w:r>
        <w:rPr>
          <w:rFonts w:hint="eastAsia"/>
          <w:sz w:val="30"/>
          <w:szCs w:val="30"/>
        </w:rPr>
        <w:t>元；二、周婷应于判决生效之日起十日内返还黛永公司下列物品：小气泡（</w:t>
      </w:r>
      <w:r>
        <w:rPr>
          <w:rFonts w:hint="eastAsia"/>
          <w:sz w:val="30"/>
          <w:szCs w:val="30"/>
        </w:rPr>
        <w:t>4,500</w:t>
      </w:r>
      <w:r>
        <w:rPr>
          <w:rFonts w:hint="eastAsia"/>
          <w:sz w:val="30"/>
          <w:szCs w:val="30"/>
        </w:rPr>
        <w:t>元）、综合仪器（</w:t>
      </w:r>
      <w:r>
        <w:rPr>
          <w:rFonts w:hint="eastAsia"/>
          <w:sz w:val="30"/>
          <w:szCs w:val="30"/>
        </w:rPr>
        <w:t>7,500</w:t>
      </w:r>
      <w:r>
        <w:rPr>
          <w:rFonts w:hint="eastAsia"/>
          <w:sz w:val="30"/>
          <w:szCs w:val="30"/>
        </w:rPr>
        <w:t>元）、光谱仪（</w:t>
      </w:r>
      <w:r>
        <w:rPr>
          <w:rFonts w:hint="eastAsia"/>
          <w:sz w:val="30"/>
          <w:szCs w:val="30"/>
        </w:rPr>
        <w:t>3,000</w:t>
      </w:r>
      <w:r>
        <w:rPr>
          <w:rFonts w:hint="eastAsia"/>
          <w:sz w:val="30"/>
          <w:szCs w:val="30"/>
        </w:rPr>
        <w:t>元）、</w:t>
      </w:r>
      <w:r>
        <w:rPr>
          <w:rFonts w:hint="eastAsia"/>
          <w:sz w:val="30"/>
          <w:szCs w:val="30"/>
        </w:rPr>
        <w:t>magicline</w:t>
      </w:r>
      <w:r>
        <w:rPr>
          <w:rFonts w:hint="eastAsia"/>
          <w:sz w:val="30"/>
          <w:szCs w:val="30"/>
        </w:rPr>
        <w:t>（</w:t>
      </w:r>
      <w:r>
        <w:rPr>
          <w:rFonts w:hint="eastAsia"/>
          <w:sz w:val="30"/>
          <w:szCs w:val="30"/>
        </w:rPr>
        <w:t>8,800</w:t>
      </w:r>
      <w:r>
        <w:rPr>
          <w:rFonts w:hint="eastAsia"/>
          <w:sz w:val="30"/>
          <w:szCs w:val="30"/>
        </w:rPr>
        <w:t>元）、喷雾器（</w:t>
      </w:r>
      <w:r>
        <w:rPr>
          <w:rFonts w:hint="eastAsia"/>
          <w:sz w:val="30"/>
          <w:szCs w:val="30"/>
        </w:rPr>
        <w:t>400</w:t>
      </w:r>
      <w:r>
        <w:rPr>
          <w:rFonts w:hint="eastAsia"/>
          <w:sz w:val="30"/>
          <w:szCs w:val="30"/>
        </w:rPr>
        <w:t>元）、高频霜（</w:t>
      </w:r>
      <w:r>
        <w:rPr>
          <w:rFonts w:hint="eastAsia"/>
          <w:sz w:val="30"/>
          <w:szCs w:val="30"/>
        </w:rPr>
        <w:t>300</w:t>
      </w:r>
      <w:r>
        <w:rPr>
          <w:rFonts w:hint="eastAsia"/>
          <w:sz w:val="30"/>
          <w:szCs w:val="30"/>
        </w:rPr>
        <w:t>元）、黑头导出液（</w:t>
      </w:r>
      <w:r>
        <w:rPr>
          <w:rFonts w:hint="eastAsia"/>
          <w:sz w:val="30"/>
          <w:szCs w:val="30"/>
        </w:rPr>
        <w:t>4</w:t>
      </w:r>
      <w:r>
        <w:rPr>
          <w:rFonts w:hint="eastAsia"/>
          <w:sz w:val="30"/>
          <w:szCs w:val="30"/>
        </w:rPr>
        <w:t>60</w:t>
      </w:r>
      <w:r>
        <w:rPr>
          <w:rFonts w:hint="eastAsia"/>
          <w:sz w:val="30"/>
          <w:szCs w:val="30"/>
        </w:rPr>
        <w:t>元）、消毒水</w:t>
      </w:r>
      <w:r>
        <w:rPr>
          <w:rFonts w:hint="eastAsia"/>
          <w:sz w:val="30"/>
          <w:szCs w:val="30"/>
        </w:rPr>
        <w:t>236ml</w:t>
      </w:r>
      <w:r>
        <w:rPr>
          <w:rFonts w:hint="eastAsia"/>
          <w:sz w:val="30"/>
          <w:szCs w:val="30"/>
        </w:rPr>
        <w:t>（</w:t>
      </w:r>
      <w:r>
        <w:rPr>
          <w:rFonts w:hint="eastAsia"/>
          <w:sz w:val="30"/>
          <w:szCs w:val="30"/>
        </w:rPr>
        <w:t>380</w:t>
      </w:r>
      <w:r>
        <w:rPr>
          <w:rFonts w:hint="eastAsia"/>
          <w:sz w:val="30"/>
          <w:szCs w:val="30"/>
        </w:rPr>
        <w:t>元）、消毒啫喱</w:t>
      </w:r>
      <w:r>
        <w:rPr>
          <w:rFonts w:hint="eastAsia"/>
          <w:sz w:val="30"/>
          <w:szCs w:val="30"/>
        </w:rPr>
        <w:t>120ml</w:t>
      </w:r>
      <w:r>
        <w:rPr>
          <w:rFonts w:hint="eastAsia"/>
          <w:sz w:val="30"/>
          <w:szCs w:val="30"/>
        </w:rPr>
        <w:t>（</w:t>
      </w:r>
      <w:r>
        <w:rPr>
          <w:rFonts w:hint="eastAsia"/>
          <w:sz w:val="30"/>
          <w:szCs w:val="30"/>
        </w:rPr>
        <w:t>380</w:t>
      </w:r>
      <w:r>
        <w:rPr>
          <w:rFonts w:hint="eastAsia"/>
          <w:sz w:val="30"/>
          <w:szCs w:val="30"/>
        </w:rPr>
        <w:t>元）、表皮稳定剂</w:t>
      </w:r>
      <w:r>
        <w:rPr>
          <w:rFonts w:hint="eastAsia"/>
          <w:sz w:val="30"/>
          <w:szCs w:val="30"/>
        </w:rPr>
        <w:t>45g</w:t>
      </w:r>
      <w:r>
        <w:rPr>
          <w:rFonts w:hint="eastAsia"/>
          <w:sz w:val="30"/>
          <w:szCs w:val="30"/>
        </w:rPr>
        <w:t>（</w:t>
      </w:r>
      <w:r>
        <w:rPr>
          <w:rFonts w:hint="eastAsia"/>
          <w:sz w:val="30"/>
          <w:szCs w:val="30"/>
        </w:rPr>
        <w:t>680</w:t>
      </w:r>
      <w:r>
        <w:rPr>
          <w:rFonts w:hint="eastAsia"/>
          <w:sz w:val="30"/>
          <w:szCs w:val="30"/>
        </w:rPr>
        <w:t>元）、镇静软膜</w:t>
      </w:r>
      <w:r>
        <w:rPr>
          <w:rFonts w:hint="eastAsia"/>
          <w:sz w:val="30"/>
          <w:szCs w:val="30"/>
        </w:rPr>
        <w:t>cool</w:t>
      </w:r>
      <w:r>
        <w:rPr>
          <w:rFonts w:hint="eastAsia"/>
          <w:sz w:val="30"/>
          <w:szCs w:val="30"/>
        </w:rPr>
        <w:t>（</w:t>
      </w:r>
      <w:r>
        <w:rPr>
          <w:rFonts w:hint="eastAsia"/>
          <w:sz w:val="30"/>
          <w:szCs w:val="30"/>
        </w:rPr>
        <w:t>220</w:t>
      </w:r>
      <w:r>
        <w:rPr>
          <w:rFonts w:hint="eastAsia"/>
          <w:sz w:val="30"/>
          <w:szCs w:val="30"/>
        </w:rPr>
        <w:t>元）、身体按摩油（</w:t>
      </w:r>
      <w:r>
        <w:rPr>
          <w:rFonts w:hint="eastAsia"/>
          <w:sz w:val="30"/>
          <w:szCs w:val="30"/>
        </w:rPr>
        <w:t>350</w:t>
      </w:r>
      <w:r>
        <w:rPr>
          <w:rFonts w:hint="eastAsia"/>
          <w:sz w:val="30"/>
          <w:szCs w:val="30"/>
        </w:rPr>
        <w:t>元），如不能返还的，应当按上述所标价格予以赔偿；三、驳回黛永公司的其余诉讼请求。一审案件受理费</w:t>
      </w:r>
      <w:r>
        <w:rPr>
          <w:rFonts w:hint="eastAsia"/>
          <w:sz w:val="30"/>
          <w:szCs w:val="30"/>
        </w:rPr>
        <w:t>13,198</w:t>
      </w:r>
      <w:r>
        <w:rPr>
          <w:rFonts w:hint="eastAsia"/>
          <w:sz w:val="30"/>
          <w:szCs w:val="30"/>
        </w:rPr>
        <w:t>元，减半收取计</w:t>
      </w:r>
      <w:r>
        <w:rPr>
          <w:rFonts w:hint="eastAsia"/>
          <w:sz w:val="30"/>
          <w:szCs w:val="30"/>
        </w:rPr>
        <w:t>6,599</w:t>
      </w:r>
      <w:r>
        <w:rPr>
          <w:rFonts w:hint="eastAsia"/>
          <w:sz w:val="30"/>
          <w:szCs w:val="30"/>
        </w:rPr>
        <w:t>元，由黛永公司负担</w:t>
      </w:r>
      <w:r>
        <w:rPr>
          <w:rFonts w:hint="eastAsia"/>
          <w:sz w:val="30"/>
          <w:szCs w:val="30"/>
        </w:rPr>
        <w:t>6,340</w:t>
      </w:r>
      <w:r>
        <w:rPr>
          <w:rFonts w:hint="eastAsia"/>
          <w:sz w:val="30"/>
          <w:szCs w:val="30"/>
        </w:rPr>
        <w:t>元，周婷负担</w:t>
      </w:r>
      <w:r>
        <w:rPr>
          <w:rFonts w:hint="eastAsia"/>
          <w:sz w:val="30"/>
          <w:szCs w:val="30"/>
        </w:rPr>
        <w:t>259</w:t>
      </w:r>
      <w:r>
        <w:rPr>
          <w:rFonts w:hint="eastAsia"/>
          <w:sz w:val="30"/>
          <w:szCs w:val="30"/>
        </w:rPr>
        <w:t>元。</w:t>
      </w:r>
    </w:p>
    <w:p w:rsidR="00000000" w:rsidRDefault="00785BA4">
      <w:pPr>
        <w:spacing w:line="500" w:lineRule="atLeast"/>
        <w:ind w:firstLine="600"/>
        <w:divId w:val="1039551645"/>
        <w:rPr>
          <w:rFonts w:hint="eastAsia"/>
          <w:sz w:val="30"/>
          <w:szCs w:val="30"/>
        </w:rPr>
      </w:pPr>
      <w:r>
        <w:rPr>
          <w:rFonts w:hint="eastAsia"/>
          <w:sz w:val="30"/>
          <w:szCs w:val="30"/>
        </w:rPr>
        <w:t>二审庭审中，周婷与酷指公司提交一份周婷自行制作的黛永公司</w:t>
      </w:r>
      <w:r>
        <w:rPr>
          <w:rFonts w:hint="eastAsia"/>
          <w:sz w:val="30"/>
          <w:szCs w:val="30"/>
        </w:rPr>
        <w:t>2017</w:t>
      </w:r>
      <w:r>
        <w:rPr>
          <w:rFonts w:hint="eastAsia"/>
          <w:sz w:val="30"/>
          <w:szCs w:val="30"/>
        </w:rPr>
        <w:t>年</w:t>
      </w:r>
      <w:r>
        <w:rPr>
          <w:rFonts w:hint="eastAsia"/>
          <w:sz w:val="30"/>
          <w:szCs w:val="30"/>
        </w:rPr>
        <w:t>6</w:t>
      </w:r>
      <w:r>
        <w:rPr>
          <w:rFonts w:hint="eastAsia"/>
          <w:sz w:val="30"/>
          <w:szCs w:val="30"/>
        </w:rPr>
        <w:t>月至</w:t>
      </w:r>
      <w:r>
        <w:rPr>
          <w:rFonts w:hint="eastAsia"/>
          <w:sz w:val="30"/>
          <w:szCs w:val="30"/>
        </w:rPr>
        <w:t>12</w:t>
      </w:r>
      <w:r>
        <w:rPr>
          <w:rFonts w:hint="eastAsia"/>
          <w:sz w:val="30"/>
          <w:szCs w:val="30"/>
        </w:rPr>
        <w:t>月的支出帐目表及房屋转租合同，用以证明</w:t>
      </w:r>
      <w:r>
        <w:rPr>
          <w:rFonts w:hint="eastAsia"/>
          <w:sz w:val="30"/>
          <w:szCs w:val="30"/>
        </w:rPr>
        <w:t>2017</w:t>
      </w:r>
      <w:r>
        <w:rPr>
          <w:rFonts w:hint="eastAsia"/>
          <w:sz w:val="30"/>
          <w:szCs w:val="30"/>
        </w:rPr>
        <w:t>年</w:t>
      </w:r>
      <w:r>
        <w:rPr>
          <w:rFonts w:hint="eastAsia"/>
          <w:sz w:val="30"/>
          <w:szCs w:val="30"/>
        </w:rPr>
        <w:t>6</w:t>
      </w:r>
      <w:r>
        <w:rPr>
          <w:rFonts w:hint="eastAsia"/>
          <w:sz w:val="30"/>
          <w:szCs w:val="30"/>
        </w:rPr>
        <w:t>月至</w:t>
      </w:r>
      <w:r>
        <w:rPr>
          <w:rFonts w:hint="eastAsia"/>
          <w:sz w:val="30"/>
          <w:szCs w:val="30"/>
        </w:rPr>
        <w:t>12</w:t>
      </w:r>
      <w:r>
        <w:rPr>
          <w:rFonts w:hint="eastAsia"/>
          <w:sz w:val="30"/>
          <w:szCs w:val="30"/>
        </w:rPr>
        <w:t>月，黛永公司的成本已达</w:t>
      </w:r>
      <w:r>
        <w:rPr>
          <w:rFonts w:hint="eastAsia"/>
          <w:sz w:val="30"/>
          <w:szCs w:val="30"/>
        </w:rPr>
        <w:t>605,030.74</w:t>
      </w:r>
      <w:r>
        <w:rPr>
          <w:rFonts w:hint="eastAsia"/>
          <w:sz w:val="30"/>
          <w:szCs w:val="30"/>
        </w:rPr>
        <w:t>元（</w:t>
      </w:r>
      <w:r>
        <w:rPr>
          <w:rFonts w:hint="eastAsia"/>
          <w:sz w:val="30"/>
          <w:szCs w:val="30"/>
        </w:rPr>
        <w:t>其中房租</w:t>
      </w:r>
      <w:r>
        <w:rPr>
          <w:rFonts w:hint="eastAsia"/>
          <w:sz w:val="30"/>
          <w:szCs w:val="30"/>
        </w:rPr>
        <w:t>196,000</w:t>
      </w:r>
      <w:r>
        <w:rPr>
          <w:rFonts w:hint="eastAsia"/>
          <w:sz w:val="30"/>
          <w:szCs w:val="30"/>
        </w:rPr>
        <w:t>元、水电费</w:t>
      </w:r>
      <w:r>
        <w:rPr>
          <w:rFonts w:hint="eastAsia"/>
          <w:sz w:val="30"/>
          <w:szCs w:val="30"/>
        </w:rPr>
        <w:t>6,437.95</w:t>
      </w:r>
      <w:r>
        <w:rPr>
          <w:rFonts w:hint="eastAsia"/>
          <w:sz w:val="30"/>
          <w:szCs w:val="30"/>
        </w:rPr>
        <w:t>元、工资</w:t>
      </w:r>
      <w:r>
        <w:rPr>
          <w:rFonts w:hint="eastAsia"/>
          <w:sz w:val="30"/>
          <w:szCs w:val="30"/>
        </w:rPr>
        <w:t>222,877.37</w:t>
      </w:r>
      <w:r>
        <w:rPr>
          <w:rFonts w:hint="eastAsia"/>
          <w:sz w:val="30"/>
          <w:szCs w:val="30"/>
        </w:rPr>
        <w:t>元及其他经营成本</w:t>
      </w:r>
      <w:r>
        <w:rPr>
          <w:rFonts w:hint="eastAsia"/>
          <w:sz w:val="30"/>
          <w:szCs w:val="30"/>
        </w:rPr>
        <w:t>179,715.42</w:t>
      </w:r>
      <w:r>
        <w:rPr>
          <w:rFonts w:hint="eastAsia"/>
          <w:sz w:val="30"/>
          <w:szCs w:val="30"/>
        </w:rPr>
        <w:t>元）。黛永公司质证认为，对房屋转租合同的真实性予以确认。对支出账目表的真实性不予认可，仅认可黛永公司的支出是</w:t>
      </w:r>
      <w:r>
        <w:rPr>
          <w:rFonts w:hint="eastAsia"/>
          <w:sz w:val="30"/>
          <w:szCs w:val="30"/>
        </w:rPr>
        <w:t>450,000</w:t>
      </w:r>
      <w:r>
        <w:rPr>
          <w:rFonts w:hint="eastAsia"/>
          <w:sz w:val="30"/>
          <w:szCs w:val="30"/>
        </w:rPr>
        <w:t>元。结合举证及质证意见，本院认证如下：鉴于周婷自行制作的支出账目表并未附相对应的原始财务凭证，故对于黛永公司在</w:t>
      </w:r>
      <w:r>
        <w:rPr>
          <w:rFonts w:hint="eastAsia"/>
          <w:sz w:val="30"/>
          <w:szCs w:val="30"/>
        </w:rPr>
        <w:t>2017</w:t>
      </w:r>
      <w:r>
        <w:rPr>
          <w:rFonts w:hint="eastAsia"/>
          <w:sz w:val="30"/>
          <w:szCs w:val="30"/>
        </w:rPr>
        <w:t>年</w:t>
      </w:r>
      <w:r>
        <w:rPr>
          <w:rFonts w:hint="eastAsia"/>
          <w:sz w:val="30"/>
          <w:szCs w:val="30"/>
        </w:rPr>
        <w:t>6</w:t>
      </w:r>
      <w:r>
        <w:rPr>
          <w:rFonts w:hint="eastAsia"/>
          <w:sz w:val="30"/>
          <w:szCs w:val="30"/>
        </w:rPr>
        <w:t>月至</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月支出的精确金额，本院亦无法据此作出判定，但结合黛永公司的实际经营时间及黛永公司的确认，本院对于黛永公司认可的支出即</w:t>
      </w:r>
      <w:r>
        <w:rPr>
          <w:rFonts w:hint="eastAsia"/>
          <w:sz w:val="30"/>
          <w:szCs w:val="30"/>
        </w:rPr>
        <w:t>450,000</w:t>
      </w:r>
      <w:r>
        <w:rPr>
          <w:rFonts w:hint="eastAsia"/>
          <w:sz w:val="30"/>
          <w:szCs w:val="30"/>
        </w:rPr>
        <w:t>元予以确</w:t>
      </w:r>
      <w:r>
        <w:rPr>
          <w:rFonts w:hint="eastAsia"/>
          <w:sz w:val="30"/>
          <w:szCs w:val="30"/>
        </w:rPr>
        <w:t>认。</w:t>
      </w:r>
    </w:p>
    <w:p w:rsidR="00000000" w:rsidRDefault="00785BA4">
      <w:pPr>
        <w:spacing w:line="500" w:lineRule="atLeast"/>
        <w:ind w:firstLine="600"/>
        <w:divId w:val="1217353175"/>
        <w:rPr>
          <w:rFonts w:hint="eastAsia"/>
          <w:sz w:val="30"/>
          <w:szCs w:val="30"/>
        </w:rPr>
      </w:pPr>
      <w:r>
        <w:rPr>
          <w:rFonts w:hint="eastAsia"/>
          <w:sz w:val="30"/>
          <w:szCs w:val="30"/>
        </w:rPr>
        <w:t>二审中，黛永公司未提交新的证据。</w:t>
      </w:r>
    </w:p>
    <w:p w:rsidR="00000000" w:rsidRDefault="00785BA4">
      <w:pPr>
        <w:spacing w:line="500" w:lineRule="atLeast"/>
        <w:ind w:firstLine="600"/>
        <w:divId w:val="1236628928"/>
        <w:rPr>
          <w:rFonts w:hint="eastAsia"/>
          <w:sz w:val="30"/>
          <w:szCs w:val="30"/>
        </w:rPr>
      </w:pPr>
      <w:r>
        <w:rPr>
          <w:rFonts w:hint="eastAsia"/>
          <w:sz w:val="30"/>
          <w:szCs w:val="30"/>
        </w:rPr>
        <w:t>本院经审理查明</w:t>
      </w:r>
      <w:r>
        <w:rPr>
          <w:rFonts w:hint="eastAsia"/>
          <w:sz w:val="30"/>
          <w:szCs w:val="30"/>
        </w:rPr>
        <w:t>,</w:t>
      </w:r>
      <w:r>
        <w:rPr>
          <w:rFonts w:hint="eastAsia"/>
          <w:sz w:val="30"/>
          <w:szCs w:val="30"/>
        </w:rPr>
        <w:t>一审法院查明的事实均属实</w:t>
      </w:r>
      <w:r>
        <w:rPr>
          <w:rFonts w:hint="eastAsia"/>
          <w:sz w:val="30"/>
          <w:szCs w:val="30"/>
        </w:rPr>
        <w:t>,</w:t>
      </w:r>
      <w:r>
        <w:rPr>
          <w:rFonts w:hint="eastAsia"/>
          <w:sz w:val="30"/>
          <w:szCs w:val="30"/>
        </w:rPr>
        <w:t>本院予以确认。</w:t>
      </w:r>
    </w:p>
    <w:p w:rsidR="00000000" w:rsidRDefault="00785BA4">
      <w:pPr>
        <w:spacing w:line="500" w:lineRule="atLeast"/>
        <w:ind w:firstLine="600"/>
        <w:divId w:val="2039508516"/>
        <w:rPr>
          <w:rFonts w:hint="eastAsia"/>
          <w:sz w:val="30"/>
          <w:szCs w:val="30"/>
        </w:rPr>
      </w:pPr>
      <w:r>
        <w:rPr>
          <w:rFonts w:hint="eastAsia"/>
          <w:sz w:val="30"/>
          <w:szCs w:val="30"/>
        </w:rPr>
        <w:t>本院另查明，黛永公司在一审中提交的“门店营业概况统计表”显示：</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3</w:t>
      </w:r>
      <w:r>
        <w:rPr>
          <w:rFonts w:hint="eastAsia"/>
          <w:sz w:val="30"/>
          <w:szCs w:val="30"/>
        </w:rPr>
        <w:t>日至</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13</w:t>
      </w:r>
      <w:r>
        <w:rPr>
          <w:rFonts w:hint="eastAsia"/>
          <w:sz w:val="30"/>
          <w:szCs w:val="30"/>
        </w:rPr>
        <w:t>日黛永公司的现金</w:t>
      </w:r>
      <w:r>
        <w:rPr>
          <w:rFonts w:hint="eastAsia"/>
          <w:sz w:val="30"/>
          <w:szCs w:val="30"/>
        </w:rPr>
        <w:t>14,326.32</w:t>
      </w:r>
      <w:r>
        <w:rPr>
          <w:rFonts w:hint="eastAsia"/>
          <w:sz w:val="30"/>
          <w:szCs w:val="30"/>
        </w:rPr>
        <w:t>元、</w:t>
      </w:r>
      <w:r>
        <w:rPr>
          <w:rFonts w:hint="eastAsia"/>
          <w:sz w:val="30"/>
          <w:szCs w:val="30"/>
        </w:rPr>
        <w:t>POS</w:t>
      </w:r>
      <w:r>
        <w:rPr>
          <w:rFonts w:hint="eastAsia"/>
          <w:sz w:val="30"/>
          <w:szCs w:val="30"/>
        </w:rPr>
        <w:t>机</w:t>
      </w:r>
      <w:r>
        <w:rPr>
          <w:rFonts w:hint="eastAsia"/>
          <w:sz w:val="30"/>
          <w:szCs w:val="30"/>
        </w:rPr>
        <w:t>215,604.81</w:t>
      </w:r>
      <w:r>
        <w:rPr>
          <w:rFonts w:hint="eastAsia"/>
          <w:sz w:val="30"/>
          <w:szCs w:val="30"/>
        </w:rPr>
        <w:t>元、会员卡耗</w:t>
      </w:r>
      <w:r>
        <w:rPr>
          <w:rFonts w:hint="eastAsia"/>
          <w:sz w:val="30"/>
          <w:szCs w:val="30"/>
        </w:rPr>
        <w:t>210,038.59</w:t>
      </w:r>
      <w:r>
        <w:rPr>
          <w:rFonts w:hint="eastAsia"/>
          <w:sz w:val="30"/>
          <w:szCs w:val="30"/>
        </w:rPr>
        <w:t>元、微信支付</w:t>
      </w:r>
      <w:r>
        <w:rPr>
          <w:rFonts w:hint="eastAsia"/>
          <w:sz w:val="30"/>
          <w:szCs w:val="30"/>
        </w:rPr>
        <w:t>55,638.72</w:t>
      </w:r>
      <w:r>
        <w:rPr>
          <w:rFonts w:hint="eastAsia"/>
          <w:sz w:val="30"/>
          <w:szCs w:val="30"/>
        </w:rPr>
        <w:t>元、团购</w:t>
      </w:r>
      <w:r>
        <w:rPr>
          <w:rFonts w:hint="eastAsia"/>
          <w:sz w:val="30"/>
          <w:szCs w:val="30"/>
        </w:rPr>
        <w:t>4,998</w:t>
      </w:r>
      <w:r>
        <w:rPr>
          <w:rFonts w:hint="eastAsia"/>
          <w:sz w:val="30"/>
          <w:szCs w:val="30"/>
        </w:rPr>
        <w:t>元、支付宝</w:t>
      </w:r>
      <w:r>
        <w:rPr>
          <w:rFonts w:hint="eastAsia"/>
          <w:sz w:val="30"/>
          <w:szCs w:val="30"/>
        </w:rPr>
        <w:t>133,117.75</w:t>
      </w:r>
      <w:r>
        <w:rPr>
          <w:rFonts w:hint="eastAsia"/>
          <w:sz w:val="30"/>
          <w:szCs w:val="30"/>
        </w:rPr>
        <w:t>元、赠品核销</w:t>
      </w:r>
      <w:r>
        <w:rPr>
          <w:rFonts w:hint="eastAsia"/>
          <w:sz w:val="30"/>
          <w:szCs w:val="30"/>
        </w:rPr>
        <w:t>3,022.80</w:t>
      </w:r>
      <w:r>
        <w:rPr>
          <w:rFonts w:hint="eastAsia"/>
          <w:sz w:val="30"/>
          <w:szCs w:val="30"/>
        </w:rPr>
        <w:t>元、减免</w:t>
      </w:r>
      <w:r>
        <w:rPr>
          <w:rFonts w:hint="eastAsia"/>
          <w:sz w:val="30"/>
          <w:szCs w:val="30"/>
        </w:rPr>
        <w:t>2,911.70</w:t>
      </w:r>
      <w:r>
        <w:rPr>
          <w:rFonts w:hint="eastAsia"/>
          <w:sz w:val="30"/>
          <w:szCs w:val="30"/>
        </w:rPr>
        <w:t>元、欠款</w:t>
      </w:r>
      <w:r>
        <w:rPr>
          <w:rFonts w:hint="eastAsia"/>
          <w:sz w:val="30"/>
          <w:szCs w:val="30"/>
        </w:rPr>
        <w:t>183.23</w:t>
      </w:r>
      <w:r>
        <w:rPr>
          <w:rFonts w:hint="eastAsia"/>
          <w:sz w:val="30"/>
          <w:szCs w:val="30"/>
        </w:rPr>
        <w:t>元，合计为</w:t>
      </w:r>
      <w:r>
        <w:rPr>
          <w:rFonts w:hint="eastAsia"/>
          <w:sz w:val="30"/>
          <w:szCs w:val="30"/>
        </w:rPr>
        <w:t>639,841.92</w:t>
      </w:r>
      <w:r>
        <w:rPr>
          <w:rFonts w:hint="eastAsia"/>
          <w:sz w:val="30"/>
          <w:szCs w:val="30"/>
        </w:rPr>
        <w:t>元，在该表格的首部载明总卡耗</w:t>
      </w:r>
      <w:r>
        <w:rPr>
          <w:rFonts w:hint="eastAsia"/>
          <w:sz w:val="30"/>
          <w:szCs w:val="30"/>
        </w:rPr>
        <w:t>213</w:t>
      </w:r>
      <w:r>
        <w:rPr>
          <w:rFonts w:hint="eastAsia"/>
          <w:sz w:val="30"/>
          <w:szCs w:val="30"/>
        </w:rPr>
        <w:t>,061.39</w:t>
      </w:r>
      <w:r>
        <w:rPr>
          <w:rFonts w:hint="eastAsia"/>
          <w:sz w:val="30"/>
          <w:szCs w:val="30"/>
        </w:rPr>
        <w:t>元，总收入（业绩）</w:t>
      </w:r>
      <w:r>
        <w:rPr>
          <w:rFonts w:hint="eastAsia"/>
          <w:sz w:val="30"/>
          <w:szCs w:val="30"/>
        </w:rPr>
        <w:t>423,685.60</w:t>
      </w:r>
      <w:r>
        <w:rPr>
          <w:rFonts w:hint="eastAsia"/>
          <w:sz w:val="30"/>
          <w:szCs w:val="30"/>
        </w:rPr>
        <w:t>元，欠款</w:t>
      </w:r>
      <w:r>
        <w:rPr>
          <w:rFonts w:hint="eastAsia"/>
          <w:sz w:val="30"/>
          <w:szCs w:val="30"/>
        </w:rPr>
        <w:t>183.23</w:t>
      </w:r>
      <w:r>
        <w:rPr>
          <w:rFonts w:hint="eastAsia"/>
          <w:sz w:val="30"/>
          <w:szCs w:val="30"/>
        </w:rPr>
        <w:t>元。</w:t>
      </w:r>
    </w:p>
    <w:p w:rsidR="00000000" w:rsidRDefault="00785BA4">
      <w:pPr>
        <w:spacing w:line="500" w:lineRule="atLeast"/>
        <w:ind w:firstLine="600"/>
        <w:divId w:val="197550939"/>
        <w:rPr>
          <w:rFonts w:hint="eastAsia"/>
          <w:sz w:val="30"/>
          <w:szCs w:val="30"/>
        </w:rPr>
      </w:pPr>
      <w:r>
        <w:rPr>
          <w:rFonts w:hint="eastAsia"/>
          <w:sz w:val="30"/>
          <w:szCs w:val="30"/>
        </w:rPr>
        <w:t>本院认为，关于本案的审理范围，黛永公司坚持在本案中一并审理其第</w:t>
      </w:r>
      <w:r>
        <w:rPr>
          <w:rFonts w:hint="eastAsia"/>
          <w:sz w:val="30"/>
          <w:szCs w:val="30"/>
        </w:rPr>
        <w:t>2</w:t>
      </w:r>
      <w:r>
        <w:rPr>
          <w:rFonts w:hint="eastAsia"/>
          <w:sz w:val="30"/>
          <w:szCs w:val="30"/>
        </w:rPr>
        <w:t>项诉讼请求，本院经审查一审案卷发现，由于黛永公司的第</w:t>
      </w:r>
      <w:r>
        <w:rPr>
          <w:rFonts w:hint="eastAsia"/>
          <w:sz w:val="30"/>
          <w:szCs w:val="30"/>
        </w:rPr>
        <w:t>1</w:t>
      </w:r>
      <w:r>
        <w:rPr>
          <w:rFonts w:hint="eastAsia"/>
          <w:sz w:val="30"/>
          <w:szCs w:val="30"/>
        </w:rPr>
        <w:t>、第</w:t>
      </w:r>
      <w:r>
        <w:rPr>
          <w:rFonts w:hint="eastAsia"/>
          <w:sz w:val="30"/>
          <w:szCs w:val="30"/>
        </w:rPr>
        <w:t>3</w:t>
      </w:r>
      <w:r>
        <w:rPr>
          <w:rFonts w:hint="eastAsia"/>
          <w:sz w:val="30"/>
          <w:szCs w:val="30"/>
        </w:rPr>
        <w:t>项诉讼请求是基于黛永公司主张周婷存在侵权并据此要求周婷返还相应财物，而黛永公司的第</w:t>
      </w:r>
      <w:r>
        <w:rPr>
          <w:rFonts w:hint="eastAsia"/>
          <w:sz w:val="30"/>
          <w:szCs w:val="30"/>
        </w:rPr>
        <w:t>3</w:t>
      </w:r>
      <w:r>
        <w:rPr>
          <w:rFonts w:hint="eastAsia"/>
          <w:sz w:val="30"/>
          <w:szCs w:val="30"/>
        </w:rPr>
        <w:t>项诉讼请求则是基于周婷存在违反竞业禁止义务而要求行使归入权，显然两者的请求权基础并不一致，一审法院在审理中已向黛永公司明确第</w:t>
      </w:r>
      <w:r>
        <w:rPr>
          <w:rFonts w:hint="eastAsia"/>
          <w:sz w:val="30"/>
          <w:szCs w:val="30"/>
        </w:rPr>
        <w:t>2</w:t>
      </w:r>
      <w:r>
        <w:rPr>
          <w:rFonts w:hint="eastAsia"/>
          <w:sz w:val="30"/>
          <w:szCs w:val="30"/>
        </w:rPr>
        <w:t>项诉讼请求并非本案的审理范围，且对此亦未进行审查，故本院二审亦仅针对黛永公司的第</w:t>
      </w:r>
      <w:r>
        <w:rPr>
          <w:rFonts w:hint="eastAsia"/>
          <w:sz w:val="30"/>
          <w:szCs w:val="30"/>
        </w:rPr>
        <w:t>1</w:t>
      </w:r>
      <w:r>
        <w:rPr>
          <w:rFonts w:hint="eastAsia"/>
          <w:sz w:val="30"/>
          <w:szCs w:val="30"/>
        </w:rPr>
        <w:t>、</w:t>
      </w:r>
      <w:r>
        <w:rPr>
          <w:rFonts w:hint="eastAsia"/>
          <w:sz w:val="30"/>
          <w:szCs w:val="30"/>
        </w:rPr>
        <w:t>3</w:t>
      </w:r>
      <w:r>
        <w:rPr>
          <w:rFonts w:hint="eastAsia"/>
          <w:sz w:val="30"/>
          <w:szCs w:val="30"/>
        </w:rPr>
        <w:t>项诉讼请求进行</w:t>
      </w:r>
      <w:r>
        <w:rPr>
          <w:rFonts w:hint="eastAsia"/>
          <w:sz w:val="30"/>
          <w:szCs w:val="30"/>
        </w:rPr>
        <w:t>审理。当然，本院亦注意到，一审法院虽明确并未审查黛永公司的第</w:t>
      </w:r>
      <w:r>
        <w:rPr>
          <w:rFonts w:hint="eastAsia"/>
          <w:sz w:val="30"/>
          <w:szCs w:val="30"/>
        </w:rPr>
        <w:t>2</w:t>
      </w:r>
      <w:r>
        <w:rPr>
          <w:rFonts w:hint="eastAsia"/>
          <w:sz w:val="30"/>
          <w:szCs w:val="30"/>
        </w:rPr>
        <w:t>项诉讼请求，但又在“本院认为”中对第</w:t>
      </w:r>
      <w:r>
        <w:rPr>
          <w:rFonts w:hint="eastAsia"/>
          <w:sz w:val="30"/>
          <w:szCs w:val="30"/>
        </w:rPr>
        <w:t>2</w:t>
      </w:r>
      <w:r>
        <w:rPr>
          <w:rFonts w:hint="eastAsia"/>
          <w:sz w:val="30"/>
          <w:szCs w:val="30"/>
        </w:rPr>
        <w:t>项诉讼请求进行评判，确有不妥，本院在此予以纠正，据此，本院认为，一审判决主文第</w:t>
      </w:r>
      <w:r>
        <w:rPr>
          <w:rFonts w:hint="eastAsia"/>
          <w:sz w:val="30"/>
          <w:szCs w:val="30"/>
        </w:rPr>
        <w:t>3</w:t>
      </w:r>
      <w:r>
        <w:rPr>
          <w:rFonts w:hint="eastAsia"/>
          <w:sz w:val="30"/>
          <w:szCs w:val="30"/>
        </w:rPr>
        <w:t>项所驳回的黛永公司的其余诉讼请求中不应包括黛永公司在本案中的第</w:t>
      </w:r>
      <w:r>
        <w:rPr>
          <w:rFonts w:hint="eastAsia"/>
          <w:sz w:val="30"/>
          <w:szCs w:val="30"/>
        </w:rPr>
        <w:t>2</w:t>
      </w:r>
      <w:r>
        <w:rPr>
          <w:rFonts w:hint="eastAsia"/>
          <w:sz w:val="30"/>
          <w:szCs w:val="30"/>
        </w:rPr>
        <w:t>项诉讼请求，黛永公司可依法另案主张。鉴于一审法院对第</w:t>
      </w:r>
      <w:r>
        <w:rPr>
          <w:rFonts w:hint="eastAsia"/>
          <w:sz w:val="30"/>
          <w:szCs w:val="30"/>
        </w:rPr>
        <w:t>2</w:t>
      </w:r>
      <w:r>
        <w:rPr>
          <w:rFonts w:hint="eastAsia"/>
          <w:sz w:val="30"/>
          <w:szCs w:val="30"/>
        </w:rPr>
        <w:t>项诉讼请求未予审查，故对该部分诉讼请求所对应的案件受理费亦应向黛永公司退回，本院在此一并予以调整。</w:t>
      </w:r>
    </w:p>
    <w:p w:rsidR="00000000" w:rsidRDefault="00785BA4">
      <w:pPr>
        <w:spacing w:line="500" w:lineRule="atLeast"/>
        <w:ind w:firstLine="600"/>
        <w:divId w:val="924148620"/>
        <w:rPr>
          <w:rFonts w:hint="eastAsia"/>
          <w:sz w:val="30"/>
          <w:szCs w:val="30"/>
        </w:rPr>
      </w:pPr>
      <w:r>
        <w:rPr>
          <w:rFonts w:hint="eastAsia"/>
          <w:sz w:val="30"/>
          <w:szCs w:val="30"/>
        </w:rPr>
        <w:t>关于黛永公司要求周婷归还相关物品的诉讼请求，因各方当事人均未在二审中对此再提异议，故本院依法予以维持。本院二审的争</w:t>
      </w:r>
      <w:r>
        <w:rPr>
          <w:rFonts w:hint="eastAsia"/>
          <w:sz w:val="30"/>
          <w:szCs w:val="30"/>
        </w:rPr>
        <w:t>议在于，黛永公司诉请要求周婷返还</w:t>
      </w:r>
      <w:r>
        <w:rPr>
          <w:rFonts w:hint="eastAsia"/>
          <w:sz w:val="30"/>
          <w:szCs w:val="30"/>
        </w:rPr>
        <w:t>639,841.92</w:t>
      </w:r>
      <w:r>
        <w:rPr>
          <w:rFonts w:hint="eastAsia"/>
          <w:sz w:val="30"/>
          <w:szCs w:val="30"/>
        </w:rPr>
        <w:t>元的认定。因黛永公司在经营过程中并无规范的财务记录，股东王凌裕、周婷对于黛永公司的收支存有分歧，而本案并非公司清算，故本院仅针对黛永公司的主张予以审查。鉴于各方当事人对于使用周婷尾号为</w:t>
      </w:r>
      <w:r>
        <w:rPr>
          <w:rFonts w:hint="eastAsia"/>
          <w:sz w:val="30"/>
          <w:szCs w:val="30"/>
        </w:rPr>
        <w:t>9029</w:t>
      </w:r>
      <w:r>
        <w:rPr>
          <w:rFonts w:hint="eastAsia"/>
          <w:sz w:val="30"/>
          <w:szCs w:val="30"/>
        </w:rPr>
        <w:t>银行卡进行公司钱款流转的事实予以确认，故一审法院判令周婷将该卡中的剩余款项</w:t>
      </w:r>
      <w:r>
        <w:rPr>
          <w:rFonts w:hint="eastAsia"/>
          <w:sz w:val="30"/>
          <w:szCs w:val="30"/>
        </w:rPr>
        <w:t>1,773.80</w:t>
      </w:r>
      <w:r>
        <w:rPr>
          <w:rFonts w:hint="eastAsia"/>
          <w:sz w:val="30"/>
          <w:szCs w:val="30"/>
        </w:rPr>
        <w:t>元返还给黛永公司，有事实依据，本院亦予以维持。为查明周婷收取黛永公司款项的具体金额，黛永公司在一、二审中均要求法院依职权调取周婷的微信、支付宝等个人账户从而查明周婷收取相关款项的</w:t>
      </w:r>
      <w:r>
        <w:rPr>
          <w:rFonts w:hint="eastAsia"/>
          <w:sz w:val="30"/>
          <w:szCs w:val="30"/>
        </w:rPr>
        <w:t>金额，对此，本院认为，黛永公司的此项请求是基于黛永公司怀疑周婷有可能在收到款项后未入账的基础之上的，但根据民事案件“谁主张、谁举证的”的举证规则，在黛永公司未提供任何证据的情形下提出此项请求，缺乏法律依据，一审法院未予准许，符合法律规定，本院予以认同。而黛永公司要求周婷返还</w:t>
      </w:r>
      <w:r>
        <w:rPr>
          <w:rFonts w:hint="eastAsia"/>
          <w:sz w:val="30"/>
          <w:szCs w:val="30"/>
        </w:rPr>
        <w:t>639,841.92</w:t>
      </w:r>
      <w:r>
        <w:rPr>
          <w:rFonts w:hint="eastAsia"/>
          <w:sz w:val="30"/>
          <w:szCs w:val="30"/>
        </w:rPr>
        <w:t>元的依据，是其在一审中提供的“门店营业概况统计表”中所列的合计金额，周婷则认为，该表中仅列明收入部分</w:t>
      </w:r>
      <w:r>
        <w:rPr>
          <w:rFonts w:hint="eastAsia"/>
          <w:sz w:val="30"/>
          <w:szCs w:val="30"/>
        </w:rPr>
        <w:t>,</w:t>
      </w:r>
      <w:r>
        <w:rPr>
          <w:rFonts w:hint="eastAsia"/>
          <w:sz w:val="30"/>
          <w:szCs w:val="30"/>
        </w:rPr>
        <w:t>而黛永公司的支出大于收入，故其不应承担返还责任。对此，本院认为，从“门店营业概况统计表”载明的内容来看，黛永公司主张</w:t>
      </w:r>
      <w:r>
        <w:rPr>
          <w:rFonts w:hint="eastAsia"/>
          <w:sz w:val="30"/>
          <w:szCs w:val="30"/>
        </w:rPr>
        <w:t>的金额仅是根据各项金额所罗列的总额，并不能反映公司的全部收支情况，而结合该表格中载明的内容来看，该表格所载明的黛永公司的收入部分为</w:t>
      </w:r>
      <w:r>
        <w:rPr>
          <w:rFonts w:hint="eastAsia"/>
          <w:sz w:val="30"/>
          <w:szCs w:val="30"/>
        </w:rPr>
        <w:t>423,685.60</w:t>
      </w:r>
      <w:r>
        <w:rPr>
          <w:rFonts w:hint="eastAsia"/>
          <w:sz w:val="30"/>
          <w:szCs w:val="30"/>
        </w:rPr>
        <w:t>元，而周婷提供的支出帐目表及黛永公司的确认来看</w:t>
      </w:r>
      <w:r>
        <w:rPr>
          <w:rFonts w:hint="eastAsia"/>
          <w:sz w:val="30"/>
          <w:szCs w:val="30"/>
        </w:rPr>
        <w:t>,</w:t>
      </w:r>
      <w:r>
        <w:rPr>
          <w:rFonts w:hint="eastAsia"/>
          <w:sz w:val="30"/>
          <w:szCs w:val="30"/>
        </w:rPr>
        <w:t>黛永公司的支出至少存在</w:t>
      </w:r>
      <w:r>
        <w:rPr>
          <w:rFonts w:hint="eastAsia"/>
          <w:sz w:val="30"/>
          <w:szCs w:val="30"/>
        </w:rPr>
        <w:t>450,000</w:t>
      </w:r>
      <w:r>
        <w:rPr>
          <w:rFonts w:hint="eastAsia"/>
          <w:sz w:val="30"/>
          <w:szCs w:val="30"/>
        </w:rPr>
        <w:t>元，故黛永公司以该表中所列的合计</w:t>
      </w:r>
      <w:r>
        <w:rPr>
          <w:rFonts w:hint="eastAsia"/>
          <w:sz w:val="30"/>
          <w:szCs w:val="30"/>
        </w:rPr>
        <w:t>639,841.92</w:t>
      </w:r>
      <w:r>
        <w:rPr>
          <w:rFonts w:hint="eastAsia"/>
          <w:sz w:val="30"/>
          <w:szCs w:val="30"/>
        </w:rPr>
        <w:t>元金额要求周婷承担返还责任的上诉主张，无事实依据，本院不予支持。</w:t>
      </w:r>
    </w:p>
    <w:p w:rsidR="00000000" w:rsidRDefault="00785BA4">
      <w:pPr>
        <w:spacing w:line="500" w:lineRule="atLeast"/>
        <w:ind w:firstLine="600"/>
        <w:divId w:val="98567167"/>
        <w:rPr>
          <w:rFonts w:hint="eastAsia"/>
          <w:sz w:val="30"/>
          <w:szCs w:val="30"/>
        </w:rPr>
      </w:pPr>
      <w:r>
        <w:rPr>
          <w:rFonts w:hint="eastAsia"/>
          <w:sz w:val="30"/>
          <w:szCs w:val="30"/>
        </w:rPr>
        <w:t>关于黛永公司要求酷指公司承担连带责任的上诉请求，一审法院对此已作详细评述，本院予以认同，在此不再赘述。</w:t>
      </w:r>
    </w:p>
    <w:p w:rsidR="00000000" w:rsidRDefault="00785BA4">
      <w:pPr>
        <w:spacing w:line="500" w:lineRule="atLeast"/>
        <w:ind w:firstLine="600"/>
        <w:divId w:val="1247810510"/>
        <w:rPr>
          <w:rFonts w:hint="eastAsia"/>
          <w:sz w:val="30"/>
          <w:szCs w:val="30"/>
        </w:rPr>
      </w:pPr>
      <w:r>
        <w:rPr>
          <w:rFonts w:hint="eastAsia"/>
          <w:sz w:val="30"/>
          <w:szCs w:val="30"/>
        </w:rPr>
        <w:t>综上，本院认为，黛永公司的上诉请求不能成立，应予驳回；一</w:t>
      </w:r>
      <w:r>
        <w:rPr>
          <w:rFonts w:hint="eastAsia"/>
          <w:sz w:val="30"/>
          <w:szCs w:val="30"/>
        </w:rPr>
        <w:t>审判决认定事实清楚，适用法律正确，应予维持。依照《中华人民共和国民事诉讼法》第一百七十条第一款第一项规定，判决如下：</w:t>
      </w:r>
    </w:p>
    <w:p w:rsidR="00000000" w:rsidRDefault="00785BA4">
      <w:pPr>
        <w:spacing w:line="500" w:lineRule="atLeast"/>
        <w:ind w:firstLine="600"/>
        <w:divId w:val="1707414221"/>
        <w:rPr>
          <w:rFonts w:hint="eastAsia"/>
          <w:sz w:val="30"/>
          <w:szCs w:val="30"/>
        </w:rPr>
      </w:pPr>
      <w:r>
        <w:rPr>
          <w:rFonts w:hint="eastAsia"/>
          <w:sz w:val="30"/>
          <w:szCs w:val="30"/>
        </w:rPr>
        <w:t>驳回上诉，维持原判。</w:t>
      </w:r>
    </w:p>
    <w:p w:rsidR="00000000" w:rsidRDefault="00785BA4">
      <w:pPr>
        <w:spacing w:line="500" w:lineRule="atLeast"/>
        <w:ind w:firstLine="600"/>
        <w:divId w:val="1608342511"/>
        <w:rPr>
          <w:rFonts w:hint="eastAsia"/>
          <w:sz w:val="30"/>
          <w:szCs w:val="30"/>
        </w:rPr>
      </w:pPr>
      <w:r>
        <w:rPr>
          <w:rFonts w:hint="eastAsia"/>
          <w:sz w:val="30"/>
          <w:szCs w:val="30"/>
        </w:rPr>
        <w:t>一审案件受理费</w:t>
      </w:r>
      <w:r>
        <w:rPr>
          <w:rFonts w:hint="eastAsia"/>
          <w:sz w:val="30"/>
          <w:szCs w:val="30"/>
        </w:rPr>
        <w:t>10,488</w:t>
      </w:r>
      <w:r>
        <w:rPr>
          <w:rFonts w:hint="eastAsia"/>
          <w:sz w:val="30"/>
          <w:szCs w:val="30"/>
        </w:rPr>
        <w:t>元，减半收取计</w:t>
      </w:r>
      <w:r>
        <w:rPr>
          <w:rFonts w:hint="eastAsia"/>
          <w:sz w:val="30"/>
          <w:szCs w:val="30"/>
        </w:rPr>
        <w:t>5,244</w:t>
      </w:r>
      <w:r>
        <w:rPr>
          <w:rFonts w:hint="eastAsia"/>
          <w:sz w:val="30"/>
          <w:szCs w:val="30"/>
        </w:rPr>
        <w:t>元，由上诉人上海黛永企业管理有限公司负担</w:t>
      </w:r>
      <w:r>
        <w:rPr>
          <w:rFonts w:hint="eastAsia"/>
          <w:sz w:val="30"/>
          <w:szCs w:val="30"/>
        </w:rPr>
        <w:t>5,003</w:t>
      </w:r>
      <w:r>
        <w:rPr>
          <w:rFonts w:hint="eastAsia"/>
          <w:sz w:val="30"/>
          <w:szCs w:val="30"/>
        </w:rPr>
        <w:t>元，由周婷负担</w:t>
      </w:r>
      <w:r>
        <w:rPr>
          <w:rFonts w:hint="eastAsia"/>
          <w:sz w:val="30"/>
          <w:szCs w:val="30"/>
        </w:rPr>
        <w:t>241</w:t>
      </w:r>
      <w:r>
        <w:rPr>
          <w:rFonts w:hint="eastAsia"/>
          <w:sz w:val="30"/>
          <w:szCs w:val="30"/>
        </w:rPr>
        <w:t>元；二审案件受理费</w:t>
      </w:r>
      <w:r>
        <w:rPr>
          <w:rFonts w:hint="eastAsia"/>
          <w:sz w:val="30"/>
          <w:szCs w:val="30"/>
        </w:rPr>
        <w:t>10,180</w:t>
      </w:r>
      <w:r>
        <w:rPr>
          <w:rFonts w:hint="eastAsia"/>
          <w:sz w:val="30"/>
          <w:szCs w:val="30"/>
        </w:rPr>
        <w:t>元，由上诉人上海黛永企业管理有限公司负担。</w:t>
      </w:r>
    </w:p>
    <w:p w:rsidR="00000000" w:rsidRDefault="00785BA4">
      <w:pPr>
        <w:spacing w:line="500" w:lineRule="atLeast"/>
        <w:ind w:firstLine="600"/>
        <w:divId w:val="2026058771"/>
        <w:rPr>
          <w:rFonts w:hint="eastAsia"/>
          <w:sz w:val="30"/>
          <w:szCs w:val="30"/>
        </w:rPr>
      </w:pPr>
      <w:r>
        <w:rPr>
          <w:rFonts w:hint="eastAsia"/>
          <w:sz w:val="30"/>
          <w:szCs w:val="30"/>
        </w:rPr>
        <w:t>本判决为终审判决。</w:t>
      </w:r>
    </w:p>
    <w:p w:rsidR="00000000" w:rsidRDefault="00785BA4">
      <w:pPr>
        <w:spacing w:line="500" w:lineRule="atLeast"/>
        <w:jc w:val="right"/>
        <w:divId w:val="1156190723"/>
        <w:rPr>
          <w:rFonts w:hint="eastAsia"/>
          <w:sz w:val="30"/>
          <w:szCs w:val="30"/>
        </w:rPr>
      </w:pPr>
      <w:r>
        <w:rPr>
          <w:rFonts w:hint="eastAsia"/>
          <w:sz w:val="30"/>
          <w:szCs w:val="30"/>
        </w:rPr>
        <w:t>审判长　　陆文芳</w:t>
      </w:r>
    </w:p>
    <w:p w:rsidR="00000000" w:rsidRDefault="00785BA4">
      <w:pPr>
        <w:spacing w:line="500" w:lineRule="atLeast"/>
        <w:jc w:val="right"/>
        <w:divId w:val="319191323"/>
        <w:rPr>
          <w:rFonts w:hint="eastAsia"/>
          <w:sz w:val="30"/>
          <w:szCs w:val="30"/>
        </w:rPr>
      </w:pPr>
      <w:r>
        <w:rPr>
          <w:rFonts w:hint="eastAsia"/>
          <w:sz w:val="30"/>
          <w:szCs w:val="30"/>
        </w:rPr>
        <w:t>审判员　　何　玲</w:t>
      </w:r>
    </w:p>
    <w:p w:rsidR="00000000" w:rsidRDefault="00785BA4">
      <w:pPr>
        <w:spacing w:line="500" w:lineRule="atLeast"/>
        <w:jc w:val="right"/>
        <w:divId w:val="890531980"/>
        <w:rPr>
          <w:rFonts w:hint="eastAsia"/>
          <w:sz w:val="30"/>
          <w:szCs w:val="30"/>
        </w:rPr>
      </w:pPr>
      <w:r>
        <w:rPr>
          <w:rFonts w:hint="eastAsia"/>
          <w:sz w:val="30"/>
          <w:szCs w:val="30"/>
        </w:rPr>
        <w:t>审判员　　卢　颖</w:t>
      </w:r>
    </w:p>
    <w:p w:rsidR="00000000" w:rsidRDefault="00785BA4">
      <w:pPr>
        <w:spacing w:line="500" w:lineRule="atLeast"/>
        <w:jc w:val="right"/>
        <w:divId w:val="1257976130"/>
        <w:rPr>
          <w:rFonts w:hint="eastAsia"/>
          <w:sz w:val="30"/>
          <w:szCs w:val="30"/>
        </w:rPr>
      </w:pPr>
      <w:r>
        <w:rPr>
          <w:rFonts w:hint="eastAsia"/>
          <w:sz w:val="30"/>
          <w:szCs w:val="30"/>
        </w:rPr>
        <w:t>二〇一九年五月二十四日</w:t>
      </w:r>
    </w:p>
    <w:p w:rsidR="00000000" w:rsidRDefault="00785BA4">
      <w:pPr>
        <w:spacing w:line="500" w:lineRule="atLeast"/>
        <w:jc w:val="right"/>
        <w:divId w:val="1185828748"/>
        <w:rPr>
          <w:rFonts w:hint="eastAsia"/>
          <w:sz w:val="30"/>
          <w:szCs w:val="30"/>
        </w:rPr>
      </w:pPr>
      <w:r>
        <w:rPr>
          <w:rFonts w:hint="eastAsia"/>
          <w:sz w:val="30"/>
          <w:szCs w:val="30"/>
        </w:rPr>
        <w:t>书记员　　程勇跃</w:t>
      </w:r>
    </w:p>
    <w:p w:rsidR="00000000" w:rsidRDefault="00785BA4">
      <w:pPr>
        <w:spacing w:line="500" w:lineRule="atLeast"/>
        <w:ind w:firstLine="600"/>
        <w:divId w:val="1427917286"/>
        <w:rPr>
          <w:rFonts w:hint="eastAsia"/>
          <w:sz w:val="30"/>
          <w:szCs w:val="30"/>
        </w:rPr>
      </w:pPr>
      <w:r>
        <w:rPr>
          <w:rFonts w:hint="eastAsia"/>
          <w:sz w:val="30"/>
          <w:szCs w:val="30"/>
        </w:rPr>
        <w:t>附：相关法律条文</w:t>
      </w:r>
    </w:p>
    <w:p w:rsidR="00000000" w:rsidRDefault="00785BA4">
      <w:pPr>
        <w:spacing w:line="500" w:lineRule="atLeast"/>
        <w:ind w:firstLine="600"/>
        <w:divId w:val="369845670"/>
        <w:rPr>
          <w:rFonts w:hint="eastAsia"/>
          <w:sz w:val="30"/>
          <w:szCs w:val="30"/>
        </w:rPr>
      </w:pPr>
      <w:r>
        <w:rPr>
          <w:rFonts w:hint="eastAsia"/>
          <w:sz w:val="30"/>
          <w:szCs w:val="30"/>
        </w:rPr>
        <w:t>《中华人民共和国民事诉讼法》第一百七十条第二</w:t>
      </w:r>
      <w:r>
        <w:rPr>
          <w:rFonts w:hint="eastAsia"/>
          <w:sz w:val="30"/>
          <w:szCs w:val="30"/>
        </w:rPr>
        <w:t>审人民法院对上诉案件，经过审理，按照下列情形，分别处理：（一）原判决、裁定认定事实清楚，适用法律正确的，以判决、裁定方式驳回上诉，维持原判决、裁定；……</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5BA4" w:rsidRDefault="00785BA4" w:rsidP="00785BA4">
      <w:r>
        <w:separator/>
      </w:r>
    </w:p>
  </w:endnote>
  <w:endnote w:type="continuationSeparator" w:id="0">
    <w:p w:rsidR="00785BA4" w:rsidRDefault="00785BA4" w:rsidP="00785B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5BA4" w:rsidRDefault="00785BA4" w:rsidP="00785BA4">
      <w:r>
        <w:separator/>
      </w:r>
    </w:p>
  </w:footnote>
  <w:footnote w:type="continuationSeparator" w:id="0">
    <w:p w:rsidR="00785BA4" w:rsidRDefault="00785BA4" w:rsidP="00785B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85BA4"/>
    <w:rsid w:val="00785B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785BA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85BA4"/>
    <w:rPr>
      <w:rFonts w:ascii="宋体" w:eastAsia="宋体" w:hAnsi="宋体" w:cs="宋体"/>
      <w:sz w:val="18"/>
      <w:szCs w:val="18"/>
    </w:rPr>
  </w:style>
  <w:style w:type="paragraph" w:styleId="a5">
    <w:name w:val="footer"/>
    <w:basedOn w:val="a"/>
    <w:link w:val="a6"/>
    <w:uiPriority w:val="99"/>
    <w:unhideWhenUsed/>
    <w:rsid w:val="00785BA4"/>
    <w:pPr>
      <w:tabs>
        <w:tab w:val="center" w:pos="4153"/>
        <w:tab w:val="right" w:pos="8306"/>
      </w:tabs>
      <w:snapToGrid w:val="0"/>
    </w:pPr>
    <w:rPr>
      <w:sz w:val="18"/>
      <w:szCs w:val="18"/>
    </w:rPr>
  </w:style>
  <w:style w:type="character" w:customStyle="1" w:styleId="a6">
    <w:name w:val="页脚 字符"/>
    <w:basedOn w:val="a0"/>
    <w:link w:val="a5"/>
    <w:uiPriority w:val="99"/>
    <w:rsid w:val="00785BA4"/>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77312">
      <w:marLeft w:val="0"/>
      <w:marRight w:val="0"/>
      <w:marTop w:val="10"/>
      <w:marBottom w:val="10"/>
      <w:divBdr>
        <w:top w:val="none" w:sz="0" w:space="0" w:color="auto"/>
        <w:left w:val="none" w:sz="0" w:space="0" w:color="auto"/>
        <w:bottom w:val="none" w:sz="0" w:space="0" w:color="auto"/>
        <w:right w:val="none" w:sz="0" w:space="0" w:color="auto"/>
      </w:divBdr>
    </w:div>
    <w:div w:id="98567167">
      <w:marLeft w:val="0"/>
      <w:marRight w:val="0"/>
      <w:marTop w:val="10"/>
      <w:marBottom w:val="10"/>
      <w:divBdr>
        <w:top w:val="none" w:sz="0" w:space="0" w:color="auto"/>
        <w:left w:val="none" w:sz="0" w:space="0" w:color="auto"/>
        <w:bottom w:val="none" w:sz="0" w:space="0" w:color="auto"/>
        <w:right w:val="none" w:sz="0" w:space="0" w:color="auto"/>
      </w:divBdr>
    </w:div>
    <w:div w:id="174224082">
      <w:marLeft w:val="0"/>
      <w:marRight w:val="0"/>
      <w:marTop w:val="10"/>
      <w:marBottom w:val="10"/>
      <w:divBdr>
        <w:top w:val="none" w:sz="0" w:space="0" w:color="auto"/>
        <w:left w:val="none" w:sz="0" w:space="0" w:color="auto"/>
        <w:bottom w:val="none" w:sz="0" w:space="0" w:color="auto"/>
        <w:right w:val="none" w:sz="0" w:space="0" w:color="auto"/>
      </w:divBdr>
    </w:div>
    <w:div w:id="176309081">
      <w:marLeft w:val="0"/>
      <w:marRight w:val="0"/>
      <w:marTop w:val="10"/>
      <w:marBottom w:val="10"/>
      <w:divBdr>
        <w:top w:val="none" w:sz="0" w:space="0" w:color="auto"/>
        <w:left w:val="none" w:sz="0" w:space="0" w:color="auto"/>
        <w:bottom w:val="none" w:sz="0" w:space="0" w:color="auto"/>
        <w:right w:val="none" w:sz="0" w:space="0" w:color="auto"/>
      </w:divBdr>
    </w:div>
    <w:div w:id="197550939">
      <w:marLeft w:val="0"/>
      <w:marRight w:val="0"/>
      <w:marTop w:val="10"/>
      <w:marBottom w:val="10"/>
      <w:divBdr>
        <w:top w:val="none" w:sz="0" w:space="0" w:color="auto"/>
        <w:left w:val="none" w:sz="0" w:space="0" w:color="auto"/>
        <w:bottom w:val="none" w:sz="0" w:space="0" w:color="auto"/>
        <w:right w:val="none" w:sz="0" w:space="0" w:color="auto"/>
      </w:divBdr>
    </w:div>
    <w:div w:id="319191323">
      <w:marLeft w:val="0"/>
      <w:marRight w:val="720"/>
      <w:marTop w:val="10"/>
      <w:marBottom w:val="10"/>
      <w:divBdr>
        <w:top w:val="none" w:sz="0" w:space="0" w:color="auto"/>
        <w:left w:val="none" w:sz="0" w:space="0" w:color="auto"/>
        <w:bottom w:val="none" w:sz="0" w:space="0" w:color="auto"/>
        <w:right w:val="none" w:sz="0" w:space="0" w:color="auto"/>
      </w:divBdr>
    </w:div>
    <w:div w:id="361975411">
      <w:marLeft w:val="0"/>
      <w:marRight w:val="0"/>
      <w:marTop w:val="10"/>
      <w:marBottom w:val="10"/>
      <w:divBdr>
        <w:top w:val="none" w:sz="0" w:space="0" w:color="auto"/>
        <w:left w:val="none" w:sz="0" w:space="0" w:color="auto"/>
        <w:bottom w:val="none" w:sz="0" w:space="0" w:color="auto"/>
        <w:right w:val="none" w:sz="0" w:space="0" w:color="auto"/>
      </w:divBdr>
    </w:div>
    <w:div w:id="369845670">
      <w:marLeft w:val="0"/>
      <w:marRight w:val="0"/>
      <w:marTop w:val="10"/>
      <w:marBottom w:val="10"/>
      <w:divBdr>
        <w:top w:val="none" w:sz="0" w:space="0" w:color="auto"/>
        <w:left w:val="none" w:sz="0" w:space="0" w:color="auto"/>
        <w:bottom w:val="none" w:sz="0" w:space="0" w:color="auto"/>
        <w:right w:val="none" w:sz="0" w:space="0" w:color="auto"/>
      </w:divBdr>
    </w:div>
    <w:div w:id="509830563">
      <w:marLeft w:val="0"/>
      <w:marRight w:val="0"/>
      <w:marTop w:val="10"/>
      <w:marBottom w:val="10"/>
      <w:divBdr>
        <w:top w:val="none" w:sz="0" w:space="0" w:color="auto"/>
        <w:left w:val="none" w:sz="0" w:space="0" w:color="auto"/>
        <w:bottom w:val="none" w:sz="0" w:space="0" w:color="auto"/>
        <w:right w:val="none" w:sz="0" w:space="0" w:color="auto"/>
      </w:divBdr>
    </w:div>
    <w:div w:id="625821139">
      <w:marLeft w:val="0"/>
      <w:marRight w:val="0"/>
      <w:marTop w:val="10"/>
      <w:marBottom w:val="10"/>
      <w:divBdr>
        <w:top w:val="none" w:sz="0" w:space="0" w:color="auto"/>
        <w:left w:val="none" w:sz="0" w:space="0" w:color="auto"/>
        <w:bottom w:val="none" w:sz="0" w:space="0" w:color="auto"/>
        <w:right w:val="none" w:sz="0" w:space="0" w:color="auto"/>
      </w:divBdr>
    </w:div>
    <w:div w:id="740521364">
      <w:marLeft w:val="0"/>
      <w:marRight w:val="0"/>
      <w:marTop w:val="10"/>
      <w:marBottom w:val="10"/>
      <w:divBdr>
        <w:top w:val="none" w:sz="0" w:space="0" w:color="auto"/>
        <w:left w:val="none" w:sz="0" w:space="0" w:color="auto"/>
        <w:bottom w:val="none" w:sz="0" w:space="0" w:color="auto"/>
        <w:right w:val="none" w:sz="0" w:space="0" w:color="auto"/>
      </w:divBdr>
    </w:div>
    <w:div w:id="890531980">
      <w:marLeft w:val="0"/>
      <w:marRight w:val="720"/>
      <w:marTop w:val="10"/>
      <w:marBottom w:val="10"/>
      <w:divBdr>
        <w:top w:val="none" w:sz="0" w:space="0" w:color="auto"/>
        <w:left w:val="none" w:sz="0" w:space="0" w:color="auto"/>
        <w:bottom w:val="none" w:sz="0" w:space="0" w:color="auto"/>
        <w:right w:val="none" w:sz="0" w:space="0" w:color="auto"/>
      </w:divBdr>
    </w:div>
    <w:div w:id="890919543">
      <w:marLeft w:val="0"/>
      <w:marRight w:val="0"/>
      <w:marTop w:val="10"/>
      <w:marBottom w:val="10"/>
      <w:divBdr>
        <w:top w:val="none" w:sz="0" w:space="0" w:color="auto"/>
        <w:left w:val="none" w:sz="0" w:space="0" w:color="auto"/>
        <w:bottom w:val="none" w:sz="0" w:space="0" w:color="auto"/>
        <w:right w:val="none" w:sz="0" w:space="0" w:color="auto"/>
      </w:divBdr>
    </w:div>
    <w:div w:id="924148620">
      <w:marLeft w:val="0"/>
      <w:marRight w:val="0"/>
      <w:marTop w:val="10"/>
      <w:marBottom w:val="10"/>
      <w:divBdr>
        <w:top w:val="none" w:sz="0" w:space="0" w:color="auto"/>
        <w:left w:val="none" w:sz="0" w:space="0" w:color="auto"/>
        <w:bottom w:val="none" w:sz="0" w:space="0" w:color="auto"/>
        <w:right w:val="none" w:sz="0" w:space="0" w:color="auto"/>
      </w:divBdr>
    </w:div>
    <w:div w:id="929504386">
      <w:marLeft w:val="0"/>
      <w:marRight w:val="0"/>
      <w:marTop w:val="10"/>
      <w:marBottom w:val="10"/>
      <w:divBdr>
        <w:top w:val="none" w:sz="0" w:space="0" w:color="auto"/>
        <w:left w:val="none" w:sz="0" w:space="0" w:color="auto"/>
        <w:bottom w:val="none" w:sz="0" w:space="0" w:color="auto"/>
        <w:right w:val="none" w:sz="0" w:space="0" w:color="auto"/>
      </w:divBdr>
    </w:div>
    <w:div w:id="931544110">
      <w:marLeft w:val="0"/>
      <w:marRight w:val="0"/>
      <w:marTop w:val="10"/>
      <w:marBottom w:val="10"/>
      <w:divBdr>
        <w:top w:val="none" w:sz="0" w:space="0" w:color="auto"/>
        <w:left w:val="none" w:sz="0" w:space="0" w:color="auto"/>
        <w:bottom w:val="none" w:sz="0" w:space="0" w:color="auto"/>
        <w:right w:val="none" w:sz="0" w:space="0" w:color="auto"/>
      </w:divBdr>
    </w:div>
    <w:div w:id="1039551645">
      <w:marLeft w:val="0"/>
      <w:marRight w:val="0"/>
      <w:marTop w:val="10"/>
      <w:marBottom w:val="10"/>
      <w:divBdr>
        <w:top w:val="none" w:sz="0" w:space="0" w:color="auto"/>
        <w:left w:val="none" w:sz="0" w:space="0" w:color="auto"/>
        <w:bottom w:val="none" w:sz="0" w:space="0" w:color="auto"/>
        <w:right w:val="none" w:sz="0" w:space="0" w:color="auto"/>
      </w:divBdr>
    </w:div>
    <w:div w:id="1063600946">
      <w:marLeft w:val="0"/>
      <w:marRight w:val="0"/>
      <w:marTop w:val="10"/>
      <w:marBottom w:val="10"/>
      <w:divBdr>
        <w:top w:val="none" w:sz="0" w:space="0" w:color="auto"/>
        <w:left w:val="none" w:sz="0" w:space="0" w:color="auto"/>
        <w:bottom w:val="none" w:sz="0" w:space="0" w:color="auto"/>
        <w:right w:val="none" w:sz="0" w:space="0" w:color="auto"/>
      </w:divBdr>
    </w:div>
    <w:div w:id="1086003480">
      <w:marLeft w:val="0"/>
      <w:marRight w:val="0"/>
      <w:marTop w:val="10"/>
      <w:marBottom w:val="10"/>
      <w:divBdr>
        <w:top w:val="none" w:sz="0" w:space="0" w:color="auto"/>
        <w:left w:val="none" w:sz="0" w:space="0" w:color="auto"/>
        <w:bottom w:val="none" w:sz="0" w:space="0" w:color="auto"/>
        <w:right w:val="none" w:sz="0" w:space="0" w:color="auto"/>
      </w:divBdr>
    </w:div>
    <w:div w:id="1105614369">
      <w:marLeft w:val="0"/>
      <w:marRight w:val="0"/>
      <w:marTop w:val="10"/>
      <w:marBottom w:val="10"/>
      <w:divBdr>
        <w:top w:val="none" w:sz="0" w:space="0" w:color="auto"/>
        <w:left w:val="none" w:sz="0" w:space="0" w:color="auto"/>
        <w:bottom w:val="none" w:sz="0" w:space="0" w:color="auto"/>
        <w:right w:val="none" w:sz="0" w:space="0" w:color="auto"/>
      </w:divBdr>
    </w:div>
    <w:div w:id="1121993852">
      <w:marLeft w:val="0"/>
      <w:marRight w:val="0"/>
      <w:marTop w:val="10"/>
      <w:marBottom w:val="10"/>
      <w:divBdr>
        <w:top w:val="none" w:sz="0" w:space="0" w:color="auto"/>
        <w:left w:val="none" w:sz="0" w:space="0" w:color="auto"/>
        <w:bottom w:val="none" w:sz="0" w:space="0" w:color="auto"/>
        <w:right w:val="none" w:sz="0" w:space="0" w:color="auto"/>
      </w:divBdr>
    </w:div>
    <w:div w:id="1156190723">
      <w:marLeft w:val="0"/>
      <w:marRight w:val="720"/>
      <w:marTop w:val="10"/>
      <w:marBottom w:val="10"/>
      <w:divBdr>
        <w:top w:val="none" w:sz="0" w:space="0" w:color="auto"/>
        <w:left w:val="none" w:sz="0" w:space="0" w:color="auto"/>
        <w:bottom w:val="none" w:sz="0" w:space="0" w:color="auto"/>
        <w:right w:val="none" w:sz="0" w:space="0" w:color="auto"/>
      </w:divBdr>
    </w:div>
    <w:div w:id="1185828748">
      <w:marLeft w:val="0"/>
      <w:marRight w:val="720"/>
      <w:marTop w:val="10"/>
      <w:marBottom w:val="10"/>
      <w:divBdr>
        <w:top w:val="none" w:sz="0" w:space="0" w:color="auto"/>
        <w:left w:val="none" w:sz="0" w:space="0" w:color="auto"/>
        <w:bottom w:val="none" w:sz="0" w:space="0" w:color="auto"/>
        <w:right w:val="none" w:sz="0" w:space="0" w:color="auto"/>
      </w:divBdr>
    </w:div>
    <w:div w:id="1193375152">
      <w:marLeft w:val="0"/>
      <w:marRight w:val="0"/>
      <w:marTop w:val="10"/>
      <w:marBottom w:val="10"/>
      <w:divBdr>
        <w:top w:val="none" w:sz="0" w:space="0" w:color="auto"/>
        <w:left w:val="none" w:sz="0" w:space="0" w:color="auto"/>
        <w:bottom w:val="none" w:sz="0" w:space="0" w:color="auto"/>
        <w:right w:val="none" w:sz="0" w:space="0" w:color="auto"/>
      </w:divBdr>
    </w:div>
    <w:div w:id="1217353175">
      <w:marLeft w:val="0"/>
      <w:marRight w:val="0"/>
      <w:marTop w:val="10"/>
      <w:marBottom w:val="10"/>
      <w:divBdr>
        <w:top w:val="none" w:sz="0" w:space="0" w:color="auto"/>
        <w:left w:val="none" w:sz="0" w:space="0" w:color="auto"/>
        <w:bottom w:val="none" w:sz="0" w:space="0" w:color="auto"/>
        <w:right w:val="none" w:sz="0" w:space="0" w:color="auto"/>
      </w:divBdr>
    </w:div>
    <w:div w:id="1223755720">
      <w:marLeft w:val="0"/>
      <w:marRight w:val="0"/>
      <w:marTop w:val="10"/>
      <w:marBottom w:val="10"/>
      <w:divBdr>
        <w:top w:val="none" w:sz="0" w:space="0" w:color="auto"/>
        <w:left w:val="none" w:sz="0" w:space="0" w:color="auto"/>
        <w:bottom w:val="none" w:sz="0" w:space="0" w:color="auto"/>
        <w:right w:val="none" w:sz="0" w:space="0" w:color="auto"/>
      </w:divBdr>
    </w:div>
    <w:div w:id="1236628928">
      <w:marLeft w:val="0"/>
      <w:marRight w:val="0"/>
      <w:marTop w:val="10"/>
      <w:marBottom w:val="10"/>
      <w:divBdr>
        <w:top w:val="none" w:sz="0" w:space="0" w:color="auto"/>
        <w:left w:val="none" w:sz="0" w:space="0" w:color="auto"/>
        <w:bottom w:val="none" w:sz="0" w:space="0" w:color="auto"/>
        <w:right w:val="none" w:sz="0" w:space="0" w:color="auto"/>
      </w:divBdr>
    </w:div>
    <w:div w:id="1247810510">
      <w:marLeft w:val="0"/>
      <w:marRight w:val="0"/>
      <w:marTop w:val="10"/>
      <w:marBottom w:val="10"/>
      <w:divBdr>
        <w:top w:val="none" w:sz="0" w:space="0" w:color="auto"/>
        <w:left w:val="none" w:sz="0" w:space="0" w:color="auto"/>
        <w:bottom w:val="none" w:sz="0" w:space="0" w:color="auto"/>
        <w:right w:val="none" w:sz="0" w:space="0" w:color="auto"/>
      </w:divBdr>
    </w:div>
    <w:div w:id="1257976130">
      <w:marLeft w:val="0"/>
      <w:marRight w:val="720"/>
      <w:marTop w:val="10"/>
      <w:marBottom w:val="10"/>
      <w:divBdr>
        <w:top w:val="none" w:sz="0" w:space="0" w:color="auto"/>
        <w:left w:val="none" w:sz="0" w:space="0" w:color="auto"/>
        <w:bottom w:val="none" w:sz="0" w:space="0" w:color="auto"/>
        <w:right w:val="none" w:sz="0" w:space="0" w:color="auto"/>
      </w:divBdr>
    </w:div>
    <w:div w:id="1279753822">
      <w:marLeft w:val="0"/>
      <w:marRight w:val="0"/>
      <w:marTop w:val="10"/>
      <w:marBottom w:val="10"/>
      <w:divBdr>
        <w:top w:val="none" w:sz="0" w:space="0" w:color="auto"/>
        <w:left w:val="none" w:sz="0" w:space="0" w:color="auto"/>
        <w:bottom w:val="none" w:sz="0" w:space="0" w:color="auto"/>
        <w:right w:val="none" w:sz="0" w:space="0" w:color="auto"/>
      </w:divBdr>
    </w:div>
    <w:div w:id="1425416055">
      <w:marLeft w:val="0"/>
      <w:marRight w:val="0"/>
      <w:marTop w:val="10"/>
      <w:marBottom w:val="10"/>
      <w:divBdr>
        <w:top w:val="none" w:sz="0" w:space="0" w:color="auto"/>
        <w:left w:val="none" w:sz="0" w:space="0" w:color="auto"/>
        <w:bottom w:val="none" w:sz="0" w:space="0" w:color="auto"/>
        <w:right w:val="none" w:sz="0" w:space="0" w:color="auto"/>
      </w:divBdr>
    </w:div>
    <w:div w:id="1427917286">
      <w:marLeft w:val="0"/>
      <w:marRight w:val="0"/>
      <w:marTop w:val="10"/>
      <w:marBottom w:val="10"/>
      <w:divBdr>
        <w:top w:val="none" w:sz="0" w:space="0" w:color="auto"/>
        <w:left w:val="none" w:sz="0" w:space="0" w:color="auto"/>
        <w:bottom w:val="none" w:sz="0" w:space="0" w:color="auto"/>
        <w:right w:val="none" w:sz="0" w:space="0" w:color="auto"/>
      </w:divBdr>
    </w:div>
    <w:div w:id="1442072702">
      <w:marLeft w:val="0"/>
      <w:marRight w:val="0"/>
      <w:marTop w:val="10"/>
      <w:marBottom w:val="10"/>
      <w:divBdr>
        <w:top w:val="none" w:sz="0" w:space="0" w:color="auto"/>
        <w:left w:val="none" w:sz="0" w:space="0" w:color="auto"/>
        <w:bottom w:val="none" w:sz="0" w:space="0" w:color="auto"/>
        <w:right w:val="none" w:sz="0" w:space="0" w:color="auto"/>
      </w:divBdr>
    </w:div>
    <w:div w:id="1447038405">
      <w:marLeft w:val="0"/>
      <w:marRight w:val="0"/>
      <w:marTop w:val="10"/>
      <w:marBottom w:val="10"/>
      <w:divBdr>
        <w:top w:val="none" w:sz="0" w:space="0" w:color="auto"/>
        <w:left w:val="none" w:sz="0" w:space="0" w:color="auto"/>
        <w:bottom w:val="none" w:sz="0" w:space="0" w:color="auto"/>
        <w:right w:val="none" w:sz="0" w:space="0" w:color="auto"/>
      </w:divBdr>
    </w:div>
    <w:div w:id="1608342511">
      <w:marLeft w:val="0"/>
      <w:marRight w:val="0"/>
      <w:marTop w:val="10"/>
      <w:marBottom w:val="10"/>
      <w:divBdr>
        <w:top w:val="none" w:sz="0" w:space="0" w:color="auto"/>
        <w:left w:val="none" w:sz="0" w:space="0" w:color="auto"/>
        <w:bottom w:val="none" w:sz="0" w:space="0" w:color="auto"/>
        <w:right w:val="none" w:sz="0" w:space="0" w:color="auto"/>
      </w:divBdr>
    </w:div>
    <w:div w:id="1632439675">
      <w:marLeft w:val="0"/>
      <w:marRight w:val="0"/>
      <w:marTop w:val="10"/>
      <w:marBottom w:val="10"/>
      <w:divBdr>
        <w:top w:val="none" w:sz="0" w:space="0" w:color="auto"/>
        <w:left w:val="none" w:sz="0" w:space="0" w:color="auto"/>
        <w:bottom w:val="none" w:sz="0" w:space="0" w:color="auto"/>
        <w:right w:val="none" w:sz="0" w:space="0" w:color="auto"/>
      </w:divBdr>
    </w:div>
    <w:div w:id="1693653554">
      <w:marLeft w:val="0"/>
      <w:marRight w:val="0"/>
      <w:marTop w:val="10"/>
      <w:marBottom w:val="10"/>
      <w:divBdr>
        <w:top w:val="none" w:sz="0" w:space="0" w:color="auto"/>
        <w:left w:val="none" w:sz="0" w:space="0" w:color="auto"/>
        <w:bottom w:val="none" w:sz="0" w:space="0" w:color="auto"/>
        <w:right w:val="none" w:sz="0" w:space="0" w:color="auto"/>
      </w:divBdr>
    </w:div>
    <w:div w:id="1707414221">
      <w:marLeft w:val="0"/>
      <w:marRight w:val="0"/>
      <w:marTop w:val="10"/>
      <w:marBottom w:val="10"/>
      <w:divBdr>
        <w:top w:val="none" w:sz="0" w:space="0" w:color="auto"/>
        <w:left w:val="none" w:sz="0" w:space="0" w:color="auto"/>
        <w:bottom w:val="none" w:sz="0" w:space="0" w:color="auto"/>
        <w:right w:val="none" w:sz="0" w:space="0" w:color="auto"/>
      </w:divBdr>
    </w:div>
    <w:div w:id="1759522186">
      <w:marLeft w:val="0"/>
      <w:marRight w:val="0"/>
      <w:marTop w:val="10"/>
      <w:marBottom w:val="10"/>
      <w:divBdr>
        <w:top w:val="none" w:sz="0" w:space="0" w:color="auto"/>
        <w:left w:val="none" w:sz="0" w:space="0" w:color="auto"/>
        <w:bottom w:val="none" w:sz="0" w:space="0" w:color="auto"/>
        <w:right w:val="none" w:sz="0" w:space="0" w:color="auto"/>
      </w:divBdr>
    </w:div>
    <w:div w:id="1833176023">
      <w:marLeft w:val="0"/>
      <w:marRight w:val="0"/>
      <w:marTop w:val="10"/>
      <w:marBottom w:val="10"/>
      <w:divBdr>
        <w:top w:val="none" w:sz="0" w:space="0" w:color="auto"/>
        <w:left w:val="none" w:sz="0" w:space="0" w:color="auto"/>
        <w:bottom w:val="none" w:sz="0" w:space="0" w:color="auto"/>
        <w:right w:val="none" w:sz="0" w:space="0" w:color="auto"/>
      </w:divBdr>
    </w:div>
    <w:div w:id="1843348251">
      <w:marLeft w:val="0"/>
      <w:marRight w:val="0"/>
      <w:marTop w:val="10"/>
      <w:marBottom w:val="10"/>
      <w:divBdr>
        <w:top w:val="none" w:sz="0" w:space="0" w:color="auto"/>
        <w:left w:val="none" w:sz="0" w:space="0" w:color="auto"/>
        <w:bottom w:val="none" w:sz="0" w:space="0" w:color="auto"/>
        <w:right w:val="none" w:sz="0" w:space="0" w:color="auto"/>
      </w:divBdr>
    </w:div>
    <w:div w:id="1927110828">
      <w:marLeft w:val="0"/>
      <w:marRight w:val="0"/>
      <w:marTop w:val="10"/>
      <w:marBottom w:val="10"/>
      <w:divBdr>
        <w:top w:val="none" w:sz="0" w:space="0" w:color="auto"/>
        <w:left w:val="none" w:sz="0" w:space="0" w:color="auto"/>
        <w:bottom w:val="none" w:sz="0" w:space="0" w:color="auto"/>
        <w:right w:val="none" w:sz="0" w:space="0" w:color="auto"/>
      </w:divBdr>
    </w:div>
    <w:div w:id="2017461100">
      <w:marLeft w:val="0"/>
      <w:marRight w:val="0"/>
      <w:marTop w:val="10"/>
      <w:marBottom w:val="10"/>
      <w:divBdr>
        <w:top w:val="none" w:sz="0" w:space="0" w:color="auto"/>
        <w:left w:val="none" w:sz="0" w:space="0" w:color="auto"/>
        <w:bottom w:val="none" w:sz="0" w:space="0" w:color="auto"/>
        <w:right w:val="none" w:sz="0" w:space="0" w:color="auto"/>
      </w:divBdr>
    </w:div>
    <w:div w:id="2026058771">
      <w:marLeft w:val="0"/>
      <w:marRight w:val="0"/>
      <w:marTop w:val="10"/>
      <w:marBottom w:val="10"/>
      <w:divBdr>
        <w:top w:val="none" w:sz="0" w:space="0" w:color="auto"/>
        <w:left w:val="none" w:sz="0" w:space="0" w:color="auto"/>
        <w:bottom w:val="none" w:sz="0" w:space="0" w:color="auto"/>
        <w:right w:val="none" w:sz="0" w:space="0" w:color="auto"/>
      </w:divBdr>
    </w:div>
    <w:div w:id="2038189234">
      <w:marLeft w:val="0"/>
      <w:marRight w:val="0"/>
      <w:marTop w:val="10"/>
      <w:marBottom w:val="10"/>
      <w:divBdr>
        <w:top w:val="none" w:sz="0" w:space="0" w:color="auto"/>
        <w:left w:val="none" w:sz="0" w:space="0" w:color="auto"/>
        <w:bottom w:val="none" w:sz="0" w:space="0" w:color="auto"/>
        <w:right w:val="none" w:sz="0" w:space="0" w:color="auto"/>
      </w:divBdr>
    </w:div>
    <w:div w:id="2039508516">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994</Words>
  <Characters>5666</Characters>
  <Application>Microsoft Office Word</Application>
  <DocSecurity>0</DocSecurity>
  <Lines>47</Lines>
  <Paragraphs>13</Paragraphs>
  <ScaleCrop>false</ScaleCrop>
  <Company/>
  <LinksUpToDate>false</LinksUpToDate>
  <CharactersWithSpaces>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2021-12-15T08:45:00Z</dcterms:created>
  <dcterms:modified xsi:type="dcterms:W3CDTF">2021-12-15T08:45:00Z</dcterms:modified>
</cp:coreProperties>
</file>