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53AC7">
      <w:pPr>
        <w:spacing w:line="500" w:lineRule="atLeast"/>
        <w:jc w:val="center"/>
        <w:divId w:val="1428190734"/>
        <w:rPr>
          <w:rFonts w:ascii="黑体" w:eastAsia="黑体" w:hAnsi="黑体"/>
          <w:sz w:val="36"/>
          <w:szCs w:val="36"/>
        </w:rPr>
      </w:pPr>
      <w:bookmarkStart w:id="0" w:name="_GoBack"/>
      <w:bookmarkEnd w:id="0"/>
      <w:r>
        <w:rPr>
          <w:rFonts w:ascii="黑体" w:eastAsia="黑体" w:hAnsi="黑体" w:hint="eastAsia"/>
          <w:sz w:val="36"/>
          <w:szCs w:val="36"/>
        </w:rPr>
        <w:t>山东省乐陵市人民法院</w:t>
      </w:r>
    </w:p>
    <w:p w:rsidR="00000000" w:rsidRDefault="00A53AC7">
      <w:pPr>
        <w:spacing w:line="500" w:lineRule="atLeast"/>
        <w:jc w:val="center"/>
        <w:divId w:val="43964789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53AC7">
      <w:pPr>
        <w:spacing w:line="500" w:lineRule="atLeast"/>
        <w:jc w:val="right"/>
        <w:divId w:val="2063098130"/>
        <w:rPr>
          <w:rFonts w:hint="eastAsia"/>
          <w:sz w:val="30"/>
          <w:szCs w:val="30"/>
        </w:rPr>
      </w:pPr>
      <w:r>
        <w:rPr>
          <w:rFonts w:hint="eastAsia"/>
          <w:sz w:val="30"/>
          <w:szCs w:val="30"/>
        </w:rPr>
        <w:t>（</w:t>
      </w:r>
      <w:r>
        <w:rPr>
          <w:rFonts w:hint="eastAsia"/>
          <w:sz w:val="30"/>
          <w:szCs w:val="30"/>
        </w:rPr>
        <w:t>2021</w:t>
      </w:r>
      <w:r>
        <w:rPr>
          <w:rFonts w:hint="eastAsia"/>
          <w:sz w:val="30"/>
          <w:szCs w:val="30"/>
        </w:rPr>
        <w:t>）鲁</w:t>
      </w:r>
      <w:r>
        <w:rPr>
          <w:rFonts w:hint="eastAsia"/>
          <w:sz w:val="30"/>
          <w:szCs w:val="30"/>
        </w:rPr>
        <w:t>1481</w:t>
      </w:r>
      <w:r>
        <w:rPr>
          <w:rFonts w:hint="eastAsia"/>
          <w:sz w:val="30"/>
          <w:szCs w:val="30"/>
        </w:rPr>
        <w:t>民初</w:t>
      </w:r>
      <w:r>
        <w:rPr>
          <w:rFonts w:hint="eastAsia"/>
          <w:sz w:val="30"/>
          <w:szCs w:val="30"/>
        </w:rPr>
        <w:t>21</w:t>
      </w:r>
      <w:r>
        <w:rPr>
          <w:rFonts w:hint="eastAsia"/>
          <w:sz w:val="30"/>
          <w:szCs w:val="30"/>
        </w:rPr>
        <w:t>号</w:t>
      </w:r>
    </w:p>
    <w:p w:rsidR="00000000" w:rsidRDefault="00A53AC7">
      <w:pPr>
        <w:spacing w:line="500" w:lineRule="atLeast"/>
        <w:ind w:firstLine="600"/>
        <w:divId w:val="357967296"/>
        <w:rPr>
          <w:rFonts w:hint="eastAsia"/>
          <w:sz w:val="30"/>
          <w:szCs w:val="30"/>
        </w:rPr>
      </w:pPr>
      <w:r>
        <w:rPr>
          <w:rFonts w:hint="eastAsia"/>
          <w:sz w:val="30"/>
          <w:szCs w:val="30"/>
        </w:rPr>
        <w:t>原告：乐陵市津陵劳务经济技术有限责任公司，住所地乐陵市东环路东。</w:t>
      </w:r>
    </w:p>
    <w:p w:rsidR="00000000" w:rsidRDefault="00A53AC7">
      <w:pPr>
        <w:spacing w:line="500" w:lineRule="atLeast"/>
        <w:ind w:firstLine="600"/>
        <w:divId w:val="1442646918"/>
        <w:rPr>
          <w:rFonts w:hint="eastAsia"/>
          <w:sz w:val="30"/>
          <w:szCs w:val="30"/>
        </w:rPr>
      </w:pPr>
      <w:r>
        <w:rPr>
          <w:rFonts w:hint="eastAsia"/>
          <w:sz w:val="30"/>
          <w:szCs w:val="30"/>
        </w:rPr>
        <w:t>法定代表人：杨景成，职务经理。</w:t>
      </w:r>
    </w:p>
    <w:p w:rsidR="00000000" w:rsidRDefault="00A53AC7">
      <w:pPr>
        <w:spacing w:line="500" w:lineRule="atLeast"/>
        <w:ind w:firstLine="600"/>
        <w:divId w:val="401683432"/>
        <w:rPr>
          <w:rFonts w:hint="eastAsia"/>
          <w:sz w:val="30"/>
          <w:szCs w:val="30"/>
        </w:rPr>
      </w:pPr>
      <w:r>
        <w:rPr>
          <w:rFonts w:hint="eastAsia"/>
          <w:sz w:val="30"/>
          <w:szCs w:val="30"/>
        </w:rPr>
        <w:t>委托诉讼代理人：赵增国，山东浩鲁律师事务所律师。</w:t>
      </w:r>
    </w:p>
    <w:p w:rsidR="00000000" w:rsidRDefault="00A53AC7">
      <w:pPr>
        <w:spacing w:line="500" w:lineRule="atLeast"/>
        <w:ind w:firstLine="600"/>
        <w:divId w:val="1791512936"/>
        <w:rPr>
          <w:rFonts w:hint="eastAsia"/>
          <w:sz w:val="30"/>
          <w:szCs w:val="30"/>
        </w:rPr>
      </w:pPr>
      <w:r>
        <w:rPr>
          <w:rFonts w:hint="eastAsia"/>
          <w:sz w:val="30"/>
          <w:szCs w:val="30"/>
        </w:rPr>
        <w:t>被告：潘玉华，男，</w:t>
      </w:r>
      <w:r>
        <w:rPr>
          <w:rFonts w:hint="eastAsia"/>
          <w:sz w:val="30"/>
          <w:szCs w:val="30"/>
        </w:rPr>
        <w:t>1962</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日出生，汉族，户籍地乐陵市，现住天津市滨海新区。</w:t>
      </w:r>
    </w:p>
    <w:p w:rsidR="00000000" w:rsidRDefault="00A53AC7">
      <w:pPr>
        <w:spacing w:line="500" w:lineRule="atLeast"/>
        <w:ind w:firstLine="600"/>
        <w:divId w:val="673145038"/>
        <w:rPr>
          <w:rFonts w:hint="eastAsia"/>
          <w:sz w:val="30"/>
          <w:szCs w:val="30"/>
        </w:rPr>
      </w:pPr>
      <w:r>
        <w:rPr>
          <w:rFonts w:hint="eastAsia"/>
          <w:sz w:val="30"/>
          <w:szCs w:val="30"/>
        </w:rPr>
        <w:t>委托诉讼代理人：徐福荃，北京市中闻律师事务所律师。</w:t>
      </w:r>
    </w:p>
    <w:p w:rsidR="00000000" w:rsidRDefault="00A53AC7">
      <w:pPr>
        <w:spacing w:line="500" w:lineRule="atLeast"/>
        <w:ind w:firstLine="600"/>
        <w:divId w:val="1661999071"/>
        <w:rPr>
          <w:rFonts w:hint="eastAsia"/>
          <w:sz w:val="30"/>
          <w:szCs w:val="30"/>
        </w:rPr>
      </w:pPr>
      <w:r>
        <w:rPr>
          <w:rFonts w:hint="eastAsia"/>
          <w:sz w:val="30"/>
          <w:szCs w:val="30"/>
        </w:rPr>
        <w:t>委托诉讼代理人：于云斌，北京易准律师事务所律师。</w:t>
      </w:r>
    </w:p>
    <w:p w:rsidR="00000000" w:rsidRDefault="00A53AC7">
      <w:pPr>
        <w:spacing w:line="500" w:lineRule="atLeast"/>
        <w:ind w:firstLine="600"/>
        <w:divId w:val="1345129864"/>
        <w:rPr>
          <w:rFonts w:hint="eastAsia"/>
          <w:sz w:val="30"/>
          <w:szCs w:val="30"/>
        </w:rPr>
      </w:pPr>
      <w:r>
        <w:rPr>
          <w:rFonts w:hint="eastAsia"/>
          <w:sz w:val="30"/>
          <w:szCs w:val="30"/>
        </w:rPr>
        <w:t>原告乐陵市津陵劳务经济技术有限责任公司（以下简称津陵公司）与被告潘玉华为损害公司利益责任纠纷一案，本院于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日立案后，依法适用简易程序，公开开庭进行了审理。原告津陵公司的委托诉讼代理人赵增国，被告潘玉华的委托诉讼代理人徐福荃到庭参加诉讼。本案现已审理终结。</w:t>
      </w:r>
    </w:p>
    <w:p w:rsidR="00000000" w:rsidRDefault="00A53AC7">
      <w:pPr>
        <w:spacing w:line="500" w:lineRule="atLeast"/>
        <w:ind w:firstLine="600"/>
        <w:divId w:val="874276017"/>
        <w:rPr>
          <w:rFonts w:hint="eastAsia"/>
          <w:sz w:val="30"/>
          <w:szCs w:val="30"/>
        </w:rPr>
      </w:pPr>
      <w:r>
        <w:rPr>
          <w:rFonts w:hint="eastAsia"/>
          <w:sz w:val="30"/>
          <w:szCs w:val="30"/>
        </w:rPr>
        <w:t>津陵公司向本院提出诉讼请求：</w:t>
      </w:r>
      <w:r>
        <w:rPr>
          <w:rFonts w:hint="eastAsia"/>
          <w:sz w:val="30"/>
          <w:szCs w:val="30"/>
        </w:rPr>
        <w:t>1.</w:t>
      </w:r>
      <w:r>
        <w:rPr>
          <w:rFonts w:hint="eastAsia"/>
          <w:sz w:val="30"/>
          <w:szCs w:val="30"/>
        </w:rPr>
        <w:t>判令被告返还给原告陆运一队项目利润、兴港项目利润及公司职工保证金等共计</w:t>
      </w:r>
      <w:r>
        <w:rPr>
          <w:rFonts w:hint="eastAsia"/>
          <w:sz w:val="30"/>
          <w:szCs w:val="30"/>
        </w:rPr>
        <w:t>13846100.39</w:t>
      </w:r>
      <w:r>
        <w:rPr>
          <w:rFonts w:hint="eastAsia"/>
          <w:sz w:val="30"/>
          <w:szCs w:val="30"/>
        </w:rPr>
        <w:t>元；</w:t>
      </w:r>
      <w:r>
        <w:rPr>
          <w:rFonts w:hint="eastAsia"/>
          <w:sz w:val="30"/>
          <w:szCs w:val="30"/>
        </w:rPr>
        <w:t>2.</w:t>
      </w:r>
      <w:r>
        <w:rPr>
          <w:rFonts w:hint="eastAsia"/>
          <w:sz w:val="30"/>
          <w:szCs w:val="30"/>
        </w:rPr>
        <w:t>诉讼费用由被告承担。事实与理由：原告公司成立于</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日原告公司进行了变更登记</w:t>
      </w:r>
      <w:r>
        <w:rPr>
          <w:rFonts w:hint="eastAsia"/>
          <w:sz w:val="30"/>
          <w:szCs w:val="30"/>
        </w:rPr>
        <w:t>，公司股东变更为杨景城、潘玉华。自</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月起，原告公司由被告潘玉华实际控制和经营，原告公司的利润由被告潘玉华和杨景成按《公司管理及利润分配办法》进行分配。原告公司于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月承包了兴港项目，于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月承包了陆运一队项目，截止到</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月经审计上述两项目共计获得利润</w:t>
      </w:r>
      <w:r>
        <w:rPr>
          <w:rFonts w:hint="eastAsia"/>
          <w:sz w:val="30"/>
          <w:szCs w:val="30"/>
        </w:rPr>
        <w:t>12346100.39</w:t>
      </w:r>
      <w:r>
        <w:rPr>
          <w:rFonts w:hint="eastAsia"/>
          <w:sz w:val="30"/>
          <w:szCs w:val="30"/>
        </w:rPr>
        <w:t>元，被告潘玉华利用职务之便将上述利润全部转移到自己的银行卡上或自己控制的其妻子孙</w:t>
      </w:r>
      <w:r>
        <w:rPr>
          <w:rFonts w:hint="eastAsia"/>
          <w:sz w:val="30"/>
          <w:szCs w:val="30"/>
        </w:rPr>
        <w:lastRenderedPageBreak/>
        <w:t>俊荣、儿子潘浩的银行卡上，严重侵犯了原告公司的利益。另外，被告潘玉华还在自己成立天津自贸区玉浩诚劳务有限责任公司之时，将职</w:t>
      </w:r>
      <w:r>
        <w:rPr>
          <w:rFonts w:hint="eastAsia"/>
          <w:sz w:val="30"/>
          <w:szCs w:val="30"/>
        </w:rPr>
        <w:t>工交纳的保证金带走，现原告公司因被告原因已不再经营，原告公司通过自筹资金退还给工人</w:t>
      </w:r>
      <w:r>
        <w:rPr>
          <w:rFonts w:hint="eastAsia"/>
          <w:sz w:val="30"/>
          <w:szCs w:val="30"/>
        </w:rPr>
        <w:t>150</w:t>
      </w:r>
      <w:r>
        <w:rPr>
          <w:rFonts w:hint="eastAsia"/>
          <w:sz w:val="30"/>
          <w:szCs w:val="30"/>
        </w:rPr>
        <w:t>万元，被告带走职工保证金的做法也严重侵犯了公司的利益。另外，潘玉华利用报销的手段报销车位费</w:t>
      </w:r>
      <w:r>
        <w:rPr>
          <w:rFonts w:hint="eastAsia"/>
          <w:sz w:val="30"/>
          <w:szCs w:val="30"/>
        </w:rPr>
        <w:t>157500</w:t>
      </w:r>
      <w:r>
        <w:rPr>
          <w:rFonts w:hint="eastAsia"/>
          <w:sz w:val="30"/>
          <w:szCs w:val="30"/>
        </w:rPr>
        <w:t>元，属于损害公司利益行为。为此，依法向贵院提起诉讼，请依法裁判。</w:t>
      </w:r>
    </w:p>
    <w:p w:rsidR="00000000" w:rsidRDefault="00A53AC7">
      <w:pPr>
        <w:spacing w:line="500" w:lineRule="atLeast"/>
        <w:ind w:firstLine="600"/>
        <w:divId w:val="1978802936"/>
        <w:rPr>
          <w:rFonts w:hint="eastAsia"/>
          <w:sz w:val="30"/>
          <w:szCs w:val="30"/>
        </w:rPr>
      </w:pPr>
      <w:r>
        <w:rPr>
          <w:rFonts w:hint="eastAsia"/>
          <w:sz w:val="30"/>
          <w:szCs w:val="30"/>
        </w:rPr>
        <w:t>潘玉华辩称</w:t>
      </w:r>
      <w:r>
        <w:rPr>
          <w:rFonts w:hint="eastAsia"/>
          <w:sz w:val="30"/>
          <w:szCs w:val="30"/>
        </w:rPr>
        <w:t>,</w:t>
      </w:r>
      <w:r>
        <w:rPr>
          <w:rFonts w:hint="eastAsia"/>
          <w:sz w:val="30"/>
          <w:szCs w:val="30"/>
        </w:rPr>
        <w:t>一、津陵公司不是本案的适格原告。</w:t>
      </w:r>
      <w:r>
        <w:rPr>
          <w:rFonts w:hint="eastAsia"/>
          <w:sz w:val="30"/>
          <w:szCs w:val="30"/>
        </w:rPr>
        <w:t>1.</w:t>
      </w:r>
      <w:r>
        <w:rPr>
          <w:rFonts w:hint="eastAsia"/>
          <w:sz w:val="30"/>
          <w:szCs w:val="30"/>
        </w:rPr>
        <w:t>以公司名义起诉潘玉华并非津陵公司的真实意思表示。《中华人民共和国公司法》（以下简称公司法）第</w:t>
      </w:r>
      <w:r>
        <w:rPr>
          <w:rFonts w:hint="eastAsia"/>
          <w:sz w:val="30"/>
          <w:szCs w:val="30"/>
        </w:rPr>
        <w:t>36</w:t>
      </w:r>
      <w:r>
        <w:rPr>
          <w:rFonts w:hint="eastAsia"/>
          <w:sz w:val="30"/>
          <w:szCs w:val="30"/>
        </w:rPr>
        <w:t>条规定，“有限责任公司股东会由全体股东组成。股东会是公司的权力机构”。津陵公司的现有股东为潘玉华、杨景成，二人各</w:t>
      </w:r>
      <w:r>
        <w:rPr>
          <w:rFonts w:hint="eastAsia"/>
          <w:sz w:val="30"/>
          <w:szCs w:val="30"/>
        </w:rPr>
        <w:t>持股</w:t>
      </w:r>
      <w:r>
        <w:rPr>
          <w:rFonts w:hint="eastAsia"/>
          <w:sz w:val="30"/>
          <w:szCs w:val="30"/>
        </w:rPr>
        <w:t>50%</w:t>
      </w:r>
      <w:r>
        <w:rPr>
          <w:rFonts w:hint="eastAsia"/>
          <w:sz w:val="30"/>
          <w:szCs w:val="30"/>
        </w:rPr>
        <w:t>（《公司管理及利润分配办法》第一条）。</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公司管理及利润分配办法》（以下简称《办法》）签订以来，津陵公司的经营管理均由潘玉华一人负责，杨景成并未参与。津陵公司的起诉行为并没有经过股东会讨论通过，且杨景成的法定代表人资格不合法、潘玉华亦拒绝承认该资格，故起诉行为不能体现津陵公司的意志，与之前的刑事诉讼如出一辙，纯属津陵公司股东借助于公权力对另一股东施以打压或者报复。</w:t>
      </w:r>
      <w:r>
        <w:rPr>
          <w:rFonts w:hint="eastAsia"/>
          <w:sz w:val="30"/>
          <w:szCs w:val="30"/>
        </w:rPr>
        <w:t>2.</w:t>
      </w:r>
      <w:r>
        <w:rPr>
          <w:rFonts w:hint="eastAsia"/>
          <w:sz w:val="30"/>
          <w:szCs w:val="30"/>
        </w:rPr>
        <w:t>杨景成的法定代表人资格未经股东会同意、其公司股东资格未经正当的股权转让程序。</w:t>
      </w:r>
      <w:r>
        <w:rPr>
          <w:rFonts w:hint="eastAsia"/>
          <w:sz w:val="30"/>
          <w:szCs w:val="30"/>
        </w:rPr>
        <w:t>2010</w:t>
      </w:r>
      <w:r>
        <w:rPr>
          <w:rFonts w:hint="eastAsia"/>
          <w:sz w:val="30"/>
          <w:szCs w:val="30"/>
        </w:rPr>
        <w:t>年</w:t>
      </w:r>
      <w:r>
        <w:rPr>
          <w:rFonts w:hint="eastAsia"/>
          <w:sz w:val="30"/>
          <w:szCs w:val="30"/>
        </w:rPr>
        <w:t>3</w:t>
      </w:r>
      <w:r>
        <w:rPr>
          <w:rFonts w:hint="eastAsia"/>
          <w:sz w:val="30"/>
          <w:szCs w:val="30"/>
        </w:rPr>
        <w:t>月，杨景成以冒签、欺诈、隐瞒等</w:t>
      </w:r>
      <w:r>
        <w:rPr>
          <w:rFonts w:hint="eastAsia"/>
          <w:sz w:val="30"/>
          <w:szCs w:val="30"/>
        </w:rPr>
        <w:t>不法手段变更登记，从而获取津陵公司法定代表人资格，该行为不具合法性，理应不受法律保护。故杨景成根本无权代表津陵公司提起诉讼，且津陵公司起诉状上加盖的公章与津陵公司注册登记时备案的公章明显不一致，而津陵公司自成立以来其公章就一直由潘玉华保管和使用，在此提请法庭对杨景成股东及法定代表人资格以及起诉状上津陵公司的印章是否合法进行实</w:t>
      </w:r>
      <w:r>
        <w:rPr>
          <w:rFonts w:hint="eastAsia"/>
          <w:sz w:val="30"/>
          <w:szCs w:val="30"/>
        </w:rPr>
        <w:lastRenderedPageBreak/>
        <w:t>质审查，以决定本案是否成立。</w:t>
      </w:r>
      <w:r>
        <w:rPr>
          <w:rFonts w:hint="eastAsia"/>
          <w:sz w:val="30"/>
          <w:szCs w:val="30"/>
        </w:rPr>
        <w:t>3.</w:t>
      </w:r>
      <w:r>
        <w:rPr>
          <w:rFonts w:hint="eastAsia"/>
          <w:sz w:val="30"/>
          <w:szCs w:val="30"/>
        </w:rPr>
        <w:t>津陵公司无固定资产、无劳务人员、无经营税缴纳记录、更无劳务派遣资质，实则为一空壳公司。《办法》项下的业务均以乐陵市劳务经济技术开发总公司（以下简称乐陵总公</w:t>
      </w:r>
      <w:r>
        <w:rPr>
          <w:rFonts w:hint="eastAsia"/>
          <w:sz w:val="30"/>
          <w:szCs w:val="30"/>
        </w:rPr>
        <w:t>司）的名义签订劳务合同。该类业务亦以乐陵总公司储运分公司的名义记账、纳税，与津陵公司并无实质上、法律上的利害关系，且该类业务的管理费收入按照《办法》“三三四”比例的规定执行完毕，津陵公司名下必然无任何财产，原告主张的“损害公司利益”一说根本是无稽之谈。</w:t>
      </w:r>
      <w:r>
        <w:rPr>
          <w:rFonts w:hint="eastAsia"/>
          <w:sz w:val="30"/>
          <w:szCs w:val="30"/>
        </w:rPr>
        <w:t>4.</w:t>
      </w:r>
      <w:r>
        <w:rPr>
          <w:rFonts w:hint="eastAsia"/>
          <w:sz w:val="30"/>
          <w:szCs w:val="30"/>
        </w:rPr>
        <w:t>本案实质上是《办法》“</w:t>
      </w:r>
      <w:r>
        <w:rPr>
          <w:rFonts w:hint="eastAsia"/>
          <w:sz w:val="30"/>
          <w:szCs w:val="30"/>
        </w:rPr>
        <w:t>30%</w:t>
      </w:r>
      <w:r>
        <w:rPr>
          <w:rFonts w:hint="eastAsia"/>
          <w:sz w:val="30"/>
          <w:szCs w:val="30"/>
        </w:rPr>
        <w:t>分红＋</w:t>
      </w:r>
      <w:r>
        <w:rPr>
          <w:rFonts w:hint="eastAsia"/>
          <w:sz w:val="30"/>
          <w:szCs w:val="30"/>
        </w:rPr>
        <w:t>30%</w:t>
      </w:r>
      <w:r>
        <w:rPr>
          <w:rFonts w:hint="eastAsia"/>
          <w:sz w:val="30"/>
          <w:szCs w:val="30"/>
        </w:rPr>
        <w:t>分红＋</w:t>
      </w:r>
      <w:r>
        <w:rPr>
          <w:rFonts w:hint="eastAsia"/>
          <w:sz w:val="30"/>
          <w:szCs w:val="30"/>
        </w:rPr>
        <w:t>40%</w:t>
      </w:r>
      <w:r>
        <w:rPr>
          <w:rFonts w:hint="eastAsia"/>
          <w:sz w:val="30"/>
          <w:szCs w:val="30"/>
        </w:rPr>
        <w:t>成本”框架下津陵公司股东之间的利益纠纷。《办法》明确约定了津陵公司和潘玉华各自的权利和义务，以书面形式确认了潘玉华的独立经营管理权，也就是按照历史惯例，津陵公司采用内部承包经营这一经营模式。杨景成依据该《</w:t>
      </w:r>
      <w:r>
        <w:rPr>
          <w:rFonts w:hint="eastAsia"/>
          <w:sz w:val="30"/>
          <w:szCs w:val="30"/>
        </w:rPr>
        <w:t>办法》取得持有</w:t>
      </w:r>
      <w:r>
        <w:rPr>
          <w:rFonts w:hint="eastAsia"/>
          <w:sz w:val="30"/>
          <w:szCs w:val="30"/>
        </w:rPr>
        <w:t>50%</w:t>
      </w:r>
      <w:r>
        <w:rPr>
          <w:rFonts w:hint="eastAsia"/>
          <w:sz w:val="30"/>
          <w:szCs w:val="30"/>
        </w:rPr>
        <w:t>股权的权利，但其始终未参与公司经营管理，亦足以证实津陵公司实为空壳公司的事实。二、潘玉华不是本案的适格被告，</w:t>
      </w:r>
      <w:r>
        <w:rPr>
          <w:rFonts w:hint="eastAsia"/>
          <w:sz w:val="30"/>
          <w:szCs w:val="30"/>
        </w:rPr>
        <w:t>1.</w:t>
      </w:r>
      <w:r>
        <w:rPr>
          <w:rFonts w:hint="eastAsia"/>
          <w:sz w:val="30"/>
          <w:szCs w:val="30"/>
        </w:rPr>
        <w:t>《最高人民法院民事案件案由规定理解与适用》将处理“损害公司利益责任纠纷”以及“公司关联交易损害责任纠纷”的法律依据主要归纳为现行《公司法》的第</w:t>
      </w:r>
      <w:r>
        <w:rPr>
          <w:rFonts w:hint="eastAsia"/>
          <w:sz w:val="30"/>
          <w:szCs w:val="30"/>
        </w:rPr>
        <w:t>20</w:t>
      </w:r>
      <w:r>
        <w:rPr>
          <w:rFonts w:hint="eastAsia"/>
          <w:sz w:val="30"/>
          <w:szCs w:val="30"/>
        </w:rPr>
        <w:t>条的</w:t>
      </w:r>
      <w:r>
        <w:rPr>
          <w:rFonts w:hint="eastAsia"/>
          <w:sz w:val="30"/>
          <w:szCs w:val="30"/>
        </w:rPr>
        <w:t>1</w:t>
      </w:r>
      <w:r>
        <w:rPr>
          <w:rFonts w:hint="eastAsia"/>
          <w:sz w:val="30"/>
          <w:szCs w:val="30"/>
        </w:rPr>
        <w:t>、</w:t>
      </w:r>
      <w:r>
        <w:rPr>
          <w:rFonts w:hint="eastAsia"/>
          <w:sz w:val="30"/>
          <w:szCs w:val="30"/>
        </w:rPr>
        <w:t>2</w:t>
      </w:r>
      <w:r>
        <w:rPr>
          <w:rFonts w:hint="eastAsia"/>
          <w:sz w:val="30"/>
          <w:szCs w:val="30"/>
        </w:rPr>
        <w:t>款（禁止股东滥用权利原则以及赔偿责任）、第</w:t>
      </w:r>
      <w:r>
        <w:rPr>
          <w:rFonts w:hint="eastAsia"/>
          <w:sz w:val="30"/>
          <w:szCs w:val="30"/>
        </w:rPr>
        <w:t>21</w:t>
      </w:r>
      <w:r>
        <w:rPr>
          <w:rFonts w:hint="eastAsia"/>
          <w:sz w:val="30"/>
          <w:szCs w:val="30"/>
        </w:rPr>
        <w:t>条（公司控股股东、实际控制人及董监高人员禁止利用关联关系损害公司利益原则以及赔偿责任）、第</w:t>
      </w:r>
      <w:r>
        <w:rPr>
          <w:rFonts w:hint="eastAsia"/>
          <w:sz w:val="30"/>
          <w:szCs w:val="30"/>
        </w:rPr>
        <w:t>147-149</w:t>
      </w:r>
      <w:r>
        <w:rPr>
          <w:rFonts w:hint="eastAsia"/>
          <w:sz w:val="30"/>
          <w:szCs w:val="30"/>
        </w:rPr>
        <w:t>条（董监高的忠实勤勉义务、公司的归入权以及董监高的赔偿责任）、第</w:t>
      </w:r>
      <w:r>
        <w:rPr>
          <w:rFonts w:hint="eastAsia"/>
          <w:sz w:val="30"/>
          <w:szCs w:val="30"/>
        </w:rPr>
        <w:t>151</w:t>
      </w:r>
      <w:r>
        <w:rPr>
          <w:rFonts w:hint="eastAsia"/>
          <w:sz w:val="30"/>
          <w:szCs w:val="30"/>
        </w:rPr>
        <w:t>条（</w:t>
      </w:r>
      <w:r>
        <w:rPr>
          <w:rFonts w:hint="eastAsia"/>
          <w:sz w:val="30"/>
          <w:szCs w:val="30"/>
        </w:rPr>
        <w:t>董监高损害公司利益时，提起损害赔偿诉讼的主体），而按照《合同法》第</w:t>
      </w:r>
      <w:r>
        <w:rPr>
          <w:rFonts w:hint="eastAsia"/>
          <w:sz w:val="30"/>
          <w:szCs w:val="30"/>
        </w:rPr>
        <w:t>216</w:t>
      </w:r>
      <w:r>
        <w:rPr>
          <w:rFonts w:hint="eastAsia"/>
          <w:sz w:val="30"/>
          <w:szCs w:val="30"/>
        </w:rPr>
        <w:t>条第（一）项之规定，“高级管理人员，是指公司的经理、副经理、财务负责人，上市公司董事会秘书和公司章程规定的其他人员。”依据上述法律规定，潘玉华仅为津陵公司持股</w:t>
      </w:r>
      <w:r>
        <w:rPr>
          <w:rFonts w:hint="eastAsia"/>
          <w:sz w:val="30"/>
          <w:szCs w:val="30"/>
        </w:rPr>
        <w:t>50%</w:t>
      </w:r>
      <w:r>
        <w:rPr>
          <w:rFonts w:hint="eastAsia"/>
          <w:sz w:val="30"/>
          <w:szCs w:val="30"/>
        </w:rPr>
        <w:t>的股东，并不具备董事、监事的身份，亦未受聘任或者委任担任经理等高管职位，故其不具备损害公司利益的“侵权主体”资格。</w:t>
      </w:r>
      <w:r>
        <w:rPr>
          <w:rFonts w:hint="eastAsia"/>
          <w:sz w:val="30"/>
          <w:szCs w:val="30"/>
        </w:rPr>
        <w:t>2.</w:t>
      </w:r>
      <w:r>
        <w:rPr>
          <w:rFonts w:hint="eastAsia"/>
          <w:sz w:val="30"/>
          <w:szCs w:val="30"/>
        </w:rPr>
        <w:t>按照文义解释以及目的解释的规则，概言之，《办法》就其本质上，其实是在津陵公司</w:t>
      </w:r>
      <w:r>
        <w:rPr>
          <w:rFonts w:hint="eastAsia"/>
          <w:sz w:val="30"/>
          <w:szCs w:val="30"/>
        </w:rPr>
        <w:t>60%</w:t>
      </w:r>
      <w:r>
        <w:rPr>
          <w:rFonts w:hint="eastAsia"/>
          <w:sz w:val="30"/>
          <w:szCs w:val="30"/>
        </w:rPr>
        <w:t>利润、</w:t>
      </w:r>
      <w:r>
        <w:rPr>
          <w:rFonts w:hint="eastAsia"/>
          <w:sz w:val="30"/>
          <w:szCs w:val="30"/>
        </w:rPr>
        <w:t>40%</w:t>
      </w:r>
      <w:r>
        <w:rPr>
          <w:rFonts w:hint="eastAsia"/>
          <w:sz w:val="30"/>
          <w:szCs w:val="30"/>
        </w:rPr>
        <w:t>成本之架构下的对潘玉华“自主经营、自负盈亏”这一承包法律关系的确</w:t>
      </w:r>
      <w:r>
        <w:rPr>
          <w:rFonts w:hint="eastAsia"/>
          <w:sz w:val="30"/>
          <w:szCs w:val="30"/>
        </w:rPr>
        <w:t>认。此外，按照实践大于形式的合同解释原理，形式上，《办法》名为“公司管理及利润分配办法”，但《办法》的履行实践，则无不证明双方之间属于承包经营关系。首先，津陵公司日常经营管理事宜均由潘玉华一人负责，杨景成始终未参与经营，该事实不容回避；其次，津陵公司并未对潘玉华进行委任或者聘任，亦未向其支付报酬，潘玉华不具有公司经营管理者的职位和身份；再次，该《办法》自实施以来，杨景成或和杨振岐对《办法》项下的款项均已实际领取，且从未以任何方式提出异议，以实际行动证明潘玉华系对津陵公司</w:t>
      </w:r>
      <w:r>
        <w:rPr>
          <w:rFonts w:hint="eastAsia"/>
          <w:sz w:val="30"/>
          <w:szCs w:val="30"/>
        </w:rPr>
        <w:t>40%</w:t>
      </w:r>
      <w:r>
        <w:rPr>
          <w:rFonts w:hint="eastAsia"/>
          <w:sz w:val="30"/>
          <w:szCs w:val="30"/>
        </w:rPr>
        <w:t>的经营费用的承包。无论从公司意思</w:t>
      </w:r>
      <w:r>
        <w:rPr>
          <w:rFonts w:hint="eastAsia"/>
          <w:sz w:val="30"/>
          <w:szCs w:val="30"/>
        </w:rPr>
        <w:t>表示还是从股东实际行为的角度分析，承包经营关系始终是津陵公司包括另一股东认可并执行的。</w:t>
      </w:r>
      <w:r>
        <w:rPr>
          <w:rFonts w:hint="eastAsia"/>
          <w:sz w:val="30"/>
          <w:szCs w:val="30"/>
        </w:rPr>
        <w:t>3.</w:t>
      </w:r>
      <w:r>
        <w:rPr>
          <w:rFonts w:hint="eastAsia"/>
          <w:sz w:val="30"/>
          <w:szCs w:val="30"/>
        </w:rPr>
        <w:t>津陵公司起诉状中自认“原告公司由被告潘玉华实际控制和经营”，但需要指出的是，潘玉华的经营管理权限来自于《办法》的约定，而非依据公司法意义上经委任、选任或聘任程序获得，亦不具备董事、监事或者经理的身份。津陵公司自始以来并非一规范、健全的公司，加之对外均以乐陵总公司名义进行签约、社保、纳税等，从而财务制度也不规范，此外，潘玉华独立经营期间，《办法》项下属于潘玉华</w:t>
      </w:r>
      <w:r>
        <w:rPr>
          <w:rFonts w:hint="eastAsia"/>
          <w:sz w:val="30"/>
          <w:szCs w:val="30"/>
        </w:rPr>
        <w:t>30%</w:t>
      </w:r>
      <w:r>
        <w:rPr>
          <w:rFonts w:hint="eastAsia"/>
          <w:sz w:val="30"/>
          <w:szCs w:val="30"/>
        </w:rPr>
        <w:t>的利润，其并未与杨景成同步提取，以致于公私财产出现相当程</w:t>
      </w:r>
      <w:r>
        <w:rPr>
          <w:rFonts w:hint="eastAsia"/>
          <w:sz w:val="30"/>
          <w:szCs w:val="30"/>
        </w:rPr>
        <w:t>度上的混同，刑事案件审查中亦关注此客观事实，杨景成亦承认津陵公司于</w:t>
      </w:r>
      <w:r>
        <w:rPr>
          <w:rFonts w:hint="eastAsia"/>
          <w:sz w:val="30"/>
          <w:szCs w:val="30"/>
        </w:rPr>
        <w:t>2010</w:t>
      </w:r>
      <w:r>
        <w:rPr>
          <w:rFonts w:hint="eastAsia"/>
          <w:sz w:val="30"/>
          <w:szCs w:val="30"/>
        </w:rPr>
        <w:t>年后并未核过账。故潘玉华使用其个人账户或者家属账户经营的行为亦不应当被简单的评价为侵犯公司利益，二股东之间的经济纠纷，其解决途径当须经过公司的清算程序，而非以公司名义诉讼。三、潘玉华未损害津陵公司利益。</w:t>
      </w:r>
      <w:r>
        <w:rPr>
          <w:rFonts w:hint="eastAsia"/>
          <w:sz w:val="30"/>
          <w:szCs w:val="30"/>
        </w:rPr>
        <w:t>1.</w:t>
      </w:r>
      <w:r>
        <w:rPr>
          <w:rFonts w:hint="eastAsia"/>
          <w:sz w:val="30"/>
          <w:szCs w:val="30"/>
        </w:rPr>
        <w:t>陆运一队项目在承包形式及范围、合同标的、合同款支付等关键条款上，均与其他劳务派遣项目不同，该项目属于非劳务派遣性质的运输企业的承包，系潘玉华个人以乐陵总公司的名义与物流公司签订的承包经营合同，即业务也挂靠在乐陵总公司，经营资金由总公</w:t>
      </w:r>
      <w:r>
        <w:rPr>
          <w:rFonts w:hint="eastAsia"/>
          <w:sz w:val="30"/>
          <w:szCs w:val="30"/>
        </w:rPr>
        <w:t>司转入津陵公司。潘玉华仅借用津陵公司的账户作为收款账户，并安排贾某会计另外单独建账，故该项目业务与津陵公司无关，且刑事案件经实质审查未认定该侵占事实成立。</w:t>
      </w:r>
      <w:r>
        <w:rPr>
          <w:rFonts w:hint="eastAsia"/>
          <w:sz w:val="30"/>
          <w:szCs w:val="30"/>
        </w:rPr>
        <w:t>2.</w:t>
      </w:r>
      <w:r>
        <w:rPr>
          <w:rFonts w:hint="eastAsia"/>
          <w:sz w:val="30"/>
          <w:szCs w:val="30"/>
        </w:rPr>
        <w:t>兴港公司项目不属于津陵公司的业务，系他人挂靠，津陵公司仅提供账户用以走账而已，故该项目业务与津陵公司无关。该笔业务潘玉华不具有控制权，且亦未对该业务收入形成侵占，刑事案件对此已经进行实质审查，“无法认定涉案资金已由潘玉华实际占有及占有的数额”，亦未认定该侵占事实成立。</w:t>
      </w:r>
      <w:r>
        <w:rPr>
          <w:rFonts w:hint="eastAsia"/>
          <w:sz w:val="30"/>
          <w:szCs w:val="30"/>
        </w:rPr>
        <w:t>3.</w:t>
      </w:r>
      <w:r>
        <w:rPr>
          <w:rFonts w:hint="eastAsia"/>
          <w:sz w:val="30"/>
          <w:szCs w:val="30"/>
        </w:rPr>
        <w:t>津陵公司无权占有职工保证金。《中华人民共和国劳动合同法》第九条规定，“用人单位招用</w:t>
      </w:r>
      <w:r>
        <w:rPr>
          <w:rFonts w:hint="eastAsia"/>
          <w:sz w:val="30"/>
          <w:szCs w:val="30"/>
        </w:rPr>
        <w:t>劳动者不得要求劳动者提供担保或者以其他名义向劳动者收取财物。”第八十四条第二款亦规定，“用人单位违反本法规定，以担保或者其他名义向劳动者收取财物的，由劳动行政部门责令限期退还劳动者本人，并以每人五百元以上二千元以下的标准处以罚款，给劳动者造成损害的，应当承担赔偿责任。”法律不保护非法利益，津陵公司依法理应向职工退还保证金。此外，即使津陵公司的代偿行为为真，与本案属于不同的法律关系，不宜合并审理。综上，津陵公司和潘玉华的诉讼主体均不适格，此外，潘玉华不存在损害津陵公司利益的事实，依法应判令驳回津陵公司的起诉。</w:t>
      </w:r>
    </w:p>
    <w:p w:rsidR="00000000" w:rsidRDefault="00A53AC7">
      <w:pPr>
        <w:spacing w:line="500" w:lineRule="atLeast"/>
        <w:ind w:firstLine="600"/>
        <w:divId w:val="681471922"/>
        <w:rPr>
          <w:rFonts w:hint="eastAsia"/>
          <w:sz w:val="30"/>
          <w:szCs w:val="30"/>
        </w:rPr>
      </w:pPr>
      <w:r>
        <w:rPr>
          <w:rFonts w:hint="eastAsia"/>
          <w:sz w:val="30"/>
          <w:szCs w:val="30"/>
        </w:rPr>
        <w:t>根据当事人陈述和经审查确认的证据，本院认定事实如下：</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日，杨振岐、吕兆信、潘玉华成立乐陵市津陵劳务经济技术有限责任公司，业务范围为劳务输出中介，法定代表人为杨振岐，企业状态为在营企业。</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津陵公司制定《公司管理及利润分配办法》，该办法约定，股东商定就公司管理及利润分配事项达成以下决议：一、公司有股东潘玉华、杨景成二人组成，股份各百分之五十；二、公司在天津港所从事业务的经营管理事宜由潘玉华负责；三、潘玉华在经营管理期间负责每月向股东杨景成报送财务收支情况报表一份；四、公司</w:t>
      </w:r>
      <w:r>
        <w:rPr>
          <w:rFonts w:hint="eastAsia"/>
          <w:sz w:val="30"/>
          <w:szCs w:val="30"/>
        </w:rPr>
        <w:t>管理费总收入的</w:t>
      </w:r>
      <w:r>
        <w:rPr>
          <w:rFonts w:hint="eastAsia"/>
          <w:sz w:val="30"/>
          <w:szCs w:val="30"/>
        </w:rPr>
        <w:t>60%</w:t>
      </w:r>
      <w:r>
        <w:rPr>
          <w:rFonts w:hint="eastAsia"/>
          <w:sz w:val="30"/>
          <w:szCs w:val="30"/>
        </w:rPr>
        <w:t>平均分配归潘玉华、杨景成所有，每月结算一次，分别汇入潘玉华、杨景成账户；五、公司管理费总收入的</w:t>
      </w:r>
      <w:r>
        <w:rPr>
          <w:rFonts w:hint="eastAsia"/>
          <w:sz w:val="30"/>
          <w:szCs w:val="30"/>
        </w:rPr>
        <w:t>40%</w:t>
      </w:r>
      <w:r>
        <w:rPr>
          <w:rFonts w:hint="eastAsia"/>
          <w:sz w:val="30"/>
          <w:szCs w:val="30"/>
        </w:rPr>
        <w:t>，每月上交杨振岐</w:t>
      </w:r>
      <w:r>
        <w:rPr>
          <w:rFonts w:hint="eastAsia"/>
          <w:sz w:val="30"/>
          <w:szCs w:val="30"/>
        </w:rPr>
        <w:t>3</w:t>
      </w:r>
      <w:r>
        <w:rPr>
          <w:rFonts w:hint="eastAsia"/>
          <w:sz w:val="30"/>
          <w:szCs w:val="30"/>
        </w:rPr>
        <w:t>万元，其余部分留作经营管理费用，包括以下费用的支出：</w:t>
      </w:r>
      <w:r>
        <w:rPr>
          <w:rFonts w:hint="eastAsia"/>
          <w:sz w:val="30"/>
          <w:szCs w:val="30"/>
        </w:rPr>
        <w:t>1.</w:t>
      </w:r>
      <w:r>
        <w:rPr>
          <w:rFonts w:hint="eastAsia"/>
          <w:sz w:val="30"/>
          <w:szCs w:val="30"/>
        </w:rPr>
        <w:t>经营管理及办公费用；</w:t>
      </w:r>
      <w:r>
        <w:rPr>
          <w:rFonts w:hint="eastAsia"/>
          <w:sz w:val="30"/>
          <w:szCs w:val="30"/>
        </w:rPr>
        <w:t>2.</w:t>
      </w:r>
      <w:r>
        <w:rPr>
          <w:rFonts w:hint="eastAsia"/>
          <w:sz w:val="30"/>
          <w:szCs w:val="30"/>
        </w:rPr>
        <w:t>招待、接待费用；</w:t>
      </w:r>
      <w:r>
        <w:rPr>
          <w:rFonts w:hint="eastAsia"/>
          <w:sz w:val="30"/>
          <w:szCs w:val="30"/>
        </w:rPr>
        <w:t>3.</w:t>
      </w:r>
      <w:r>
        <w:rPr>
          <w:rFonts w:hint="eastAsia"/>
          <w:sz w:val="30"/>
          <w:szCs w:val="30"/>
        </w:rPr>
        <w:t>工伤及意外事故费用；</w:t>
      </w:r>
      <w:r>
        <w:rPr>
          <w:rFonts w:hint="eastAsia"/>
          <w:sz w:val="30"/>
          <w:szCs w:val="30"/>
        </w:rPr>
        <w:t>4.</w:t>
      </w:r>
      <w:r>
        <w:rPr>
          <w:rFonts w:hint="eastAsia"/>
          <w:sz w:val="30"/>
          <w:szCs w:val="30"/>
        </w:rPr>
        <w:t>公司行政管理人员工资；</w:t>
      </w:r>
      <w:r>
        <w:rPr>
          <w:rFonts w:hint="eastAsia"/>
          <w:sz w:val="30"/>
          <w:szCs w:val="30"/>
        </w:rPr>
        <w:t>5.</w:t>
      </w:r>
      <w:r>
        <w:rPr>
          <w:rFonts w:hint="eastAsia"/>
          <w:sz w:val="30"/>
          <w:szCs w:val="30"/>
        </w:rPr>
        <w:t>工人医疗保险。如遇特殊情况超出支出使用费用有二股东商议处理；五、招收录用工人由潘玉华负责招收及管理，公司协助……。津陵公司及其法定代表人杨振岐、经营管理人潘玉华分别在该办法上盖章签字确认。</w:t>
      </w:r>
      <w:r>
        <w:rPr>
          <w:rFonts w:hint="eastAsia"/>
          <w:sz w:val="30"/>
          <w:szCs w:val="30"/>
        </w:rPr>
        <w:t>2010</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日，津陵公司召开股</w:t>
      </w:r>
      <w:r>
        <w:rPr>
          <w:rFonts w:hint="eastAsia"/>
          <w:sz w:val="30"/>
          <w:szCs w:val="30"/>
        </w:rPr>
        <w:t>东会决议，选举杨景成担任津陵公司执行董事兼经理并担任法定代表人，潘玉华担任公司监事。</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日，津陵公司变更登记，股东由杨振岐、潘玉华、吕召信（吕兆信）变更为杨景成、潘玉华，其中杨景成持股比例为</w:t>
      </w:r>
      <w:r>
        <w:rPr>
          <w:rFonts w:hint="eastAsia"/>
          <w:sz w:val="30"/>
          <w:szCs w:val="30"/>
        </w:rPr>
        <w:t>51%</w:t>
      </w:r>
      <w:r>
        <w:rPr>
          <w:rFonts w:hint="eastAsia"/>
          <w:sz w:val="30"/>
          <w:szCs w:val="30"/>
        </w:rPr>
        <w:t>，潘玉华持股比例为</w:t>
      </w:r>
      <w:r>
        <w:rPr>
          <w:rFonts w:hint="eastAsia"/>
          <w:sz w:val="30"/>
          <w:szCs w:val="30"/>
        </w:rPr>
        <w:t>49%</w:t>
      </w:r>
      <w:r>
        <w:rPr>
          <w:rFonts w:hint="eastAsia"/>
          <w:sz w:val="30"/>
          <w:szCs w:val="30"/>
        </w:rPr>
        <w:t>。</w:t>
      </w:r>
    </w:p>
    <w:p w:rsidR="00000000" w:rsidRDefault="00A53AC7">
      <w:pPr>
        <w:spacing w:line="500" w:lineRule="atLeast"/>
        <w:ind w:firstLine="600"/>
        <w:divId w:val="556555898"/>
        <w:rPr>
          <w:rFonts w:hint="eastAsia"/>
          <w:sz w:val="30"/>
          <w:szCs w:val="30"/>
        </w:rPr>
      </w:pP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期间，天津港物流发展有限公司（以下简称天津港物流）与山东乐陵市劳务经济技术开发总公司（以下简称乐陵总公司）签订生产全过程（运输）业务外包合同，约定乐陵总公司向天津港物流提供劳务人员负责集装箱装卸港内倒运、集疏港单工种全过程劳务业务。其中</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w:t>
      </w:r>
      <w:r>
        <w:rPr>
          <w:rFonts w:hint="eastAsia"/>
          <w:sz w:val="30"/>
          <w:szCs w:val="30"/>
        </w:rPr>
        <w:t>签订的生产全过程（运输）业务外包合同约定天津港物流将部分运输业务向乐陵总公司整体发包，运输费采用单箱运费形式结算承包费，同时约定乐陵总公司向天津港物流按月支付车辆租费</w:t>
      </w:r>
      <w:r>
        <w:rPr>
          <w:rFonts w:hint="eastAsia"/>
          <w:sz w:val="30"/>
          <w:szCs w:val="30"/>
        </w:rPr>
        <w:t>16</w:t>
      </w:r>
      <w:r>
        <w:rPr>
          <w:rFonts w:hint="eastAsia"/>
          <w:sz w:val="30"/>
          <w:szCs w:val="30"/>
        </w:rPr>
        <w:t>万元。另查明，陆运一队系乐陵总公司下属基层生产单位，天津港物流与乐陵总公司签订的生产全过程（运输）业务外包合同中包含陆运一队业务。按照历史延续，陆运一队业务实际由津陵公司负责，陆运一队所得费用，总公司扣除相关费用后，全部转至津陵公司，由津陵公司负责分配。</w:t>
      </w:r>
    </w:p>
    <w:p w:rsidR="00000000" w:rsidRDefault="00A53AC7">
      <w:pPr>
        <w:spacing w:line="500" w:lineRule="atLeast"/>
        <w:ind w:firstLine="600"/>
        <w:divId w:val="609896979"/>
        <w:rPr>
          <w:rFonts w:hint="eastAsia"/>
          <w:sz w:val="30"/>
          <w:szCs w:val="30"/>
        </w:rPr>
      </w:pP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年期间，天津宏港劳务服务有限公司（以下简称宏港公司）与天津兴港货贸</w:t>
      </w:r>
      <w:r>
        <w:rPr>
          <w:rFonts w:hint="eastAsia"/>
          <w:sz w:val="30"/>
          <w:szCs w:val="30"/>
        </w:rPr>
        <w:t>有限公司（以下简称兴港公司）签订天津港生产全过程业务外包合同，宏港公司承包兴港公司全部或部分生产的全过程操作业务，后将该业务再发包、分包给乐陵总公司，并签订天津港单工种业务外包合同，约定乐陵总公司向宏港公司提供劳务人员在兴港公司从事工作。按照历史延续，该业务实际由津陵公司负责，该业务所得费用，乐陵总公司扣除相关费用后，全部转至津陵公司，由津陵公司负责分配。</w:t>
      </w:r>
    </w:p>
    <w:p w:rsidR="00000000" w:rsidRDefault="00A53AC7">
      <w:pPr>
        <w:spacing w:line="500" w:lineRule="atLeast"/>
        <w:ind w:firstLine="600"/>
        <w:divId w:val="1553808272"/>
        <w:rPr>
          <w:rFonts w:hint="eastAsia"/>
          <w:sz w:val="30"/>
          <w:szCs w:val="30"/>
        </w:rPr>
      </w:pP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日，山东新华有限责任会计事务所受乐陵市公安局经济犯罪侦查大队的委托，对津陵公司账面记录的财务收支情况和银行资金流入流出情况进行了审核，</w:t>
      </w:r>
      <w:r>
        <w:rPr>
          <w:rFonts w:hint="eastAsia"/>
          <w:sz w:val="30"/>
          <w:szCs w:val="30"/>
        </w:rPr>
        <w:t>并出具审计报告，报告显示“……天津兴港货贸有限公司，联系人：刘连栋，自</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月期间，账面记录支付</w:t>
      </w:r>
      <w:r>
        <w:rPr>
          <w:rFonts w:hint="eastAsia"/>
          <w:sz w:val="30"/>
          <w:szCs w:val="30"/>
        </w:rPr>
        <w:t>2903368.78</w:t>
      </w:r>
      <w:r>
        <w:rPr>
          <w:rFonts w:hint="eastAsia"/>
          <w:sz w:val="30"/>
          <w:szCs w:val="30"/>
        </w:rPr>
        <w:t>元；天津港物流发展有限公司陆运一队，负责人：潘玉华，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月期间，账面记录支付</w:t>
      </w:r>
      <w:r>
        <w:rPr>
          <w:rFonts w:hint="eastAsia"/>
          <w:sz w:val="30"/>
          <w:szCs w:val="30"/>
        </w:rPr>
        <w:t>9442693.09</w:t>
      </w:r>
      <w:r>
        <w:rPr>
          <w:rFonts w:hint="eastAsia"/>
          <w:sz w:val="30"/>
          <w:szCs w:val="30"/>
        </w:rPr>
        <w:t>元；……由潘玉华个人账户转入</w:t>
      </w:r>
      <w:r>
        <w:rPr>
          <w:rFonts w:hint="eastAsia"/>
          <w:sz w:val="30"/>
          <w:szCs w:val="30"/>
        </w:rPr>
        <w:t>5000000</w:t>
      </w:r>
      <w:r>
        <w:rPr>
          <w:rFonts w:hint="eastAsia"/>
          <w:sz w:val="30"/>
          <w:szCs w:val="30"/>
        </w:rPr>
        <w:t>元（</w:t>
      </w:r>
      <w:r>
        <w:rPr>
          <w:rFonts w:hint="eastAsia"/>
          <w:sz w:val="30"/>
          <w:szCs w:val="30"/>
        </w:rPr>
        <w:t>2014.12.31</w:t>
      </w:r>
      <w:r>
        <w:rPr>
          <w:rFonts w:hint="eastAsia"/>
          <w:sz w:val="30"/>
          <w:szCs w:val="30"/>
        </w:rPr>
        <w:t>转入），由潘浩个人账户转入</w:t>
      </w:r>
      <w:r>
        <w:rPr>
          <w:rFonts w:hint="eastAsia"/>
          <w:sz w:val="30"/>
          <w:szCs w:val="30"/>
        </w:rPr>
        <w:t>4500000</w:t>
      </w:r>
      <w:r>
        <w:rPr>
          <w:rFonts w:hint="eastAsia"/>
          <w:sz w:val="30"/>
          <w:szCs w:val="30"/>
        </w:rPr>
        <w:t>元（</w:t>
      </w:r>
      <w:r>
        <w:rPr>
          <w:rFonts w:hint="eastAsia"/>
          <w:sz w:val="30"/>
          <w:szCs w:val="30"/>
        </w:rPr>
        <w:t>2014.1.27</w:t>
      </w:r>
      <w:r>
        <w:rPr>
          <w:rFonts w:hint="eastAsia"/>
          <w:sz w:val="30"/>
          <w:szCs w:val="30"/>
        </w:rPr>
        <w:t>转入</w:t>
      </w:r>
      <w:r>
        <w:rPr>
          <w:rFonts w:hint="eastAsia"/>
          <w:sz w:val="30"/>
          <w:szCs w:val="30"/>
        </w:rPr>
        <w:t>150</w:t>
      </w:r>
      <w:r>
        <w:rPr>
          <w:rFonts w:hint="eastAsia"/>
          <w:sz w:val="30"/>
          <w:szCs w:val="30"/>
        </w:rPr>
        <w:t>万元，</w:t>
      </w:r>
      <w:r>
        <w:rPr>
          <w:rFonts w:hint="eastAsia"/>
          <w:sz w:val="30"/>
          <w:szCs w:val="30"/>
        </w:rPr>
        <w:t>2014.4.2</w:t>
      </w:r>
      <w:r>
        <w:rPr>
          <w:rFonts w:hint="eastAsia"/>
          <w:sz w:val="30"/>
          <w:szCs w:val="30"/>
        </w:rPr>
        <w:t>转入</w:t>
      </w:r>
      <w:r>
        <w:rPr>
          <w:rFonts w:hint="eastAsia"/>
          <w:sz w:val="30"/>
          <w:szCs w:val="30"/>
        </w:rPr>
        <w:t>300</w:t>
      </w:r>
      <w:r>
        <w:rPr>
          <w:rFonts w:hint="eastAsia"/>
          <w:sz w:val="30"/>
          <w:szCs w:val="30"/>
        </w:rPr>
        <w:t>万元），由孙俊荣个人账户转入</w:t>
      </w:r>
      <w:r>
        <w:rPr>
          <w:rFonts w:hint="eastAsia"/>
          <w:sz w:val="30"/>
          <w:szCs w:val="30"/>
        </w:rPr>
        <w:t>2600000</w:t>
      </w:r>
      <w:r>
        <w:rPr>
          <w:rFonts w:hint="eastAsia"/>
          <w:sz w:val="30"/>
          <w:szCs w:val="30"/>
        </w:rPr>
        <w:t>元（</w:t>
      </w:r>
      <w:r>
        <w:rPr>
          <w:rFonts w:hint="eastAsia"/>
          <w:sz w:val="30"/>
          <w:szCs w:val="30"/>
        </w:rPr>
        <w:t>2015.6.30</w:t>
      </w:r>
      <w:r>
        <w:rPr>
          <w:rFonts w:hint="eastAsia"/>
          <w:sz w:val="30"/>
          <w:szCs w:val="30"/>
        </w:rPr>
        <w:t>转入）……转入孙</w:t>
      </w:r>
      <w:r>
        <w:rPr>
          <w:rFonts w:hint="eastAsia"/>
          <w:sz w:val="30"/>
          <w:szCs w:val="30"/>
        </w:rPr>
        <w:t>俊荣个人账户</w:t>
      </w:r>
      <w:r>
        <w:rPr>
          <w:rFonts w:hint="eastAsia"/>
          <w:sz w:val="30"/>
          <w:szCs w:val="30"/>
        </w:rPr>
        <w:t>13967910</w:t>
      </w:r>
      <w:r>
        <w:rPr>
          <w:rFonts w:hint="eastAsia"/>
          <w:sz w:val="30"/>
          <w:szCs w:val="30"/>
        </w:rPr>
        <w:t>元，转入潘浩个人账户</w:t>
      </w:r>
      <w:r>
        <w:rPr>
          <w:rFonts w:hint="eastAsia"/>
          <w:sz w:val="30"/>
          <w:szCs w:val="30"/>
        </w:rPr>
        <w:t>17800000</w:t>
      </w:r>
      <w:r>
        <w:rPr>
          <w:rFonts w:hint="eastAsia"/>
          <w:sz w:val="30"/>
          <w:szCs w:val="30"/>
        </w:rPr>
        <w:t>元”。津陵公司涉及兴港、陆运一队两部分应付款的记账凭证，显示津陵公司应付款记账凭证中关于兴港、陆运一队两个项目的支出，其中兴港项目支出</w:t>
      </w:r>
      <w:r>
        <w:rPr>
          <w:rFonts w:hint="eastAsia"/>
          <w:sz w:val="30"/>
          <w:szCs w:val="30"/>
        </w:rPr>
        <w:t>2903368.78</w:t>
      </w:r>
      <w:r>
        <w:rPr>
          <w:rFonts w:hint="eastAsia"/>
          <w:sz w:val="30"/>
          <w:szCs w:val="30"/>
        </w:rPr>
        <w:t>元，陆运一队项目支出</w:t>
      </w:r>
      <w:r>
        <w:rPr>
          <w:rFonts w:hint="eastAsia"/>
          <w:sz w:val="30"/>
          <w:szCs w:val="30"/>
        </w:rPr>
        <w:t>9442693.09</w:t>
      </w:r>
      <w:r>
        <w:rPr>
          <w:rFonts w:hint="eastAsia"/>
          <w:sz w:val="30"/>
          <w:szCs w:val="30"/>
        </w:rPr>
        <w:t>元。另查明，孙俊荣系潘玉华妻子，潘浩系潘玉华儿子。</w:t>
      </w:r>
    </w:p>
    <w:p w:rsidR="00000000" w:rsidRDefault="00A53AC7">
      <w:pPr>
        <w:spacing w:line="500" w:lineRule="atLeast"/>
        <w:ind w:firstLine="600"/>
        <w:divId w:val="425619067"/>
        <w:rPr>
          <w:rFonts w:hint="eastAsia"/>
          <w:sz w:val="30"/>
          <w:szCs w:val="30"/>
        </w:rPr>
      </w:pPr>
      <w:r>
        <w:rPr>
          <w:rFonts w:hint="eastAsia"/>
          <w:sz w:val="30"/>
          <w:szCs w:val="30"/>
        </w:rPr>
        <w:t>2011</w:t>
      </w:r>
      <w:r>
        <w:rPr>
          <w:rFonts w:hint="eastAsia"/>
          <w:sz w:val="30"/>
          <w:szCs w:val="30"/>
        </w:rPr>
        <w:t>年</w:t>
      </w:r>
      <w:r>
        <w:rPr>
          <w:rFonts w:hint="eastAsia"/>
          <w:sz w:val="30"/>
          <w:szCs w:val="30"/>
        </w:rPr>
        <w:t>11</w:t>
      </w:r>
      <w:r>
        <w:rPr>
          <w:rFonts w:hint="eastAsia"/>
          <w:sz w:val="30"/>
          <w:szCs w:val="30"/>
        </w:rPr>
        <w:t>月，潘玉华在天津市滨海新区瑞湾国际汇馆购买车位一个，天津瑞湾国际商务中心有限公司出具收据一张，该收据显示“今收到潘玉华交来瑞湾汇馆车位租赁费</w:t>
      </w:r>
      <w:r>
        <w:rPr>
          <w:rFonts w:hint="eastAsia"/>
          <w:sz w:val="30"/>
          <w:szCs w:val="30"/>
        </w:rPr>
        <w:t>157500</w:t>
      </w:r>
      <w:r>
        <w:rPr>
          <w:rFonts w:hint="eastAsia"/>
          <w:sz w:val="30"/>
          <w:szCs w:val="30"/>
        </w:rPr>
        <w:t>元，收款人张倩，交款人潘玉华”，天津</w:t>
      </w:r>
      <w:r>
        <w:rPr>
          <w:rFonts w:hint="eastAsia"/>
          <w:sz w:val="30"/>
          <w:szCs w:val="30"/>
        </w:rPr>
        <w:t>瑞湾国际商务中心有限公司在收据上盖章确认。</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日潘玉华将购买车位的车位租赁费</w:t>
      </w:r>
      <w:r>
        <w:rPr>
          <w:rFonts w:hint="eastAsia"/>
          <w:sz w:val="30"/>
          <w:szCs w:val="30"/>
        </w:rPr>
        <w:t>157500</w:t>
      </w:r>
      <w:r>
        <w:rPr>
          <w:rFonts w:hint="eastAsia"/>
          <w:sz w:val="30"/>
          <w:szCs w:val="30"/>
        </w:rPr>
        <w:t>元收据复印件在津陵公司账目中进行报销列支。潘玉华在</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日公安机关对其所作讯问笔录中称：“买车位的钱是从津陵公司</w:t>
      </w:r>
      <w:r>
        <w:rPr>
          <w:rFonts w:hint="eastAsia"/>
          <w:sz w:val="30"/>
          <w:szCs w:val="30"/>
        </w:rPr>
        <w:t>40%</w:t>
      </w:r>
      <w:r>
        <w:rPr>
          <w:rFonts w:hint="eastAsia"/>
          <w:sz w:val="30"/>
          <w:szCs w:val="30"/>
        </w:rPr>
        <w:t>的经营管理费用列支的；我认为这</w:t>
      </w:r>
      <w:r>
        <w:rPr>
          <w:rFonts w:hint="eastAsia"/>
          <w:sz w:val="30"/>
          <w:szCs w:val="30"/>
        </w:rPr>
        <w:t>40%</w:t>
      </w:r>
      <w:r>
        <w:rPr>
          <w:rFonts w:hint="eastAsia"/>
          <w:sz w:val="30"/>
          <w:szCs w:val="30"/>
        </w:rPr>
        <w:t>的费用归我个人支配，所以我买车位的钱就从这</w:t>
      </w:r>
      <w:r>
        <w:rPr>
          <w:rFonts w:hint="eastAsia"/>
          <w:sz w:val="30"/>
          <w:szCs w:val="30"/>
        </w:rPr>
        <w:t>40%</w:t>
      </w:r>
      <w:r>
        <w:rPr>
          <w:rFonts w:hint="eastAsia"/>
          <w:sz w:val="30"/>
          <w:szCs w:val="30"/>
        </w:rPr>
        <w:t>里支出了；这些年我始终是在承包经营，津陵公司</w:t>
      </w:r>
      <w:r>
        <w:rPr>
          <w:rFonts w:hint="eastAsia"/>
          <w:sz w:val="30"/>
          <w:szCs w:val="30"/>
        </w:rPr>
        <w:t>40%</w:t>
      </w:r>
      <w:r>
        <w:rPr>
          <w:rFonts w:hint="eastAsia"/>
          <w:sz w:val="30"/>
          <w:szCs w:val="30"/>
        </w:rPr>
        <w:t>的费用除去给杨振岐的</w:t>
      </w:r>
      <w:r>
        <w:rPr>
          <w:rFonts w:hint="eastAsia"/>
          <w:sz w:val="30"/>
          <w:szCs w:val="30"/>
        </w:rPr>
        <w:t>3</w:t>
      </w:r>
      <w:r>
        <w:rPr>
          <w:rFonts w:hint="eastAsia"/>
          <w:sz w:val="30"/>
          <w:szCs w:val="30"/>
        </w:rPr>
        <w:t>万元钱，剩下的钱全部都是我自己的，我只是借用津陵公司的账户，这些钱如何支配都是我自己说了算；用公司的钱购买车位记入了公司</w:t>
      </w:r>
      <w:r>
        <w:rPr>
          <w:rFonts w:hint="eastAsia"/>
          <w:sz w:val="30"/>
          <w:szCs w:val="30"/>
        </w:rPr>
        <w:t>的帐。”潘玉华在</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日公安机关对其所作讯问笔录中称：“这是我在瑞湾购买的车位，上面的签字是我签的我的名字。这个车位是我办公用，因为我在那里住。”</w:t>
      </w:r>
    </w:p>
    <w:p w:rsidR="00000000" w:rsidRDefault="00A53AC7">
      <w:pPr>
        <w:spacing w:line="500" w:lineRule="atLeast"/>
        <w:ind w:firstLine="600"/>
        <w:divId w:val="139425544"/>
        <w:rPr>
          <w:rFonts w:hint="eastAsia"/>
          <w:sz w:val="30"/>
          <w:szCs w:val="30"/>
        </w:rPr>
      </w:pPr>
      <w:r>
        <w:rPr>
          <w:rFonts w:hint="eastAsia"/>
          <w:sz w:val="30"/>
          <w:szCs w:val="30"/>
        </w:rPr>
        <w:t>原告提交航运一队、二队、三队、四队、中材机械队、集散中心机械队、新通海机械队、散货机械队、物捷三机械队等单位职工领取押金、履约金明细表，原告主张工人缴纳的履约保证金共计</w:t>
      </w:r>
      <w:r>
        <w:rPr>
          <w:rFonts w:hint="eastAsia"/>
          <w:sz w:val="30"/>
          <w:szCs w:val="30"/>
        </w:rPr>
        <w:t>1176700</w:t>
      </w:r>
      <w:r>
        <w:rPr>
          <w:rFonts w:hint="eastAsia"/>
          <w:sz w:val="30"/>
          <w:szCs w:val="30"/>
        </w:rPr>
        <w:t>元现在潘玉华处。潘玉华在</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日公安机关对其所作讯问笔录中称：“我这里还有我给工人的风险抵押金，有</w:t>
      </w:r>
      <w:r>
        <w:rPr>
          <w:rFonts w:hint="eastAsia"/>
          <w:sz w:val="30"/>
          <w:szCs w:val="30"/>
        </w:rPr>
        <w:t>400</w:t>
      </w:r>
      <w:r>
        <w:rPr>
          <w:rFonts w:hint="eastAsia"/>
          <w:sz w:val="30"/>
          <w:szCs w:val="30"/>
        </w:rPr>
        <w:t>多万元，我给工人缴纳保险，这块钱有大约</w:t>
      </w:r>
      <w:r>
        <w:rPr>
          <w:rFonts w:hint="eastAsia"/>
          <w:sz w:val="30"/>
          <w:szCs w:val="30"/>
        </w:rPr>
        <w:t>145</w:t>
      </w:r>
      <w:r>
        <w:rPr>
          <w:rFonts w:hint="eastAsia"/>
          <w:sz w:val="30"/>
          <w:szCs w:val="30"/>
        </w:rPr>
        <w:t>万元的结余，</w:t>
      </w:r>
      <w:r>
        <w:rPr>
          <w:rFonts w:hint="eastAsia"/>
          <w:sz w:val="30"/>
          <w:szCs w:val="30"/>
        </w:rPr>
        <w:t>也在我这里了”。</w:t>
      </w:r>
    </w:p>
    <w:p w:rsidR="00000000" w:rsidRDefault="00A53AC7">
      <w:pPr>
        <w:spacing w:line="500" w:lineRule="atLeast"/>
        <w:ind w:firstLine="600"/>
        <w:divId w:val="382827369"/>
        <w:rPr>
          <w:rFonts w:hint="eastAsia"/>
          <w:sz w:val="30"/>
          <w:szCs w:val="30"/>
        </w:rPr>
      </w:pP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日，公诉机关乐陵市人民检察院以乐检公诉刑诉〔</w:t>
      </w:r>
      <w:r>
        <w:rPr>
          <w:rFonts w:hint="eastAsia"/>
          <w:sz w:val="30"/>
          <w:szCs w:val="30"/>
        </w:rPr>
        <w:t>2017</w:t>
      </w:r>
      <w:r>
        <w:rPr>
          <w:rFonts w:hint="eastAsia"/>
          <w:sz w:val="30"/>
          <w:szCs w:val="30"/>
        </w:rPr>
        <w:t>〕</w:t>
      </w:r>
      <w:r>
        <w:rPr>
          <w:rFonts w:hint="eastAsia"/>
          <w:sz w:val="30"/>
          <w:szCs w:val="30"/>
        </w:rPr>
        <w:t>83</w:t>
      </w:r>
      <w:r>
        <w:rPr>
          <w:rFonts w:hint="eastAsia"/>
          <w:sz w:val="30"/>
          <w:szCs w:val="30"/>
        </w:rPr>
        <w:t>号起诉书指控被告人潘玉华犯职务侵占罪、挪用资金罪、虚开发票罪，指控被告单位津陵公司犯虚开发票罪。</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日，乐陵市人民法院作出（</w:t>
      </w:r>
      <w:r>
        <w:rPr>
          <w:rFonts w:hint="eastAsia"/>
          <w:sz w:val="30"/>
          <w:szCs w:val="30"/>
        </w:rPr>
        <w:t>2019</w:t>
      </w:r>
      <w:r>
        <w:rPr>
          <w:rFonts w:hint="eastAsia"/>
          <w:sz w:val="30"/>
          <w:szCs w:val="30"/>
        </w:rPr>
        <w:t>）鲁</w:t>
      </w:r>
      <w:r>
        <w:rPr>
          <w:rFonts w:hint="eastAsia"/>
          <w:sz w:val="30"/>
          <w:szCs w:val="30"/>
        </w:rPr>
        <w:t>1481</w:t>
      </w:r>
      <w:r>
        <w:rPr>
          <w:rFonts w:hint="eastAsia"/>
          <w:sz w:val="30"/>
          <w:szCs w:val="30"/>
        </w:rPr>
        <w:t>刑初</w:t>
      </w:r>
      <w:r>
        <w:rPr>
          <w:rFonts w:hint="eastAsia"/>
          <w:sz w:val="30"/>
          <w:szCs w:val="30"/>
        </w:rPr>
        <w:t>235</w:t>
      </w:r>
      <w:r>
        <w:rPr>
          <w:rFonts w:hint="eastAsia"/>
          <w:sz w:val="30"/>
          <w:szCs w:val="30"/>
        </w:rPr>
        <w:t>号刑事判决书，判决被告单位乐陵市津陵劳务经济技术有限责任公司犯虚开发票罪，判处罚金人民币六十万元；被告人潘玉华犯挪用资金罪，判处有期徒刑三年二个月；被告人潘玉华犯虚开发票罪，判处有期徒刑一年，并处罚金人民币十五万元。数罪并罚，决定执行有期徒刑四年（刑</w:t>
      </w:r>
      <w:r>
        <w:rPr>
          <w:rFonts w:hint="eastAsia"/>
          <w:sz w:val="30"/>
          <w:szCs w:val="30"/>
        </w:rPr>
        <w:t>期从判决执行之日起计算，判决之前先行羁押的，羁押一日折抵刑期一日，即从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日起至</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日止），并处罚金人民币十五万元；被告人潘玉华挪用未归还的公司资金人民币二百零七万元依法追缴，发还被害单位乐陵市津陵劳务经济技术有限责任公司。其中，（</w:t>
      </w:r>
      <w:r>
        <w:rPr>
          <w:rFonts w:hint="eastAsia"/>
          <w:sz w:val="30"/>
          <w:szCs w:val="30"/>
        </w:rPr>
        <w:t>2019</w:t>
      </w:r>
      <w:r>
        <w:rPr>
          <w:rFonts w:hint="eastAsia"/>
          <w:sz w:val="30"/>
          <w:szCs w:val="30"/>
        </w:rPr>
        <w:t>）鲁</w:t>
      </w:r>
      <w:r>
        <w:rPr>
          <w:rFonts w:hint="eastAsia"/>
          <w:sz w:val="30"/>
          <w:szCs w:val="30"/>
        </w:rPr>
        <w:t>1481</w:t>
      </w:r>
      <w:r>
        <w:rPr>
          <w:rFonts w:hint="eastAsia"/>
          <w:sz w:val="30"/>
          <w:szCs w:val="30"/>
        </w:rPr>
        <w:t>刑初</w:t>
      </w:r>
      <w:r>
        <w:rPr>
          <w:rFonts w:hint="eastAsia"/>
          <w:sz w:val="30"/>
          <w:szCs w:val="30"/>
        </w:rPr>
        <w:t>235</w:t>
      </w:r>
      <w:r>
        <w:rPr>
          <w:rFonts w:hint="eastAsia"/>
          <w:sz w:val="30"/>
          <w:szCs w:val="30"/>
        </w:rPr>
        <w:t>号刑事判决书关于潘玉华未构成职务侵占罪认定如下：“津陵公司</w:t>
      </w:r>
      <w:r>
        <w:rPr>
          <w:rFonts w:hint="eastAsia"/>
          <w:sz w:val="30"/>
          <w:szCs w:val="30"/>
        </w:rPr>
        <w:t>2012</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月期间的会计账簿及记账凭证单中虽然记载兴港项目利润均已从津陵公司账户中转出，但是记账凭证单之后均未附有资金转出的相关凭证单据，且公</w:t>
      </w:r>
      <w:r>
        <w:rPr>
          <w:rFonts w:hint="eastAsia"/>
          <w:sz w:val="30"/>
          <w:szCs w:val="30"/>
        </w:rPr>
        <w:t>司银行账户的资金进出与会计账簿、记账凭证记载并不一致，不排除资金未被全部实际转出的可能，结合被告人关于兴港项目的一部分利润被刘连栋等人支取，还有一部分尚在津陵公司账户中的供述与辩解，以及刘连栋最初关于其支取过兴港项目利润的证言，本院认为公诉机关所出示的证据并不能证实上述资金是否均已实际转出及转出的具体数额，即无法认定涉案资金已由潘玉华实际占有及占有的数额。因此，认定被告人利用职务之便侵占兴港项目利润的现有在案证据达不到确实、充分的证明标准，属于事实不清，证据不足。综上，对被告人及其辩护人关于无证据证明潘玉华</w:t>
      </w:r>
      <w:r>
        <w:rPr>
          <w:rFonts w:hint="eastAsia"/>
          <w:sz w:val="30"/>
          <w:szCs w:val="30"/>
        </w:rPr>
        <w:t>已经实际占有兴港项目利润的辩解及辩护意见予以采纳。……虽然被告人潘玉华指使会计贾某将陆运一队的项目收入</w:t>
      </w:r>
      <w:r>
        <w:rPr>
          <w:rFonts w:hint="eastAsia"/>
          <w:sz w:val="30"/>
          <w:szCs w:val="30"/>
        </w:rPr>
        <w:t>9442693.09</w:t>
      </w:r>
      <w:r>
        <w:rPr>
          <w:rFonts w:hint="eastAsia"/>
          <w:sz w:val="30"/>
          <w:szCs w:val="30"/>
        </w:rPr>
        <w:t>元在公司账目上做了下账支出，但公诉机关、辩护人提供的证据均证实该收入中含有一定的经营费用，公诉机关提供的证据不能证实该费用的具体数额，从而无法确认被告人潘玉华职务侵占的具体数额，故认定被告人潘玉华将陆运一队的项目利润</w:t>
      </w:r>
      <w:r>
        <w:rPr>
          <w:rFonts w:hint="eastAsia"/>
          <w:sz w:val="30"/>
          <w:szCs w:val="30"/>
        </w:rPr>
        <w:t>9442693.09</w:t>
      </w:r>
      <w:r>
        <w:rPr>
          <w:rFonts w:hint="eastAsia"/>
          <w:sz w:val="30"/>
          <w:szCs w:val="30"/>
        </w:rPr>
        <w:t>元非法占为己有事实不清、证据不足。综上，对被告人及辩护人关于指控被告人侵占数额不清的辩解和辩护意见本院予以采纳。”该刑事判决书已生效。</w:t>
      </w:r>
    </w:p>
    <w:p w:rsidR="00000000" w:rsidRDefault="00A53AC7">
      <w:pPr>
        <w:spacing w:line="500" w:lineRule="atLeast"/>
        <w:ind w:firstLine="600"/>
        <w:divId w:val="211818979"/>
        <w:rPr>
          <w:rFonts w:hint="eastAsia"/>
          <w:sz w:val="30"/>
          <w:szCs w:val="30"/>
        </w:rPr>
      </w:pP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w:t>
      </w:r>
      <w:r>
        <w:rPr>
          <w:rFonts w:hint="eastAsia"/>
          <w:sz w:val="30"/>
          <w:szCs w:val="30"/>
        </w:rPr>
        <w:t>，津陵公司委托山东大华会计师事务所有限公司对兴港项目及陆运一队项目的</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月财务收支情况进行审核，并出具专项审计报告，报告显示：“结论：经核对汇诚公司与津陵公司从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月汇入兴港公司“利润”额为</w:t>
      </w:r>
      <w:r>
        <w:rPr>
          <w:rFonts w:hint="eastAsia"/>
          <w:sz w:val="30"/>
          <w:szCs w:val="30"/>
        </w:rPr>
        <w:t>2903368.78</w:t>
      </w:r>
      <w:r>
        <w:rPr>
          <w:rFonts w:hint="eastAsia"/>
          <w:sz w:val="30"/>
          <w:szCs w:val="30"/>
        </w:rPr>
        <w:t>元，</w:t>
      </w:r>
      <w:r>
        <w:rPr>
          <w:rFonts w:hint="eastAsia"/>
          <w:sz w:val="30"/>
          <w:szCs w:val="30"/>
        </w:rPr>
        <w:t>2013</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月汇入陆运一队“利润”额为</w:t>
      </w:r>
      <w:r>
        <w:rPr>
          <w:rFonts w:hint="eastAsia"/>
          <w:sz w:val="30"/>
          <w:szCs w:val="30"/>
        </w:rPr>
        <w:t>9442693.09</w:t>
      </w:r>
      <w:r>
        <w:rPr>
          <w:rFonts w:hint="eastAsia"/>
          <w:sz w:val="30"/>
          <w:szCs w:val="30"/>
        </w:rPr>
        <w:t>元。特别说明：津陵公司记账不规范、凭证编号不连续、有的没有原始凭证。”</w:t>
      </w:r>
    </w:p>
    <w:p w:rsidR="00000000" w:rsidRDefault="00A53AC7">
      <w:pPr>
        <w:spacing w:line="500" w:lineRule="atLeast"/>
        <w:ind w:firstLine="600"/>
        <w:divId w:val="506869528"/>
        <w:rPr>
          <w:rFonts w:hint="eastAsia"/>
          <w:sz w:val="30"/>
          <w:szCs w:val="30"/>
        </w:rPr>
      </w:pPr>
      <w:r>
        <w:rPr>
          <w:rFonts w:hint="eastAsia"/>
          <w:sz w:val="30"/>
          <w:szCs w:val="30"/>
        </w:rPr>
        <w:t>以上事实有原告提交的（</w:t>
      </w:r>
      <w:r>
        <w:rPr>
          <w:rFonts w:hint="eastAsia"/>
          <w:sz w:val="30"/>
          <w:szCs w:val="30"/>
        </w:rPr>
        <w:t>2019</w:t>
      </w:r>
      <w:r>
        <w:rPr>
          <w:rFonts w:hint="eastAsia"/>
          <w:sz w:val="30"/>
          <w:szCs w:val="30"/>
        </w:rPr>
        <w:t>）鲁</w:t>
      </w:r>
      <w:r>
        <w:rPr>
          <w:rFonts w:hint="eastAsia"/>
          <w:sz w:val="30"/>
          <w:szCs w:val="30"/>
        </w:rPr>
        <w:t>1481</w:t>
      </w:r>
      <w:r>
        <w:rPr>
          <w:rFonts w:hint="eastAsia"/>
          <w:sz w:val="30"/>
          <w:szCs w:val="30"/>
        </w:rPr>
        <w:t>刑初</w:t>
      </w:r>
      <w:r>
        <w:rPr>
          <w:rFonts w:hint="eastAsia"/>
          <w:sz w:val="30"/>
          <w:szCs w:val="30"/>
        </w:rPr>
        <w:t>235</w:t>
      </w:r>
      <w:r>
        <w:rPr>
          <w:rFonts w:hint="eastAsia"/>
          <w:sz w:val="30"/>
          <w:szCs w:val="30"/>
        </w:rPr>
        <w:t>号刑事判决书、（</w:t>
      </w:r>
      <w:r>
        <w:rPr>
          <w:rFonts w:hint="eastAsia"/>
          <w:sz w:val="30"/>
          <w:szCs w:val="30"/>
        </w:rPr>
        <w:t>2019</w:t>
      </w:r>
      <w:r>
        <w:rPr>
          <w:rFonts w:hint="eastAsia"/>
          <w:sz w:val="30"/>
          <w:szCs w:val="30"/>
        </w:rPr>
        <w:t>）鲁</w:t>
      </w:r>
      <w:r>
        <w:rPr>
          <w:rFonts w:hint="eastAsia"/>
          <w:sz w:val="30"/>
          <w:szCs w:val="30"/>
        </w:rPr>
        <w:t>1481</w:t>
      </w:r>
      <w:r>
        <w:rPr>
          <w:rFonts w:hint="eastAsia"/>
          <w:sz w:val="30"/>
          <w:szCs w:val="30"/>
        </w:rPr>
        <w:t>刑初</w:t>
      </w:r>
      <w:r>
        <w:rPr>
          <w:rFonts w:hint="eastAsia"/>
          <w:sz w:val="30"/>
          <w:szCs w:val="30"/>
        </w:rPr>
        <w:t>87</w:t>
      </w:r>
      <w:r>
        <w:rPr>
          <w:rFonts w:hint="eastAsia"/>
          <w:sz w:val="30"/>
          <w:szCs w:val="30"/>
        </w:rPr>
        <w:t>号</w:t>
      </w:r>
      <w:r>
        <w:rPr>
          <w:rFonts w:hint="eastAsia"/>
          <w:sz w:val="30"/>
          <w:szCs w:val="30"/>
        </w:rPr>
        <w:t>刑事判决书、（</w:t>
      </w:r>
      <w:r>
        <w:rPr>
          <w:rFonts w:hint="eastAsia"/>
          <w:sz w:val="30"/>
          <w:szCs w:val="30"/>
        </w:rPr>
        <w:t>2019</w:t>
      </w:r>
      <w:r>
        <w:rPr>
          <w:rFonts w:hint="eastAsia"/>
          <w:sz w:val="30"/>
          <w:szCs w:val="30"/>
        </w:rPr>
        <w:t>）鲁</w:t>
      </w:r>
      <w:r>
        <w:rPr>
          <w:rFonts w:hint="eastAsia"/>
          <w:sz w:val="30"/>
          <w:szCs w:val="30"/>
        </w:rPr>
        <w:t>1481</w:t>
      </w:r>
      <w:r>
        <w:rPr>
          <w:rFonts w:hint="eastAsia"/>
          <w:sz w:val="30"/>
          <w:szCs w:val="30"/>
        </w:rPr>
        <w:t>刑初</w:t>
      </w:r>
      <w:r>
        <w:rPr>
          <w:rFonts w:hint="eastAsia"/>
          <w:sz w:val="30"/>
          <w:szCs w:val="30"/>
        </w:rPr>
        <w:t>235</w:t>
      </w:r>
      <w:r>
        <w:rPr>
          <w:rFonts w:hint="eastAsia"/>
          <w:sz w:val="30"/>
          <w:szCs w:val="30"/>
        </w:rPr>
        <w:t>号刑事卷宗、营业执照及法定代表人身份证明、津陵公司记账凭证、乐陵市劳务经济技术开发总公司记账凭证、押金明细表、记账单、山东大华会计事务所出具的专项审计报告、车位租赁费收据，被告提交的《公司管理及利润分配办法》、津陵公司企业登记及变更登记档案、《天津港生产全过程业务外包合同》、杨玉平、张友明出具的证明、（</w:t>
      </w:r>
      <w:r>
        <w:rPr>
          <w:rFonts w:hint="eastAsia"/>
          <w:sz w:val="30"/>
          <w:szCs w:val="30"/>
        </w:rPr>
        <w:t>2017</w:t>
      </w:r>
      <w:r>
        <w:rPr>
          <w:rFonts w:hint="eastAsia"/>
          <w:sz w:val="30"/>
          <w:szCs w:val="30"/>
        </w:rPr>
        <w:t>）津</w:t>
      </w:r>
      <w:r>
        <w:rPr>
          <w:rFonts w:hint="eastAsia"/>
          <w:sz w:val="30"/>
          <w:szCs w:val="30"/>
        </w:rPr>
        <w:t>0116</w:t>
      </w:r>
      <w:r>
        <w:rPr>
          <w:rFonts w:hint="eastAsia"/>
          <w:sz w:val="30"/>
          <w:szCs w:val="30"/>
        </w:rPr>
        <w:t>民初</w:t>
      </w:r>
      <w:r>
        <w:rPr>
          <w:rFonts w:hint="eastAsia"/>
          <w:sz w:val="30"/>
          <w:szCs w:val="30"/>
        </w:rPr>
        <w:t>27983</w:t>
      </w:r>
      <w:r>
        <w:rPr>
          <w:rFonts w:hint="eastAsia"/>
          <w:sz w:val="30"/>
          <w:szCs w:val="30"/>
        </w:rPr>
        <w:t>号民事判决书、《确认书》、《天津港操作业务分包合同》、《天津港生产全过程承发包合同》、天津新港百福园底商</w:t>
      </w:r>
      <w:r>
        <w:rPr>
          <w:rFonts w:hint="eastAsia"/>
          <w:sz w:val="30"/>
          <w:szCs w:val="30"/>
        </w:rPr>
        <w:t>1-7</w:t>
      </w:r>
      <w:r>
        <w:rPr>
          <w:rFonts w:hint="eastAsia"/>
          <w:sz w:val="30"/>
          <w:szCs w:val="30"/>
        </w:rPr>
        <w:t>号、</w:t>
      </w:r>
      <w:r>
        <w:rPr>
          <w:rFonts w:hint="eastAsia"/>
          <w:sz w:val="30"/>
          <w:szCs w:val="30"/>
        </w:rPr>
        <w:t>1-8</w:t>
      </w:r>
      <w:r>
        <w:rPr>
          <w:rFonts w:hint="eastAsia"/>
          <w:sz w:val="30"/>
          <w:szCs w:val="30"/>
        </w:rPr>
        <w:t>号房产处监</w:t>
      </w:r>
      <w:r>
        <w:rPr>
          <w:rFonts w:hint="eastAsia"/>
          <w:sz w:val="30"/>
          <w:szCs w:val="30"/>
        </w:rPr>
        <w:t>控视频资料及截图、</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月津陵公司劳务工人工资表及截图、光盘、刘连栋名下中国农业银行银行卡交易明细清单、《记事本》、证人证言、乐陵市劳务经济技术开发总公司的聘书及津陵公司的纳税一览表及双方当事人当庭陈述为证。</w:t>
      </w:r>
    </w:p>
    <w:p w:rsidR="00000000" w:rsidRDefault="00A53AC7">
      <w:pPr>
        <w:spacing w:line="500" w:lineRule="atLeast"/>
        <w:ind w:firstLine="600"/>
        <w:divId w:val="657416573"/>
        <w:rPr>
          <w:rFonts w:hint="eastAsia"/>
          <w:sz w:val="30"/>
          <w:szCs w:val="30"/>
        </w:rPr>
      </w:pPr>
      <w:r>
        <w:rPr>
          <w:rFonts w:hint="eastAsia"/>
          <w:sz w:val="30"/>
          <w:szCs w:val="30"/>
        </w:rPr>
        <w:t>本院认为，本案系损害公司利益责任纠纷。对已生效的（</w:t>
      </w:r>
      <w:r>
        <w:rPr>
          <w:rFonts w:hint="eastAsia"/>
          <w:sz w:val="30"/>
          <w:szCs w:val="30"/>
        </w:rPr>
        <w:t>2019</w:t>
      </w:r>
      <w:r>
        <w:rPr>
          <w:rFonts w:hint="eastAsia"/>
          <w:sz w:val="30"/>
          <w:szCs w:val="30"/>
        </w:rPr>
        <w:t>）鲁</w:t>
      </w:r>
      <w:r>
        <w:rPr>
          <w:rFonts w:hint="eastAsia"/>
          <w:sz w:val="30"/>
          <w:szCs w:val="30"/>
        </w:rPr>
        <w:t>1481</w:t>
      </w:r>
      <w:r>
        <w:rPr>
          <w:rFonts w:hint="eastAsia"/>
          <w:sz w:val="30"/>
          <w:szCs w:val="30"/>
        </w:rPr>
        <w:t>刑初</w:t>
      </w:r>
      <w:r>
        <w:rPr>
          <w:rFonts w:hint="eastAsia"/>
          <w:sz w:val="30"/>
          <w:szCs w:val="30"/>
        </w:rPr>
        <w:t>235</w:t>
      </w:r>
      <w:r>
        <w:rPr>
          <w:rFonts w:hint="eastAsia"/>
          <w:sz w:val="30"/>
          <w:szCs w:val="30"/>
        </w:rPr>
        <w:t>号刑事判决书所确认的事实，本院予以认定。本案的争议焦点如下：一、津陵公司是否具有起诉的原告主体资格，潘玉华是否具有侵害津陵公司利益的主体资格；二、兴港公司和陆运一队的项目是潘玉华个人承包还是津陵公司承包项目；三、潘</w:t>
      </w:r>
      <w:r>
        <w:rPr>
          <w:rFonts w:hint="eastAsia"/>
          <w:sz w:val="30"/>
          <w:szCs w:val="30"/>
        </w:rPr>
        <w:t>玉华是否损害津陵公司的利益以及原告诉求的损害数额是否应予支持。根据查明的事实、证据，具体评述如下：</w:t>
      </w:r>
    </w:p>
    <w:p w:rsidR="00000000" w:rsidRDefault="00A53AC7">
      <w:pPr>
        <w:spacing w:line="500" w:lineRule="atLeast"/>
        <w:ind w:firstLine="600"/>
        <w:divId w:val="734822126"/>
        <w:rPr>
          <w:rFonts w:hint="eastAsia"/>
          <w:sz w:val="30"/>
          <w:szCs w:val="30"/>
        </w:rPr>
      </w:pPr>
      <w:r>
        <w:rPr>
          <w:rFonts w:hint="eastAsia"/>
          <w:sz w:val="30"/>
          <w:szCs w:val="30"/>
        </w:rPr>
        <w:t>关于争议焦点一，津陵公司是否具有起诉的原告主体资格问题，津陵公司于</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日成立，</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企业登记变更，股东由杨振岐、吕兆信、潘玉华变更为杨景成、潘玉华。公司是依法成立并依法变更登记，虽然津陵公司以乐陵总公司的名义对外签订合同进行劳务输出经营活动，但津陵公司是独立自主经营，津陵公司企业状态工商登记为在营企业，有独立的法人资格，其作为被侵权人，以自身利益受到损害为由，可以作为原告提起诉讼。</w:t>
      </w:r>
    </w:p>
    <w:p w:rsidR="00000000" w:rsidRDefault="00A53AC7">
      <w:pPr>
        <w:spacing w:line="500" w:lineRule="atLeast"/>
        <w:ind w:firstLine="600"/>
        <w:divId w:val="194970805"/>
        <w:rPr>
          <w:rFonts w:hint="eastAsia"/>
          <w:sz w:val="30"/>
          <w:szCs w:val="30"/>
        </w:rPr>
      </w:pPr>
      <w:r>
        <w:rPr>
          <w:rFonts w:hint="eastAsia"/>
          <w:sz w:val="30"/>
          <w:szCs w:val="30"/>
        </w:rPr>
        <w:t>认定潘玉华是否具有侵犯公司利益主体资格的前提是潘玉华应为公司的股东或董事、监事、高级管理人员。根据工商登记查询及变更登记档案可知被告潘玉华系津陵公司的股东、监事。《公司管理及利润分配办法》明确了潘玉华对津陵公司享有并行使经营管理权，且原、被告均认可潘玉华负责津陵公司的经营管理实务，结合证人贾某关于“潘玉华对外自称是经理，杨振岐全权委托给潘玉华”的证言，被告虽抗辩津陵公司并未给潘玉华颁发聘书，但应认定潘玉华系津陵公司的实际经营管理人，具备津陵公司高级管理人员的资格，且潘玉华所为之行为直接指向的利益主体为公司</w:t>
      </w:r>
      <w:r>
        <w:rPr>
          <w:rFonts w:hint="eastAsia"/>
          <w:sz w:val="30"/>
          <w:szCs w:val="30"/>
        </w:rPr>
        <w:t>。因此，潘玉华在本次诉讼中具备侵害公司利益的主体资格。至于潘玉华的股东、监事身份是否经正当程序登记确认亦或津陵公司公章是否合法变更不是本案的审查范围，被告在无相反证据推翻潘玉华股东、监事身份的情况下，对其潘玉华不具侵害津陵公司利益主体资格的抗辩，本院不予采信。</w:t>
      </w:r>
    </w:p>
    <w:p w:rsidR="00000000" w:rsidRDefault="00A53AC7">
      <w:pPr>
        <w:spacing w:line="500" w:lineRule="atLeast"/>
        <w:ind w:firstLine="600"/>
        <w:divId w:val="547108430"/>
        <w:rPr>
          <w:rFonts w:hint="eastAsia"/>
          <w:sz w:val="30"/>
          <w:szCs w:val="30"/>
        </w:rPr>
      </w:pPr>
      <w:r>
        <w:rPr>
          <w:rFonts w:hint="eastAsia"/>
          <w:sz w:val="30"/>
          <w:szCs w:val="30"/>
        </w:rPr>
        <w:t>关于争议焦点二，杨振岐与潘玉华签订的《公司管理及利润分配办法》仅约定了公司的管理和利润分配办法，并非承包经营协议，即并未约定潘玉华对津陵公司的业务进行承包经营。已生效（</w:t>
      </w:r>
      <w:r>
        <w:rPr>
          <w:rFonts w:hint="eastAsia"/>
          <w:sz w:val="30"/>
          <w:szCs w:val="30"/>
        </w:rPr>
        <w:t>2019</w:t>
      </w:r>
      <w:r>
        <w:rPr>
          <w:rFonts w:hint="eastAsia"/>
          <w:sz w:val="30"/>
          <w:szCs w:val="30"/>
        </w:rPr>
        <w:t>）鲁</w:t>
      </w:r>
      <w:r>
        <w:rPr>
          <w:rFonts w:hint="eastAsia"/>
          <w:sz w:val="30"/>
          <w:szCs w:val="30"/>
        </w:rPr>
        <w:t>1481</w:t>
      </w:r>
      <w:r>
        <w:rPr>
          <w:rFonts w:hint="eastAsia"/>
          <w:sz w:val="30"/>
          <w:szCs w:val="30"/>
        </w:rPr>
        <w:t>刑初</w:t>
      </w:r>
      <w:r>
        <w:rPr>
          <w:rFonts w:hint="eastAsia"/>
          <w:sz w:val="30"/>
          <w:szCs w:val="30"/>
        </w:rPr>
        <w:t>235</w:t>
      </w:r>
      <w:r>
        <w:rPr>
          <w:rFonts w:hint="eastAsia"/>
          <w:sz w:val="30"/>
          <w:szCs w:val="30"/>
        </w:rPr>
        <w:t>号刑事判决书认定现有证据并不能证实兴港项目系挂靠业务</w:t>
      </w:r>
      <w:r>
        <w:rPr>
          <w:rFonts w:hint="eastAsia"/>
          <w:sz w:val="30"/>
          <w:szCs w:val="30"/>
        </w:rPr>
        <w:t>，而是由乐陵总公司承接业务后按照历史延续，由津陵公司全权负责。至于陆运一队项目，乐陵总公司证明其承包该项业务后，按照历史延续，陆运一队业务由津陵公司全权负责，陆运一队所得费用，其公司扣除相关费用后，全部转至津陵公司，由津陵公司负责分配。已生效（</w:t>
      </w:r>
      <w:r>
        <w:rPr>
          <w:rFonts w:hint="eastAsia"/>
          <w:sz w:val="30"/>
          <w:szCs w:val="30"/>
        </w:rPr>
        <w:t>2019</w:t>
      </w:r>
      <w:r>
        <w:rPr>
          <w:rFonts w:hint="eastAsia"/>
          <w:sz w:val="30"/>
          <w:szCs w:val="30"/>
        </w:rPr>
        <w:t>）鲁</w:t>
      </w:r>
      <w:r>
        <w:rPr>
          <w:rFonts w:hint="eastAsia"/>
          <w:sz w:val="30"/>
          <w:szCs w:val="30"/>
        </w:rPr>
        <w:t>1481</w:t>
      </w:r>
      <w:r>
        <w:rPr>
          <w:rFonts w:hint="eastAsia"/>
          <w:sz w:val="30"/>
          <w:szCs w:val="30"/>
        </w:rPr>
        <w:t>刑初</w:t>
      </w:r>
      <w:r>
        <w:rPr>
          <w:rFonts w:hint="eastAsia"/>
          <w:sz w:val="30"/>
          <w:szCs w:val="30"/>
        </w:rPr>
        <w:t>235</w:t>
      </w:r>
      <w:r>
        <w:rPr>
          <w:rFonts w:hint="eastAsia"/>
          <w:sz w:val="30"/>
          <w:szCs w:val="30"/>
        </w:rPr>
        <w:t>号刑事判决书认定现有证据不能证实陆运一队项目系潘玉华个人承包。综上，根据本院查明的其他事实及相应证据，结合（</w:t>
      </w:r>
      <w:r>
        <w:rPr>
          <w:rFonts w:hint="eastAsia"/>
          <w:sz w:val="30"/>
          <w:szCs w:val="30"/>
        </w:rPr>
        <w:t>2019</w:t>
      </w:r>
      <w:r>
        <w:rPr>
          <w:rFonts w:hint="eastAsia"/>
          <w:sz w:val="30"/>
          <w:szCs w:val="30"/>
        </w:rPr>
        <w:t>）鲁</w:t>
      </w:r>
      <w:r>
        <w:rPr>
          <w:rFonts w:hint="eastAsia"/>
          <w:sz w:val="30"/>
          <w:szCs w:val="30"/>
        </w:rPr>
        <w:t>1481</w:t>
      </w:r>
      <w:r>
        <w:rPr>
          <w:rFonts w:hint="eastAsia"/>
          <w:sz w:val="30"/>
          <w:szCs w:val="30"/>
        </w:rPr>
        <w:t>刑初</w:t>
      </w:r>
      <w:r>
        <w:rPr>
          <w:rFonts w:hint="eastAsia"/>
          <w:sz w:val="30"/>
          <w:szCs w:val="30"/>
        </w:rPr>
        <w:t>235</w:t>
      </w:r>
      <w:r>
        <w:rPr>
          <w:rFonts w:hint="eastAsia"/>
          <w:sz w:val="30"/>
          <w:szCs w:val="30"/>
        </w:rPr>
        <w:t>号刑事判决书的事实认定，对被告潘玉华主张兴港项目、陆运一队项目系潘玉华个人承包的抗辩，本院不予采信。</w:t>
      </w:r>
    </w:p>
    <w:p w:rsidR="00000000" w:rsidRDefault="00A53AC7">
      <w:pPr>
        <w:spacing w:line="500" w:lineRule="atLeast"/>
        <w:ind w:firstLine="600"/>
        <w:divId w:val="1645112477"/>
        <w:rPr>
          <w:rFonts w:hint="eastAsia"/>
          <w:sz w:val="30"/>
          <w:szCs w:val="30"/>
        </w:rPr>
      </w:pPr>
      <w:r>
        <w:rPr>
          <w:rFonts w:hint="eastAsia"/>
          <w:sz w:val="30"/>
          <w:szCs w:val="30"/>
        </w:rPr>
        <w:t>关于争议焦点三，根据《中华人民共和国公司法》第二十条的规定</w:t>
      </w:r>
      <w:r>
        <w:rPr>
          <w:rFonts w:hint="eastAsia"/>
          <w:sz w:val="30"/>
          <w:szCs w:val="30"/>
        </w:rPr>
        <w:t>,</w:t>
      </w:r>
      <w:r>
        <w:rPr>
          <w:rFonts w:hint="eastAsia"/>
          <w:sz w:val="30"/>
          <w:szCs w:val="30"/>
        </w:rPr>
        <w:t>公司股东应当遵守法律、行政法规和公司章程</w:t>
      </w:r>
      <w:r>
        <w:rPr>
          <w:rFonts w:hint="eastAsia"/>
          <w:sz w:val="30"/>
          <w:szCs w:val="30"/>
        </w:rPr>
        <w:t>,</w:t>
      </w:r>
      <w:r>
        <w:rPr>
          <w:rFonts w:hint="eastAsia"/>
          <w:sz w:val="30"/>
          <w:szCs w:val="30"/>
        </w:rPr>
        <w:t>依法行使股东权利</w:t>
      </w:r>
      <w:r>
        <w:rPr>
          <w:rFonts w:hint="eastAsia"/>
          <w:sz w:val="30"/>
          <w:szCs w:val="30"/>
        </w:rPr>
        <w:t>,</w:t>
      </w:r>
      <w:r>
        <w:rPr>
          <w:rFonts w:hint="eastAsia"/>
          <w:sz w:val="30"/>
          <w:szCs w:val="30"/>
        </w:rPr>
        <w:t>不得滥用股东权利损害公司或者其他股东的利益。公司股东滥用股东权利给公司或者其他股东造成损失的</w:t>
      </w:r>
      <w:r>
        <w:rPr>
          <w:rFonts w:hint="eastAsia"/>
          <w:sz w:val="30"/>
          <w:szCs w:val="30"/>
        </w:rPr>
        <w:t>,</w:t>
      </w:r>
      <w:r>
        <w:rPr>
          <w:rFonts w:hint="eastAsia"/>
          <w:sz w:val="30"/>
          <w:szCs w:val="30"/>
        </w:rPr>
        <w:t>应当依法承担赔偿责任；第一百四十七条第一款规定，董事、监事、高级管理人员应当遵守法律、行政法规和公司章程</w:t>
      </w:r>
      <w:r>
        <w:rPr>
          <w:rFonts w:hint="eastAsia"/>
          <w:sz w:val="30"/>
          <w:szCs w:val="30"/>
        </w:rPr>
        <w:t>,</w:t>
      </w:r>
      <w:r>
        <w:rPr>
          <w:rFonts w:hint="eastAsia"/>
          <w:sz w:val="30"/>
          <w:szCs w:val="30"/>
        </w:rPr>
        <w:t>对公司负有忠实义务和勤勉义务；第一百四十九条规定，董事、监事、高级管理人员执行公司职务时违反法律、行政法规或者公司章程的规定</w:t>
      </w:r>
      <w:r>
        <w:rPr>
          <w:rFonts w:hint="eastAsia"/>
          <w:sz w:val="30"/>
          <w:szCs w:val="30"/>
        </w:rPr>
        <w:t>,</w:t>
      </w:r>
      <w:r>
        <w:rPr>
          <w:rFonts w:hint="eastAsia"/>
          <w:sz w:val="30"/>
          <w:szCs w:val="30"/>
        </w:rPr>
        <w:t>给公司造成损失的</w:t>
      </w:r>
      <w:r>
        <w:rPr>
          <w:rFonts w:hint="eastAsia"/>
          <w:sz w:val="30"/>
          <w:szCs w:val="30"/>
        </w:rPr>
        <w:t>,</w:t>
      </w:r>
      <w:r>
        <w:rPr>
          <w:rFonts w:hint="eastAsia"/>
          <w:sz w:val="30"/>
          <w:szCs w:val="30"/>
        </w:rPr>
        <w:t>应当承担赔偿责任。本案中</w:t>
      </w:r>
      <w:r>
        <w:rPr>
          <w:rFonts w:hint="eastAsia"/>
          <w:sz w:val="30"/>
          <w:szCs w:val="30"/>
        </w:rPr>
        <w:t>,</w:t>
      </w:r>
      <w:r>
        <w:rPr>
          <w:rFonts w:hint="eastAsia"/>
          <w:sz w:val="30"/>
          <w:szCs w:val="30"/>
        </w:rPr>
        <w:t>被告潘玉华作为津陵公</w:t>
      </w:r>
      <w:r>
        <w:rPr>
          <w:rFonts w:hint="eastAsia"/>
          <w:sz w:val="30"/>
          <w:szCs w:val="30"/>
        </w:rPr>
        <w:t>司的股东、监事及高级管理人员，在津陵公司负责兴港项目和陆运一队项目时存在公司账目公私混同、账外设账的情形，根据兴港、陆运一队两部分应付款的记账凭证显示，潘玉华指使会计贾某多次将项目利润转入转出至潘玉华个人及其亲属私人账户，但被告未提交证据证明对款项支出系为公司经营所用或为公司利益用途，亦未作出合理解释，应当认定是对津陵公司财产的侵犯</w:t>
      </w:r>
      <w:r>
        <w:rPr>
          <w:rFonts w:hint="eastAsia"/>
          <w:sz w:val="30"/>
          <w:szCs w:val="30"/>
        </w:rPr>
        <w:t>,</w:t>
      </w:r>
      <w:r>
        <w:rPr>
          <w:rFonts w:hint="eastAsia"/>
          <w:sz w:val="30"/>
          <w:szCs w:val="30"/>
        </w:rPr>
        <w:t>损害了津陵公司的利益。因此，兴港、陆运一队两项目的利润应当予以返还。至于返还的数额，津陵公司应付款记账凭证中关于兴港、陆运一队两个项目存在支出，但已生效（</w:t>
      </w:r>
      <w:r>
        <w:rPr>
          <w:rFonts w:hint="eastAsia"/>
          <w:sz w:val="30"/>
          <w:szCs w:val="30"/>
        </w:rPr>
        <w:t>2019</w:t>
      </w:r>
      <w:r>
        <w:rPr>
          <w:rFonts w:hint="eastAsia"/>
          <w:sz w:val="30"/>
          <w:szCs w:val="30"/>
        </w:rPr>
        <w:t>）鲁</w:t>
      </w:r>
      <w:r>
        <w:rPr>
          <w:rFonts w:hint="eastAsia"/>
          <w:sz w:val="30"/>
          <w:szCs w:val="30"/>
        </w:rPr>
        <w:t>1481</w:t>
      </w:r>
      <w:r>
        <w:rPr>
          <w:rFonts w:hint="eastAsia"/>
          <w:sz w:val="30"/>
          <w:szCs w:val="30"/>
        </w:rPr>
        <w:t>刑</w:t>
      </w:r>
      <w:r>
        <w:rPr>
          <w:rFonts w:hint="eastAsia"/>
          <w:sz w:val="30"/>
          <w:szCs w:val="30"/>
        </w:rPr>
        <w:t>初</w:t>
      </w:r>
      <w:r>
        <w:rPr>
          <w:rFonts w:hint="eastAsia"/>
          <w:sz w:val="30"/>
          <w:szCs w:val="30"/>
        </w:rPr>
        <w:t>235</w:t>
      </w:r>
      <w:r>
        <w:rPr>
          <w:rFonts w:hint="eastAsia"/>
          <w:sz w:val="30"/>
          <w:szCs w:val="30"/>
        </w:rPr>
        <w:t>号刑事判决书认定兴港项目利润转出的记账凭证之后未附有资金转出的相关凭证单据，且公司银行账户的资金进出与会计账簿、记账凭证记载并不一致，结合兴港项目的一部分利润被刘连栋等人支取，还有一部分尚在津陵公司账户中，以及虽潘玉华指使会计贾某将陆运一队的项目收入</w:t>
      </w:r>
      <w:r>
        <w:rPr>
          <w:rFonts w:hint="eastAsia"/>
          <w:sz w:val="30"/>
          <w:szCs w:val="30"/>
        </w:rPr>
        <w:t>9442693.09</w:t>
      </w:r>
      <w:r>
        <w:rPr>
          <w:rFonts w:hint="eastAsia"/>
          <w:sz w:val="30"/>
          <w:szCs w:val="30"/>
        </w:rPr>
        <w:t>元在公司账目上作了下账支出，但有证据证实陆运一队经营过程中含有一定的经营费用，因而无法认定兴港项目及陆运一队项目的利润已由潘玉华实际占有及占有的数额。是故，原告在本案中没有提供相反证据足以推翻已生效裁判文书关于潘玉华占有数额不明确的认</w:t>
      </w:r>
      <w:r>
        <w:rPr>
          <w:rFonts w:hint="eastAsia"/>
          <w:sz w:val="30"/>
          <w:szCs w:val="30"/>
        </w:rPr>
        <w:t>定之情况下，本院对（</w:t>
      </w:r>
      <w:r>
        <w:rPr>
          <w:rFonts w:hint="eastAsia"/>
          <w:sz w:val="30"/>
          <w:szCs w:val="30"/>
        </w:rPr>
        <w:t>2019</w:t>
      </w:r>
      <w:r>
        <w:rPr>
          <w:rFonts w:hint="eastAsia"/>
          <w:sz w:val="30"/>
          <w:szCs w:val="30"/>
        </w:rPr>
        <w:t>）鲁</w:t>
      </w:r>
      <w:r>
        <w:rPr>
          <w:rFonts w:hint="eastAsia"/>
          <w:sz w:val="30"/>
          <w:szCs w:val="30"/>
        </w:rPr>
        <w:t>1481</w:t>
      </w:r>
      <w:r>
        <w:rPr>
          <w:rFonts w:hint="eastAsia"/>
          <w:sz w:val="30"/>
          <w:szCs w:val="30"/>
        </w:rPr>
        <w:t>刑初</w:t>
      </w:r>
      <w:r>
        <w:rPr>
          <w:rFonts w:hint="eastAsia"/>
          <w:sz w:val="30"/>
          <w:szCs w:val="30"/>
        </w:rPr>
        <w:t>235</w:t>
      </w:r>
      <w:r>
        <w:rPr>
          <w:rFonts w:hint="eastAsia"/>
          <w:sz w:val="30"/>
          <w:szCs w:val="30"/>
        </w:rPr>
        <w:t>号刑事判决书确认的事实予以认定。另外，原告提交的其自行委托山东大华会计师事务所有限公司出具的审计报告结论，一方面在“津陵公司记账不规范、凭证编号不连续、有的没有原始凭证”的特别说明下，其结论“利润”额难以证明该</w:t>
      </w:r>
      <w:r>
        <w:rPr>
          <w:rFonts w:hint="eastAsia"/>
          <w:sz w:val="30"/>
          <w:szCs w:val="30"/>
        </w:rPr>
        <w:t>2903368.78</w:t>
      </w:r>
      <w:r>
        <w:rPr>
          <w:rFonts w:hint="eastAsia"/>
          <w:sz w:val="30"/>
          <w:szCs w:val="30"/>
        </w:rPr>
        <w:t>元、</w:t>
      </w:r>
      <w:r>
        <w:rPr>
          <w:rFonts w:hint="eastAsia"/>
          <w:sz w:val="30"/>
          <w:szCs w:val="30"/>
        </w:rPr>
        <w:t>9442693.09</w:t>
      </w:r>
      <w:r>
        <w:rPr>
          <w:rFonts w:hint="eastAsia"/>
          <w:sz w:val="30"/>
          <w:szCs w:val="30"/>
        </w:rPr>
        <w:t>元的数额系津陵公司关于兴港项目及陆运一队项目实际意义的利润。另一方面该审计报告系津陵公司单方委托，被告对该审计结论不予认可。因此，对津陵公司主张潘玉华返还兴港、陆运一队两个项目利润共计</w:t>
      </w:r>
      <w:r>
        <w:rPr>
          <w:rFonts w:hint="eastAsia"/>
          <w:sz w:val="30"/>
          <w:szCs w:val="30"/>
        </w:rPr>
        <w:t>12349100.39</w:t>
      </w:r>
      <w:r>
        <w:rPr>
          <w:rFonts w:hint="eastAsia"/>
          <w:sz w:val="30"/>
          <w:szCs w:val="30"/>
        </w:rPr>
        <w:t>元</w:t>
      </w:r>
      <w:r>
        <w:rPr>
          <w:rFonts w:hint="eastAsia"/>
          <w:sz w:val="30"/>
          <w:szCs w:val="30"/>
        </w:rPr>
        <w:t>的主张，本院不予支持。</w:t>
      </w:r>
    </w:p>
    <w:p w:rsidR="00000000" w:rsidRDefault="00A53AC7">
      <w:pPr>
        <w:spacing w:line="500" w:lineRule="atLeast"/>
        <w:ind w:firstLine="600"/>
        <w:divId w:val="2099665973"/>
        <w:rPr>
          <w:rFonts w:hint="eastAsia"/>
          <w:sz w:val="30"/>
          <w:szCs w:val="30"/>
        </w:rPr>
      </w:pPr>
      <w:r>
        <w:rPr>
          <w:rFonts w:hint="eastAsia"/>
          <w:sz w:val="30"/>
          <w:szCs w:val="30"/>
        </w:rPr>
        <w:t>关于原告主张履约保证金</w:t>
      </w:r>
      <w:r>
        <w:rPr>
          <w:rFonts w:hint="eastAsia"/>
          <w:sz w:val="30"/>
          <w:szCs w:val="30"/>
        </w:rPr>
        <w:t>1176700</w:t>
      </w:r>
      <w:r>
        <w:rPr>
          <w:rFonts w:hint="eastAsia"/>
          <w:sz w:val="30"/>
          <w:szCs w:val="30"/>
        </w:rPr>
        <w:t>元是否应当返还的问题。工人缴纳的履约保证金系工人作为劳动者向用人单位缴纳的保证金，旨在提供担保。该履约保证金缴纳的合法性以及津陵公司的代偿追索行为与本案不是一个法律关系，不属本案审理范围</w:t>
      </w:r>
      <w:r>
        <w:rPr>
          <w:rFonts w:hint="eastAsia"/>
          <w:sz w:val="30"/>
          <w:szCs w:val="30"/>
        </w:rPr>
        <w:t>,</w:t>
      </w:r>
      <w:r>
        <w:rPr>
          <w:rFonts w:hint="eastAsia"/>
          <w:sz w:val="30"/>
          <w:szCs w:val="30"/>
        </w:rPr>
        <w:t>本案不予处理，原告可另行主张权利。</w:t>
      </w:r>
    </w:p>
    <w:p w:rsidR="00000000" w:rsidRDefault="00A53AC7">
      <w:pPr>
        <w:spacing w:line="500" w:lineRule="atLeast"/>
        <w:ind w:firstLine="600"/>
        <w:divId w:val="127167228"/>
        <w:rPr>
          <w:rFonts w:hint="eastAsia"/>
          <w:sz w:val="30"/>
          <w:szCs w:val="30"/>
        </w:rPr>
      </w:pPr>
      <w:r>
        <w:rPr>
          <w:rFonts w:hint="eastAsia"/>
          <w:sz w:val="30"/>
          <w:szCs w:val="30"/>
        </w:rPr>
        <w:t>关于原告主张车位租赁费</w:t>
      </w:r>
      <w:r>
        <w:rPr>
          <w:rFonts w:hint="eastAsia"/>
          <w:sz w:val="30"/>
          <w:szCs w:val="30"/>
        </w:rPr>
        <w:t>157500</w:t>
      </w:r>
      <w:r>
        <w:rPr>
          <w:rFonts w:hint="eastAsia"/>
          <w:sz w:val="30"/>
          <w:szCs w:val="30"/>
        </w:rPr>
        <w:t>元是否应当返还的问题。根据公安机关对潘玉华所作讯问中，潘玉华自认其在天津市滨海新区瑞湾国际汇馆购买车位的钱是从津陵公司</w:t>
      </w:r>
      <w:r>
        <w:rPr>
          <w:rFonts w:hint="eastAsia"/>
          <w:sz w:val="30"/>
          <w:szCs w:val="30"/>
        </w:rPr>
        <w:t>40%</w:t>
      </w:r>
      <w:r>
        <w:rPr>
          <w:rFonts w:hint="eastAsia"/>
          <w:sz w:val="30"/>
          <w:szCs w:val="30"/>
        </w:rPr>
        <w:t>的经营管理费用里列支的，该</w:t>
      </w:r>
      <w:r>
        <w:rPr>
          <w:rFonts w:hint="eastAsia"/>
          <w:sz w:val="30"/>
          <w:szCs w:val="30"/>
        </w:rPr>
        <w:t>157500</w:t>
      </w:r>
      <w:r>
        <w:rPr>
          <w:rFonts w:hint="eastAsia"/>
          <w:sz w:val="30"/>
          <w:szCs w:val="30"/>
        </w:rPr>
        <w:t>元车位租赁费已在津陵公司账目中进行报销。被告潘玉华抗辩购买该瑞湾国际车位系用于停放公司车辆，属于可报销范畴，但根据刑事判决书载明“贾某证明，证实津陵公司我知道有一辆办公用车，这辆车平时就停放在百福园小区津陵公司办公室的外面。津陵公司在瑞湾国际没有办公地点，我不清楚津陵公司在瑞湾国际有无停车位”的内容，且被告未进一步</w:t>
      </w:r>
      <w:r>
        <w:rPr>
          <w:rFonts w:hint="eastAsia"/>
          <w:sz w:val="30"/>
          <w:szCs w:val="30"/>
        </w:rPr>
        <w:t>举证证明在非办公地点瑞湾国际购买车位系出于公司经营所需或为公司利益，故被告潘玉华报销瑞湾国际车位的行为，损害了津陵公司利益，应在公司所受损失的范围内承担赔偿责任，原告主张被告潘玉华返还车位租赁费</w:t>
      </w:r>
      <w:r>
        <w:rPr>
          <w:rFonts w:hint="eastAsia"/>
          <w:sz w:val="30"/>
          <w:szCs w:val="30"/>
        </w:rPr>
        <w:t>157500</w:t>
      </w:r>
      <w:r>
        <w:rPr>
          <w:rFonts w:hint="eastAsia"/>
          <w:sz w:val="30"/>
          <w:szCs w:val="30"/>
        </w:rPr>
        <w:t>元具有事实及法律依据，本院予以支持。</w:t>
      </w:r>
    </w:p>
    <w:p w:rsidR="00000000" w:rsidRDefault="00A53AC7">
      <w:pPr>
        <w:spacing w:line="500" w:lineRule="atLeast"/>
        <w:ind w:firstLine="600"/>
        <w:divId w:val="1574779701"/>
        <w:rPr>
          <w:rFonts w:hint="eastAsia"/>
          <w:sz w:val="30"/>
          <w:szCs w:val="30"/>
        </w:rPr>
      </w:pPr>
      <w:r>
        <w:rPr>
          <w:rFonts w:hint="eastAsia"/>
          <w:sz w:val="30"/>
          <w:szCs w:val="30"/>
        </w:rPr>
        <w:t>综上</w:t>
      </w:r>
      <w:r>
        <w:rPr>
          <w:rFonts w:hint="eastAsia"/>
          <w:sz w:val="30"/>
          <w:szCs w:val="30"/>
        </w:rPr>
        <w:t>,</w:t>
      </w:r>
      <w:r>
        <w:rPr>
          <w:rFonts w:hint="eastAsia"/>
          <w:sz w:val="30"/>
          <w:szCs w:val="30"/>
        </w:rPr>
        <w:t>依照《中华人民共和国公司法》第二十条、第一百四十七条、第一百四十八条、第一百四十九条</w:t>
      </w:r>
      <w:r>
        <w:rPr>
          <w:rFonts w:hint="eastAsia"/>
          <w:sz w:val="30"/>
          <w:szCs w:val="30"/>
        </w:rPr>
        <w:t>,</w:t>
      </w:r>
      <w:r>
        <w:rPr>
          <w:rFonts w:hint="eastAsia"/>
          <w:sz w:val="30"/>
          <w:szCs w:val="30"/>
        </w:rPr>
        <w:t>《中华人民共和民事诉讼法》第六十四条，《最高人民法院关于适用〈中华人民共和国民事诉讼法〉的解释》第九十条规定</w:t>
      </w:r>
      <w:r>
        <w:rPr>
          <w:rFonts w:hint="eastAsia"/>
          <w:sz w:val="30"/>
          <w:szCs w:val="30"/>
        </w:rPr>
        <w:t>,</w:t>
      </w:r>
      <w:r>
        <w:rPr>
          <w:rFonts w:hint="eastAsia"/>
          <w:sz w:val="30"/>
          <w:szCs w:val="30"/>
        </w:rPr>
        <w:t>判决如下</w:t>
      </w:r>
      <w:r>
        <w:rPr>
          <w:rFonts w:hint="eastAsia"/>
          <w:sz w:val="30"/>
          <w:szCs w:val="30"/>
        </w:rPr>
        <w:t>:</w:t>
      </w:r>
    </w:p>
    <w:p w:rsidR="00000000" w:rsidRDefault="00A53AC7">
      <w:pPr>
        <w:spacing w:line="500" w:lineRule="atLeast"/>
        <w:ind w:firstLine="600"/>
        <w:divId w:val="2069449316"/>
        <w:rPr>
          <w:rFonts w:hint="eastAsia"/>
          <w:sz w:val="30"/>
          <w:szCs w:val="30"/>
        </w:rPr>
      </w:pPr>
      <w:r>
        <w:rPr>
          <w:rFonts w:hint="eastAsia"/>
          <w:sz w:val="30"/>
          <w:szCs w:val="30"/>
        </w:rPr>
        <w:t>一、被告潘玉华于本判决生效之日起十日内向原告乐陵市津陵</w:t>
      </w:r>
      <w:r>
        <w:rPr>
          <w:rFonts w:hint="eastAsia"/>
          <w:sz w:val="30"/>
          <w:szCs w:val="30"/>
        </w:rPr>
        <w:t>劳务经济技术有限责任公司返还车位租赁费</w:t>
      </w:r>
      <w:r>
        <w:rPr>
          <w:rFonts w:hint="eastAsia"/>
          <w:sz w:val="30"/>
          <w:szCs w:val="30"/>
        </w:rPr>
        <w:t>157500</w:t>
      </w:r>
      <w:r>
        <w:rPr>
          <w:rFonts w:hint="eastAsia"/>
          <w:sz w:val="30"/>
          <w:szCs w:val="30"/>
        </w:rPr>
        <w:t>元；</w:t>
      </w:r>
    </w:p>
    <w:p w:rsidR="00000000" w:rsidRDefault="00A53AC7">
      <w:pPr>
        <w:spacing w:line="500" w:lineRule="atLeast"/>
        <w:ind w:firstLine="600"/>
        <w:divId w:val="1786651257"/>
        <w:rPr>
          <w:rFonts w:hint="eastAsia"/>
          <w:sz w:val="30"/>
          <w:szCs w:val="30"/>
        </w:rPr>
      </w:pPr>
      <w:r>
        <w:rPr>
          <w:rFonts w:hint="eastAsia"/>
          <w:sz w:val="30"/>
          <w:szCs w:val="30"/>
        </w:rPr>
        <w:t>二、驳回原告乐陵市津陵劳务经济技术有限责任公司的其他诉讼请求。</w:t>
      </w:r>
    </w:p>
    <w:p w:rsidR="00000000" w:rsidRDefault="00A53AC7">
      <w:pPr>
        <w:spacing w:line="500" w:lineRule="atLeast"/>
        <w:ind w:firstLine="600"/>
        <w:divId w:val="2068261218"/>
        <w:rPr>
          <w:rFonts w:hint="eastAsia"/>
          <w:sz w:val="30"/>
          <w:szCs w:val="30"/>
        </w:rPr>
      </w:pPr>
      <w:r>
        <w:rPr>
          <w:rFonts w:hint="eastAsia"/>
          <w:sz w:val="30"/>
          <w:szCs w:val="30"/>
        </w:rPr>
        <w:t>如果未按本判决指定的期间履行金钱给付义务，应当依照《中华人民共和国民事诉讼法》第二百五十三条之规定，加倍支付迟延履行期间的债务利息。</w:t>
      </w:r>
    </w:p>
    <w:p w:rsidR="00000000" w:rsidRDefault="00A53AC7">
      <w:pPr>
        <w:spacing w:line="500" w:lineRule="atLeast"/>
        <w:ind w:firstLine="600"/>
        <w:divId w:val="815490299"/>
        <w:rPr>
          <w:rFonts w:hint="eastAsia"/>
          <w:sz w:val="30"/>
          <w:szCs w:val="30"/>
        </w:rPr>
      </w:pPr>
      <w:r>
        <w:rPr>
          <w:rFonts w:hint="eastAsia"/>
          <w:sz w:val="30"/>
          <w:szCs w:val="30"/>
        </w:rPr>
        <w:t>案件受理费</w:t>
      </w:r>
      <w:r>
        <w:rPr>
          <w:rFonts w:hint="eastAsia"/>
          <w:sz w:val="30"/>
          <w:szCs w:val="30"/>
        </w:rPr>
        <w:t>52438.5</w:t>
      </w:r>
      <w:r>
        <w:rPr>
          <w:rFonts w:hint="eastAsia"/>
          <w:sz w:val="30"/>
          <w:szCs w:val="30"/>
        </w:rPr>
        <w:t>元，保全费</w:t>
      </w:r>
      <w:r>
        <w:rPr>
          <w:rFonts w:hint="eastAsia"/>
          <w:sz w:val="30"/>
          <w:szCs w:val="30"/>
        </w:rPr>
        <w:t>5000</w:t>
      </w:r>
      <w:r>
        <w:rPr>
          <w:rFonts w:hint="eastAsia"/>
          <w:sz w:val="30"/>
          <w:szCs w:val="30"/>
        </w:rPr>
        <w:t>元，由被告潘玉华负担</w:t>
      </w:r>
      <w:r>
        <w:rPr>
          <w:rFonts w:hint="eastAsia"/>
          <w:sz w:val="30"/>
          <w:szCs w:val="30"/>
        </w:rPr>
        <w:t>653.4</w:t>
      </w:r>
      <w:r>
        <w:rPr>
          <w:rFonts w:hint="eastAsia"/>
          <w:sz w:val="30"/>
          <w:szCs w:val="30"/>
        </w:rPr>
        <w:t>元，由原告乐陵市津陵劳务经济技术有限责任公司负担</w:t>
      </w:r>
      <w:r>
        <w:rPr>
          <w:rFonts w:hint="eastAsia"/>
          <w:sz w:val="30"/>
          <w:szCs w:val="30"/>
        </w:rPr>
        <w:t>56785.1</w:t>
      </w:r>
      <w:r>
        <w:rPr>
          <w:rFonts w:hint="eastAsia"/>
          <w:sz w:val="30"/>
          <w:szCs w:val="30"/>
        </w:rPr>
        <w:t>元。</w:t>
      </w:r>
    </w:p>
    <w:p w:rsidR="00000000" w:rsidRDefault="00A53AC7">
      <w:pPr>
        <w:spacing w:line="500" w:lineRule="atLeast"/>
        <w:ind w:firstLine="600"/>
        <w:divId w:val="235744351"/>
        <w:rPr>
          <w:rFonts w:hint="eastAsia"/>
          <w:sz w:val="30"/>
          <w:szCs w:val="30"/>
        </w:rPr>
      </w:pPr>
      <w:r>
        <w:rPr>
          <w:rFonts w:hint="eastAsia"/>
          <w:sz w:val="30"/>
          <w:szCs w:val="30"/>
        </w:rPr>
        <w:t>如不服本判决，可在判决书送达之日起十五日内，向本院递交上诉状，并按对方当事人的人数提出副本，上诉于山东省德州市中级人民</w:t>
      </w:r>
      <w:r>
        <w:rPr>
          <w:rFonts w:hint="eastAsia"/>
          <w:sz w:val="30"/>
          <w:szCs w:val="30"/>
        </w:rPr>
        <w:t>法院。</w:t>
      </w:r>
    </w:p>
    <w:p w:rsidR="00000000" w:rsidRDefault="00A53AC7">
      <w:pPr>
        <w:spacing w:line="500" w:lineRule="atLeast"/>
        <w:jc w:val="right"/>
        <w:divId w:val="1008216842"/>
        <w:rPr>
          <w:rFonts w:hint="eastAsia"/>
          <w:sz w:val="30"/>
          <w:szCs w:val="30"/>
        </w:rPr>
      </w:pPr>
      <w:r>
        <w:rPr>
          <w:rFonts w:hint="eastAsia"/>
          <w:sz w:val="30"/>
          <w:szCs w:val="30"/>
        </w:rPr>
        <w:t>审判员　　李卫东</w:t>
      </w:r>
    </w:p>
    <w:p w:rsidR="00000000" w:rsidRDefault="00A53AC7">
      <w:pPr>
        <w:spacing w:line="500" w:lineRule="atLeast"/>
        <w:jc w:val="right"/>
        <w:divId w:val="932977755"/>
        <w:rPr>
          <w:rFonts w:hint="eastAsia"/>
          <w:sz w:val="30"/>
          <w:szCs w:val="30"/>
        </w:rPr>
      </w:pPr>
      <w:r>
        <w:rPr>
          <w:rFonts w:hint="eastAsia"/>
          <w:sz w:val="30"/>
          <w:szCs w:val="30"/>
        </w:rPr>
        <w:t>二〇二一年三月二十九日</w:t>
      </w:r>
    </w:p>
    <w:p w:rsidR="00000000" w:rsidRDefault="00A53AC7">
      <w:pPr>
        <w:spacing w:line="500" w:lineRule="atLeast"/>
        <w:jc w:val="right"/>
        <w:divId w:val="1569917603"/>
        <w:rPr>
          <w:rFonts w:hint="eastAsia"/>
          <w:sz w:val="30"/>
          <w:szCs w:val="30"/>
        </w:rPr>
      </w:pPr>
      <w:r>
        <w:rPr>
          <w:rFonts w:hint="eastAsia"/>
          <w:sz w:val="30"/>
          <w:szCs w:val="30"/>
        </w:rPr>
        <w:t>书记员　　李晓雪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AC7" w:rsidRDefault="00A53AC7" w:rsidP="00A53AC7">
      <w:r>
        <w:separator/>
      </w:r>
    </w:p>
  </w:endnote>
  <w:endnote w:type="continuationSeparator" w:id="0">
    <w:p w:rsidR="00A53AC7" w:rsidRDefault="00A53AC7" w:rsidP="00A5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AC7" w:rsidRDefault="00A53AC7" w:rsidP="00A53AC7">
      <w:r>
        <w:separator/>
      </w:r>
    </w:p>
  </w:footnote>
  <w:footnote w:type="continuationSeparator" w:id="0">
    <w:p w:rsidR="00A53AC7" w:rsidRDefault="00A53AC7" w:rsidP="00A53A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53AC7"/>
    <w:rsid w:val="00A5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53A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AC7"/>
    <w:rPr>
      <w:rFonts w:ascii="宋体" w:eastAsia="宋体" w:hAnsi="宋体" w:cs="宋体"/>
      <w:sz w:val="18"/>
      <w:szCs w:val="18"/>
    </w:rPr>
  </w:style>
  <w:style w:type="paragraph" w:styleId="a5">
    <w:name w:val="footer"/>
    <w:basedOn w:val="a"/>
    <w:link w:val="a6"/>
    <w:uiPriority w:val="99"/>
    <w:unhideWhenUsed/>
    <w:rsid w:val="00A53AC7"/>
    <w:pPr>
      <w:tabs>
        <w:tab w:val="center" w:pos="4153"/>
        <w:tab w:val="right" w:pos="8306"/>
      </w:tabs>
      <w:snapToGrid w:val="0"/>
    </w:pPr>
    <w:rPr>
      <w:sz w:val="18"/>
      <w:szCs w:val="18"/>
    </w:rPr>
  </w:style>
  <w:style w:type="character" w:customStyle="1" w:styleId="a6">
    <w:name w:val="页脚 字符"/>
    <w:basedOn w:val="a0"/>
    <w:link w:val="a5"/>
    <w:uiPriority w:val="99"/>
    <w:rsid w:val="00A53AC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7228">
      <w:marLeft w:val="0"/>
      <w:marRight w:val="0"/>
      <w:marTop w:val="10"/>
      <w:marBottom w:val="10"/>
      <w:divBdr>
        <w:top w:val="none" w:sz="0" w:space="0" w:color="auto"/>
        <w:left w:val="none" w:sz="0" w:space="0" w:color="auto"/>
        <w:bottom w:val="none" w:sz="0" w:space="0" w:color="auto"/>
        <w:right w:val="none" w:sz="0" w:space="0" w:color="auto"/>
      </w:divBdr>
    </w:div>
    <w:div w:id="139425544">
      <w:marLeft w:val="0"/>
      <w:marRight w:val="0"/>
      <w:marTop w:val="10"/>
      <w:marBottom w:val="10"/>
      <w:divBdr>
        <w:top w:val="none" w:sz="0" w:space="0" w:color="auto"/>
        <w:left w:val="none" w:sz="0" w:space="0" w:color="auto"/>
        <w:bottom w:val="none" w:sz="0" w:space="0" w:color="auto"/>
        <w:right w:val="none" w:sz="0" w:space="0" w:color="auto"/>
      </w:divBdr>
    </w:div>
    <w:div w:id="194970805">
      <w:marLeft w:val="0"/>
      <w:marRight w:val="0"/>
      <w:marTop w:val="10"/>
      <w:marBottom w:val="10"/>
      <w:divBdr>
        <w:top w:val="none" w:sz="0" w:space="0" w:color="auto"/>
        <w:left w:val="none" w:sz="0" w:space="0" w:color="auto"/>
        <w:bottom w:val="none" w:sz="0" w:space="0" w:color="auto"/>
        <w:right w:val="none" w:sz="0" w:space="0" w:color="auto"/>
      </w:divBdr>
    </w:div>
    <w:div w:id="211818979">
      <w:marLeft w:val="0"/>
      <w:marRight w:val="0"/>
      <w:marTop w:val="10"/>
      <w:marBottom w:val="10"/>
      <w:divBdr>
        <w:top w:val="none" w:sz="0" w:space="0" w:color="auto"/>
        <w:left w:val="none" w:sz="0" w:space="0" w:color="auto"/>
        <w:bottom w:val="none" w:sz="0" w:space="0" w:color="auto"/>
        <w:right w:val="none" w:sz="0" w:space="0" w:color="auto"/>
      </w:divBdr>
    </w:div>
    <w:div w:id="235744351">
      <w:marLeft w:val="0"/>
      <w:marRight w:val="0"/>
      <w:marTop w:val="10"/>
      <w:marBottom w:val="10"/>
      <w:divBdr>
        <w:top w:val="none" w:sz="0" w:space="0" w:color="auto"/>
        <w:left w:val="none" w:sz="0" w:space="0" w:color="auto"/>
        <w:bottom w:val="none" w:sz="0" w:space="0" w:color="auto"/>
        <w:right w:val="none" w:sz="0" w:space="0" w:color="auto"/>
      </w:divBdr>
    </w:div>
    <w:div w:id="357967296">
      <w:marLeft w:val="0"/>
      <w:marRight w:val="0"/>
      <w:marTop w:val="10"/>
      <w:marBottom w:val="10"/>
      <w:divBdr>
        <w:top w:val="none" w:sz="0" w:space="0" w:color="auto"/>
        <w:left w:val="none" w:sz="0" w:space="0" w:color="auto"/>
        <w:bottom w:val="none" w:sz="0" w:space="0" w:color="auto"/>
        <w:right w:val="none" w:sz="0" w:space="0" w:color="auto"/>
      </w:divBdr>
    </w:div>
    <w:div w:id="382827369">
      <w:marLeft w:val="0"/>
      <w:marRight w:val="0"/>
      <w:marTop w:val="10"/>
      <w:marBottom w:val="10"/>
      <w:divBdr>
        <w:top w:val="none" w:sz="0" w:space="0" w:color="auto"/>
        <w:left w:val="none" w:sz="0" w:space="0" w:color="auto"/>
        <w:bottom w:val="none" w:sz="0" w:space="0" w:color="auto"/>
        <w:right w:val="none" w:sz="0" w:space="0" w:color="auto"/>
      </w:divBdr>
    </w:div>
    <w:div w:id="401683432">
      <w:marLeft w:val="0"/>
      <w:marRight w:val="0"/>
      <w:marTop w:val="10"/>
      <w:marBottom w:val="10"/>
      <w:divBdr>
        <w:top w:val="none" w:sz="0" w:space="0" w:color="auto"/>
        <w:left w:val="none" w:sz="0" w:space="0" w:color="auto"/>
        <w:bottom w:val="none" w:sz="0" w:space="0" w:color="auto"/>
        <w:right w:val="none" w:sz="0" w:space="0" w:color="auto"/>
      </w:divBdr>
    </w:div>
    <w:div w:id="425619067">
      <w:marLeft w:val="0"/>
      <w:marRight w:val="0"/>
      <w:marTop w:val="10"/>
      <w:marBottom w:val="10"/>
      <w:divBdr>
        <w:top w:val="none" w:sz="0" w:space="0" w:color="auto"/>
        <w:left w:val="none" w:sz="0" w:space="0" w:color="auto"/>
        <w:bottom w:val="none" w:sz="0" w:space="0" w:color="auto"/>
        <w:right w:val="none" w:sz="0" w:space="0" w:color="auto"/>
      </w:divBdr>
    </w:div>
    <w:div w:id="439647894">
      <w:marLeft w:val="0"/>
      <w:marRight w:val="0"/>
      <w:marTop w:val="10"/>
      <w:marBottom w:val="10"/>
      <w:divBdr>
        <w:top w:val="none" w:sz="0" w:space="0" w:color="auto"/>
        <w:left w:val="none" w:sz="0" w:space="0" w:color="auto"/>
        <w:bottom w:val="none" w:sz="0" w:space="0" w:color="auto"/>
        <w:right w:val="none" w:sz="0" w:space="0" w:color="auto"/>
      </w:divBdr>
    </w:div>
    <w:div w:id="506869528">
      <w:marLeft w:val="0"/>
      <w:marRight w:val="0"/>
      <w:marTop w:val="10"/>
      <w:marBottom w:val="10"/>
      <w:divBdr>
        <w:top w:val="none" w:sz="0" w:space="0" w:color="auto"/>
        <w:left w:val="none" w:sz="0" w:space="0" w:color="auto"/>
        <w:bottom w:val="none" w:sz="0" w:space="0" w:color="auto"/>
        <w:right w:val="none" w:sz="0" w:space="0" w:color="auto"/>
      </w:divBdr>
    </w:div>
    <w:div w:id="547108430">
      <w:marLeft w:val="0"/>
      <w:marRight w:val="0"/>
      <w:marTop w:val="10"/>
      <w:marBottom w:val="10"/>
      <w:divBdr>
        <w:top w:val="none" w:sz="0" w:space="0" w:color="auto"/>
        <w:left w:val="none" w:sz="0" w:space="0" w:color="auto"/>
        <w:bottom w:val="none" w:sz="0" w:space="0" w:color="auto"/>
        <w:right w:val="none" w:sz="0" w:space="0" w:color="auto"/>
      </w:divBdr>
    </w:div>
    <w:div w:id="556555898">
      <w:marLeft w:val="0"/>
      <w:marRight w:val="0"/>
      <w:marTop w:val="10"/>
      <w:marBottom w:val="10"/>
      <w:divBdr>
        <w:top w:val="none" w:sz="0" w:space="0" w:color="auto"/>
        <w:left w:val="none" w:sz="0" w:space="0" w:color="auto"/>
        <w:bottom w:val="none" w:sz="0" w:space="0" w:color="auto"/>
        <w:right w:val="none" w:sz="0" w:space="0" w:color="auto"/>
      </w:divBdr>
    </w:div>
    <w:div w:id="609896979">
      <w:marLeft w:val="0"/>
      <w:marRight w:val="0"/>
      <w:marTop w:val="10"/>
      <w:marBottom w:val="10"/>
      <w:divBdr>
        <w:top w:val="none" w:sz="0" w:space="0" w:color="auto"/>
        <w:left w:val="none" w:sz="0" w:space="0" w:color="auto"/>
        <w:bottom w:val="none" w:sz="0" w:space="0" w:color="auto"/>
        <w:right w:val="none" w:sz="0" w:space="0" w:color="auto"/>
      </w:divBdr>
    </w:div>
    <w:div w:id="657416573">
      <w:marLeft w:val="0"/>
      <w:marRight w:val="0"/>
      <w:marTop w:val="10"/>
      <w:marBottom w:val="10"/>
      <w:divBdr>
        <w:top w:val="none" w:sz="0" w:space="0" w:color="auto"/>
        <w:left w:val="none" w:sz="0" w:space="0" w:color="auto"/>
        <w:bottom w:val="none" w:sz="0" w:space="0" w:color="auto"/>
        <w:right w:val="none" w:sz="0" w:space="0" w:color="auto"/>
      </w:divBdr>
    </w:div>
    <w:div w:id="673145038">
      <w:marLeft w:val="0"/>
      <w:marRight w:val="0"/>
      <w:marTop w:val="10"/>
      <w:marBottom w:val="10"/>
      <w:divBdr>
        <w:top w:val="none" w:sz="0" w:space="0" w:color="auto"/>
        <w:left w:val="none" w:sz="0" w:space="0" w:color="auto"/>
        <w:bottom w:val="none" w:sz="0" w:space="0" w:color="auto"/>
        <w:right w:val="none" w:sz="0" w:space="0" w:color="auto"/>
      </w:divBdr>
    </w:div>
    <w:div w:id="681471922">
      <w:marLeft w:val="0"/>
      <w:marRight w:val="0"/>
      <w:marTop w:val="10"/>
      <w:marBottom w:val="10"/>
      <w:divBdr>
        <w:top w:val="none" w:sz="0" w:space="0" w:color="auto"/>
        <w:left w:val="none" w:sz="0" w:space="0" w:color="auto"/>
        <w:bottom w:val="none" w:sz="0" w:space="0" w:color="auto"/>
        <w:right w:val="none" w:sz="0" w:space="0" w:color="auto"/>
      </w:divBdr>
    </w:div>
    <w:div w:id="734822126">
      <w:marLeft w:val="0"/>
      <w:marRight w:val="0"/>
      <w:marTop w:val="10"/>
      <w:marBottom w:val="10"/>
      <w:divBdr>
        <w:top w:val="none" w:sz="0" w:space="0" w:color="auto"/>
        <w:left w:val="none" w:sz="0" w:space="0" w:color="auto"/>
        <w:bottom w:val="none" w:sz="0" w:space="0" w:color="auto"/>
        <w:right w:val="none" w:sz="0" w:space="0" w:color="auto"/>
      </w:divBdr>
    </w:div>
    <w:div w:id="815490299">
      <w:marLeft w:val="0"/>
      <w:marRight w:val="0"/>
      <w:marTop w:val="10"/>
      <w:marBottom w:val="10"/>
      <w:divBdr>
        <w:top w:val="none" w:sz="0" w:space="0" w:color="auto"/>
        <w:left w:val="none" w:sz="0" w:space="0" w:color="auto"/>
        <w:bottom w:val="none" w:sz="0" w:space="0" w:color="auto"/>
        <w:right w:val="none" w:sz="0" w:space="0" w:color="auto"/>
      </w:divBdr>
    </w:div>
    <w:div w:id="874276017">
      <w:marLeft w:val="0"/>
      <w:marRight w:val="0"/>
      <w:marTop w:val="10"/>
      <w:marBottom w:val="10"/>
      <w:divBdr>
        <w:top w:val="none" w:sz="0" w:space="0" w:color="auto"/>
        <w:left w:val="none" w:sz="0" w:space="0" w:color="auto"/>
        <w:bottom w:val="none" w:sz="0" w:space="0" w:color="auto"/>
        <w:right w:val="none" w:sz="0" w:space="0" w:color="auto"/>
      </w:divBdr>
    </w:div>
    <w:div w:id="932977755">
      <w:marLeft w:val="0"/>
      <w:marRight w:val="720"/>
      <w:marTop w:val="10"/>
      <w:marBottom w:val="10"/>
      <w:divBdr>
        <w:top w:val="none" w:sz="0" w:space="0" w:color="auto"/>
        <w:left w:val="none" w:sz="0" w:space="0" w:color="auto"/>
        <w:bottom w:val="none" w:sz="0" w:space="0" w:color="auto"/>
        <w:right w:val="none" w:sz="0" w:space="0" w:color="auto"/>
      </w:divBdr>
    </w:div>
    <w:div w:id="1008216842">
      <w:marLeft w:val="0"/>
      <w:marRight w:val="720"/>
      <w:marTop w:val="10"/>
      <w:marBottom w:val="10"/>
      <w:divBdr>
        <w:top w:val="none" w:sz="0" w:space="0" w:color="auto"/>
        <w:left w:val="none" w:sz="0" w:space="0" w:color="auto"/>
        <w:bottom w:val="none" w:sz="0" w:space="0" w:color="auto"/>
        <w:right w:val="none" w:sz="0" w:space="0" w:color="auto"/>
      </w:divBdr>
    </w:div>
    <w:div w:id="1345129864">
      <w:marLeft w:val="0"/>
      <w:marRight w:val="0"/>
      <w:marTop w:val="10"/>
      <w:marBottom w:val="10"/>
      <w:divBdr>
        <w:top w:val="none" w:sz="0" w:space="0" w:color="auto"/>
        <w:left w:val="none" w:sz="0" w:space="0" w:color="auto"/>
        <w:bottom w:val="none" w:sz="0" w:space="0" w:color="auto"/>
        <w:right w:val="none" w:sz="0" w:space="0" w:color="auto"/>
      </w:divBdr>
    </w:div>
    <w:div w:id="1428190734">
      <w:marLeft w:val="0"/>
      <w:marRight w:val="0"/>
      <w:marTop w:val="10"/>
      <w:marBottom w:val="10"/>
      <w:divBdr>
        <w:top w:val="none" w:sz="0" w:space="0" w:color="auto"/>
        <w:left w:val="none" w:sz="0" w:space="0" w:color="auto"/>
        <w:bottom w:val="none" w:sz="0" w:space="0" w:color="auto"/>
        <w:right w:val="none" w:sz="0" w:space="0" w:color="auto"/>
      </w:divBdr>
    </w:div>
    <w:div w:id="1442646918">
      <w:marLeft w:val="0"/>
      <w:marRight w:val="0"/>
      <w:marTop w:val="10"/>
      <w:marBottom w:val="10"/>
      <w:divBdr>
        <w:top w:val="none" w:sz="0" w:space="0" w:color="auto"/>
        <w:left w:val="none" w:sz="0" w:space="0" w:color="auto"/>
        <w:bottom w:val="none" w:sz="0" w:space="0" w:color="auto"/>
        <w:right w:val="none" w:sz="0" w:space="0" w:color="auto"/>
      </w:divBdr>
    </w:div>
    <w:div w:id="1553808272">
      <w:marLeft w:val="0"/>
      <w:marRight w:val="0"/>
      <w:marTop w:val="10"/>
      <w:marBottom w:val="10"/>
      <w:divBdr>
        <w:top w:val="none" w:sz="0" w:space="0" w:color="auto"/>
        <w:left w:val="none" w:sz="0" w:space="0" w:color="auto"/>
        <w:bottom w:val="none" w:sz="0" w:space="0" w:color="auto"/>
        <w:right w:val="none" w:sz="0" w:space="0" w:color="auto"/>
      </w:divBdr>
    </w:div>
    <w:div w:id="1569917603">
      <w:marLeft w:val="0"/>
      <w:marRight w:val="720"/>
      <w:marTop w:val="10"/>
      <w:marBottom w:val="10"/>
      <w:divBdr>
        <w:top w:val="none" w:sz="0" w:space="0" w:color="auto"/>
        <w:left w:val="none" w:sz="0" w:space="0" w:color="auto"/>
        <w:bottom w:val="none" w:sz="0" w:space="0" w:color="auto"/>
        <w:right w:val="none" w:sz="0" w:space="0" w:color="auto"/>
      </w:divBdr>
    </w:div>
    <w:div w:id="1574779701">
      <w:marLeft w:val="0"/>
      <w:marRight w:val="0"/>
      <w:marTop w:val="10"/>
      <w:marBottom w:val="10"/>
      <w:divBdr>
        <w:top w:val="none" w:sz="0" w:space="0" w:color="auto"/>
        <w:left w:val="none" w:sz="0" w:space="0" w:color="auto"/>
        <w:bottom w:val="none" w:sz="0" w:space="0" w:color="auto"/>
        <w:right w:val="none" w:sz="0" w:space="0" w:color="auto"/>
      </w:divBdr>
    </w:div>
    <w:div w:id="1645112477">
      <w:marLeft w:val="0"/>
      <w:marRight w:val="0"/>
      <w:marTop w:val="10"/>
      <w:marBottom w:val="10"/>
      <w:divBdr>
        <w:top w:val="none" w:sz="0" w:space="0" w:color="auto"/>
        <w:left w:val="none" w:sz="0" w:space="0" w:color="auto"/>
        <w:bottom w:val="none" w:sz="0" w:space="0" w:color="auto"/>
        <w:right w:val="none" w:sz="0" w:space="0" w:color="auto"/>
      </w:divBdr>
    </w:div>
    <w:div w:id="1661999071">
      <w:marLeft w:val="0"/>
      <w:marRight w:val="0"/>
      <w:marTop w:val="10"/>
      <w:marBottom w:val="10"/>
      <w:divBdr>
        <w:top w:val="none" w:sz="0" w:space="0" w:color="auto"/>
        <w:left w:val="none" w:sz="0" w:space="0" w:color="auto"/>
        <w:bottom w:val="none" w:sz="0" w:space="0" w:color="auto"/>
        <w:right w:val="none" w:sz="0" w:space="0" w:color="auto"/>
      </w:divBdr>
    </w:div>
    <w:div w:id="1786651257">
      <w:marLeft w:val="0"/>
      <w:marRight w:val="0"/>
      <w:marTop w:val="10"/>
      <w:marBottom w:val="10"/>
      <w:divBdr>
        <w:top w:val="none" w:sz="0" w:space="0" w:color="auto"/>
        <w:left w:val="none" w:sz="0" w:space="0" w:color="auto"/>
        <w:bottom w:val="none" w:sz="0" w:space="0" w:color="auto"/>
        <w:right w:val="none" w:sz="0" w:space="0" w:color="auto"/>
      </w:divBdr>
    </w:div>
    <w:div w:id="1791512936">
      <w:marLeft w:val="0"/>
      <w:marRight w:val="0"/>
      <w:marTop w:val="10"/>
      <w:marBottom w:val="10"/>
      <w:divBdr>
        <w:top w:val="none" w:sz="0" w:space="0" w:color="auto"/>
        <w:left w:val="none" w:sz="0" w:space="0" w:color="auto"/>
        <w:bottom w:val="none" w:sz="0" w:space="0" w:color="auto"/>
        <w:right w:val="none" w:sz="0" w:space="0" w:color="auto"/>
      </w:divBdr>
    </w:div>
    <w:div w:id="1978802936">
      <w:marLeft w:val="0"/>
      <w:marRight w:val="0"/>
      <w:marTop w:val="10"/>
      <w:marBottom w:val="10"/>
      <w:divBdr>
        <w:top w:val="none" w:sz="0" w:space="0" w:color="auto"/>
        <w:left w:val="none" w:sz="0" w:space="0" w:color="auto"/>
        <w:bottom w:val="none" w:sz="0" w:space="0" w:color="auto"/>
        <w:right w:val="none" w:sz="0" w:space="0" w:color="auto"/>
      </w:divBdr>
    </w:div>
    <w:div w:id="2063098130">
      <w:marLeft w:val="0"/>
      <w:marRight w:val="0"/>
      <w:marTop w:val="10"/>
      <w:marBottom w:val="10"/>
      <w:divBdr>
        <w:top w:val="none" w:sz="0" w:space="0" w:color="auto"/>
        <w:left w:val="none" w:sz="0" w:space="0" w:color="auto"/>
        <w:bottom w:val="none" w:sz="0" w:space="0" w:color="auto"/>
        <w:right w:val="none" w:sz="0" w:space="0" w:color="auto"/>
      </w:divBdr>
    </w:div>
    <w:div w:id="2068261218">
      <w:marLeft w:val="0"/>
      <w:marRight w:val="0"/>
      <w:marTop w:val="10"/>
      <w:marBottom w:val="10"/>
      <w:divBdr>
        <w:top w:val="none" w:sz="0" w:space="0" w:color="auto"/>
        <w:left w:val="none" w:sz="0" w:space="0" w:color="auto"/>
        <w:bottom w:val="none" w:sz="0" w:space="0" w:color="auto"/>
        <w:right w:val="none" w:sz="0" w:space="0" w:color="auto"/>
      </w:divBdr>
    </w:div>
    <w:div w:id="2069449316">
      <w:marLeft w:val="0"/>
      <w:marRight w:val="0"/>
      <w:marTop w:val="10"/>
      <w:marBottom w:val="10"/>
      <w:divBdr>
        <w:top w:val="none" w:sz="0" w:space="0" w:color="auto"/>
        <w:left w:val="none" w:sz="0" w:space="0" w:color="auto"/>
        <w:bottom w:val="none" w:sz="0" w:space="0" w:color="auto"/>
        <w:right w:val="none" w:sz="0" w:space="0" w:color="auto"/>
      </w:divBdr>
    </w:div>
    <w:div w:id="209966597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1585</Words>
  <Characters>9037</Characters>
  <Application>Microsoft Office Word</Application>
  <DocSecurity>0</DocSecurity>
  <Lines>75</Lines>
  <Paragraphs>21</Paragraphs>
  <ScaleCrop>false</ScaleCrop>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