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E2E2B">
      <w:pPr>
        <w:spacing w:line="500" w:lineRule="atLeast"/>
        <w:jc w:val="center"/>
        <w:divId w:val="1590117752"/>
        <w:rPr>
          <w:rFonts w:ascii="黑体" w:eastAsia="黑体" w:hAnsi="黑体"/>
          <w:sz w:val="36"/>
          <w:szCs w:val="36"/>
        </w:rPr>
      </w:pPr>
      <w:bookmarkStart w:id="0" w:name="_GoBack"/>
      <w:bookmarkEnd w:id="0"/>
      <w:r>
        <w:rPr>
          <w:rFonts w:ascii="黑体" w:eastAsia="黑体" w:hAnsi="黑体" w:hint="eastAsia"/>
          <w:sz w:val="36"/>
          <w:szCs w:val="36"/>
        </w:rPr>
        <w:t>上海市浦东新区人民法院</w:t>
      </w:r>
    </w:p>
    <w:p w:rsidR="00000000" w:rsidRDefault="00DE2E2B">
      <w:pPr>
        <w:spacing w:line="500" w:lineRule="atLeast"/>
        <w:jc w:val="center"/>
        <w:divId w:val="43640798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E2E2B">
      <w:pPr>
        <w:spacing w:line="500" w:lineRule="atLeast"/>
        <w:jc w:val="right"/>
        <w:divId w:val="884759598"/>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70937</w:t>
      </w:r>
      <w:r>
        <w:rPr>
          <w:rFonts w:hint="eastAsia"/>
          <w:sz w:val="30"/>
          <w:szCs w:val="30"/>
        </w:rPr>
        <w:t>号</w:t>
      </w:r>
    </w:p>
    <w:p w:rsidR="00000000" w:rsidRDefault="00DE2E2B">
      <w:pPr>
        <w:spacing w:line="500" w:lineRule="atLeast"/>
        <w:ind w:firstLine="600"/>
        <w:divId w:val="1700273402"/>
        <w:rPr>
          <w:rFonts w:hint="eastAsia"/>
          <w:sz w:val="30"/>
          <w:szCs w:val="30"/>
        </w:rPr>
      </w:pPr>
      <w:r>
        <w:rPr>
          <w:rFonts w:hint="eastAsia"/>
          <w:sz w:val="30"/>
          <w:szCs w:val="30"/>
        </w:rPr>
        <w:t>原告：俪领企业管理咨询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有限责任公司，住所地上海市浦东新区。</w:t>
      </w:r>
    </w:p>
    <w:p w:rsidR="00000000" w:rsidRDefault="00DE2E2B">
      <w:pPr>
        <w:spacing w:line="500" w:lineRule="atLeast"/>
        <w:ind w:firstLine="600"/>
        <w:divId w:val="838740527"/>
        <w:rPr>
          <w:rFonts w:hint="eastAsia"/>
          <w:sz w:val="30"/>
          <w:szCs w:val="30"/>
        </w:rPr>
      </w:pPr>
      <w:r>
        <w:rPr>
          <w:rFonts w:hint="eastAsia"/>
          <w:sz w:val="30"/>
          <w:szCs w:val="30"/>
        </w:rPr>
        <w:t>法定代表人：陈倩，总经理。</w:t>
      </w:r>
    </w:p>
    <w:p w:rsidR="00000000" w:rsidRDefault="00DE2E2B">
      <w:pPr>
        <w:spacing w:line="500" w:lineRule="atLeast"/>
        <w:ind w:firstLine="600"/>
        <w:divId w:val="1503273520"/>
        <w:rPr>
          <w:rFonts w:hint="eastAsia"/>
          <w:sz w:val="30"/>
          <w:szCs w:val="30"/>
        </w:rPr>
      </w:pPr>
      <w:r>
        <w:rPr>
          <w:rFonts w:hint="eastAsia"/>
          <w:sz w:val="30"/>
          <w:szCs w:val="30"/>
        </w:rPr>
        <w:t>委托诉讼代理人：陈小英，广东广信君达律师事务所律师。</w:t>
      </w:r>
    </w:p>
    <w:p w:rsidR="00000000" w:rsidRDefault="00DE2E2B">
      <w:pPr>
        <w:spacing w:line="500" w:lineRule="atLeast"/>
        <w:ind w:firstLine="600"/>
        <w:divId w:val="488134487"/>
        <w:rPr>
          <w:rFonts w:hint="eastAsia"/>
          <w:sz w:val="30"/>
          <w:szCs w:val="30"/>
        </w:rPr>
      </w:pPr>
      <w:r>
        <w:rPr>
          <w:rFonts w:hint="eastAsia"/>
          <w:sz w:val="30"/>
          <w:szCs w:val="30"/>
        </w:rPr>
        <w:t>被告：余东平，男，</w:t>
      </w:r>
      <w:r>
        <w:rPr>
          <w:rFonts w:hint="eastAsia"/>
          <w:sz w:val="30"/>
          <w:szCs w:val="30"/>
        </w:rPr>
        <w:t>1981</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日生，汉族，户籍地湖南省。</w:t>
      </w:r>
    </w:p>
    <w:p w:rsidR="00000000" w:rsidRDefault="00DE2E2B">
      <w:pPr>
        <w:spacing w:line="500" w:lineRule="atLeast"/>
        <w:ind w:firstLine="600"/>
        <w:divId w:val="1348602671"/>
        <w:rPr>
          <w:rFonts w:hint="eastAsia"/>
          <w:sz w:val="30"/>
          <w:szCs w:val="30"/>
        </w:rPr>
      </w:pPr>
      <w:r>
        <w:rPr>
          <w:rFonts w:hint="eastAsia"/>
          <w:sz w:val="30"/>
          <w:szCs w:val="30"/>
        </w:rPr>
        <w:t>委托诉讼代理人：李俊，上海枫格萌茂律师事务所律师。</w:t>
      </w:r>
    </w:p>
    <w:p w:rsidR="00000000" w:rsidRDefault="00DE2E2B">
      <w:pPr>
        <w:spacing w:line="500" w:lineRule="atLeast"/>
        <w:ind w:firstLine="600"/>
        <w:divId w:val="280183677"/>
        <w:rPr>
          <w:rFonts w:hint="eastAsia"/>
          <w:sz w:val="30"/>
          <w:szCs w:val="30"/>
        </w:rPr>
      </w:pPr>
      <w:r>
        <w:rPr>
          <w:rFonts w:hint="eastAsia"/>
          <w:sz w:val="30"/>
          <w:szCs w:val="30"/>
        </w:rPr>
        <w:t>被告：上海简会文化传播有限公司，住所地上海市浦东新区。</w:t>
      </w:r>
    </w:p>
    <w:p w:rsidR="00000000" w:rsidRDefault="00DE2E2B">
      <w:pPr>
        <w:spacing w:line="500" w:lineRule="atLeast"/>
        <w:ind w:firstLine="600"/>
        <w:divId w:val="826363511"/>
        <w:rPr>
          <w:rFonts w:hint="eastAsia"/>
          <w:sz w:val="30"/>
          <w:szCs w:val="30"/>
        </w:rPr>
      </w:pPr>
      <w:r>
        <w:rPr>
          <w:rFonts w:hint="eastAsia"/>
          <w:sz w:val="30"/>
          <w:szCs w:val="30"/>
        </w:rPr>
        <w:t>法定代表人：张宇，执行董事。</w:t>
      </w:r>
    </w:p>
    <w:p w:rsidR="00000000" w:rsidRDefault="00DE2E2B">
      <w:pPr>
        <w:spacing w:line="500" w:lineRule="atLeast"/>
        <w:ind w:firstLine="600"/>
        <w:divId w:val="1234242898"/>
        <w:rPr>
          <w:rFonts w:hint="eastAsia"/>
          <w:sz w:val="30"/>
          <w:szCs w:val="30"/>
        </w:rPr>
      </w:pPr>
      <w:r>
        <w:rPr>
          <w:rFonts w:hint="eastAsia"/>
          <w:sz w:val="30"/>
          <w:szCs w:val="30"/>
        </w:rPr>
        <w:t>委托诉讼代理人：杨寻，上海普若律师事务所律师。</w:t>
      </w:r>
    </w:p>
    <w:p w:rsidR="00000000" w:rsidRDefault="00DE2E2B">
      <w:pPr>
        <w:spacing w:line="500" w:lineRule="atLeast"/>
        <w:ind w:firstLine="600"/>
        <w:divId w:val="355543142"/>
        <w:rPr>
          <w:rFonts w:hint="eastAsia"/>
          <w:sz w:val="30"/>
          <w:szCs w:val="30"/>
        </w:rPr>
      </w:pPr>
      <w:r>
        <w:rPr>
          <w:rFonts w:hint="eastAsia"/>
          <w:sz w:val="30"/>
          <w:szCs w:val="30"/>
        </w:rPr>
        <w:t>原告俪领企业管理咨询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有限责任公司与被告余东平、上海简会文化传播有限公司</w:t>
      </w:r>
      <w:r>
        <w:rPr>
          <w:rFonts w:hint="eastAsia"/>
          <w:sz w:val="30"/>
          <w:szCs w:val="30"/>
        </w:rPr>
        <w:t>(</w:t>
      </w:r>
      <w:r>
        <w:rPr>
          <w:rFonts w:hint="eastAsia"/>
          <w:sz w:val="30"/>
          <w:szCs w:val="30"/>
        </w:rPr>
        <w:t>以下简称“简会公司”</w:t>
      </w:r>
      <w:r>
        <w:rPr>
          <w:rFonts w:hint="eastAsia"/>
          <w:sz w:val="30"/>
          <w:szCs w:val="30"/>
        </w:rPr>
        <w:t>)</w:t>
      </w:r>
      <w:r>
        <w:rPr>
          <w:rFonts w:hint="eastAsia"/>
          <w:sz w:val="30"/>
          <w:szCs w:val="30"/>
        </w:rPr>
        <w:t>损害公司利益责任纠纷一案，本院于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日立案受理后，依法适用普通程序，并公开开庭进行了审理。原告委托诉讼代理人陈小英、被告余东平的委托诉讼代理人李俊、被告简会公司的委托诉讼代理人杨寻到庭参加诉讼。本案现已审理终结。</w:t>
      </w:r>
    </w:p>
    <w:p w:rsidR="00000000" w:rsidRDefault="00DE2E2B">
      <w:pPr>
        <w:spacing w:line="500" w:lineRule="atLeast"/>
        <w:ind w:firstLine="600"/>
        <w:divId w:val="1679849597"/>
        <w:rPr>
          <w:rFonts w:hint="eastAsia"/>
          <w:sz w:val="30"/>
          <w:szCs w:val="30"/>
        </w:rPr>
      </w:pPr>
      <w:r>
        <w:rPr>
          <w:rFonts w:hint="eastAsia"/>
          <w:sz w:val="30"/>
          <w:szCs w:val="30"/>
        </w:rPr>
        <w:t>原告俪领企业管理咨询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有限责任公司向本院提出诉讼请求：</w:t>
      </w:r>
      <w:r>
        <w:rPr>
          <w:rFonts w:hint="eastAsia"/>
          <w:sz w:val="30"/>
          <w:szCs w:val="30"/>
        </w:rPr>
        <w:t>1.</w:t>
      </w:r>
      <w:r>
        <w:rPr>
          <w:rFonts w:hint="eastAsia"/>
          <w:sz w:val="30"/>
          <w:szCs w:val="30"/>
        </w:rPr>
        <w:t>二被告向原告支付被告简会公司的经营收入约人民币</w:t>
      </w:r>
      <w:r>
        <w:rPr>
          <w:rFonts w:hint="eastAsia"/>
          <w:sz w:val="30"/>
          <w:szCs w:val="30"/>
        </w:rPr>
        <w:t>1,900</w:t>
      </w:r>
      <w:r>
        <w:rPr>
          <w:rFonts w:hint="eastAsia"/>
          <w:sz w:val="30"/>
          <w:szCs w:val="30"/>
        </w:rPr>
        <w:t>万元</w:t>
      </w:r>
      <w:r>
        <w:rPr>
          <w:rFonts w:hint="eastAsia"/>
          <w:sz w:val="30"/>
          <w:szCs w:val="30"/>
        </w:rPr>
        <w:t>(</w:t>
      </w:r>
      <w:r>
        <w:rPr>
          <w:rFonts w:hint="eastAsia"/>
          <w:sz w:val="30"/>
          <w:szCs w:val="30"/>
        </w:rPr>
        <w:t>以审计为准</w:t>
      </w:r>
      <w:r>
        <w:rPr>
          <w:rFonts w:hint="eastAsia"/>
          <w:sz w:val="30"/>
          <w:szCs w:val="30"/>
        </w:rPr>
        <w:t>)</w:t>
      </w:r>
      <w:r>
        <w:rPr>
          <w:rFonts w:hint="eastAsia"/>
          <w:sz w:val="30"/>
          <w:szCs w:val="30"/>
        </w:rPr>
        <w:t>；</w:t>
      </w:r>
      <w:r>
        <w:rPr>
          <w:rFonts w:hint="eastAsia"/>
          <w:sz w:val="30"/>
          <w:szCs w:val="30"/>
        </w:rPr>
        <w:t>2.</w:t>
      </w:r>
      <w:r>
        <w:rPr>
          <w:rFonts w:hint="eastAsia"/>
          <w:sz w:val="30"/>
          <w:szCs w:val="30"/>
        </w:rPr>
        <w:t>二被告支付上述款项自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5</w:t>
      </w:r>
      <w:r>
        <w:rPr>
          <w:rFonts w:hint="eastAsia"/>
          <w:sz w:val="30"/>
          <w:szCs w:val="30"/>
        </w:rPr>
        <w:t>日起的利息损失</w:t>
      </w:r>
      <w:r>
        <w:rPr>
          <w:rFonts w:hint="eastAsia"/>
          <w:sz w:val="30"/>
          <w:szCs w:val="30"/>
        </w:rPr>
        <w:t>(</w:t>
      </w:r>
      <w:r>
        <w:rPr>
          <w:rFonts w:hint="eastAsia"/>
          <w:sz w:val="30"/>
          <w:szCs w:val="30"/>
        </w:rPr>
        <w:t>按中国人民银行同期贷款利率计算</w:t>
      </w:r>
      <w:r>
        <w:rPr>
          <w:rFonts w:hint="eastAsia"/>
          <w:sz w:val="30"/>
          <w:szCs w:val="30"/>
        </w:rPr>
        <w:t>)</w:t>
      </w:r>
      <w:r>
        <w:rPr>
          <w:rFonts w:hint="eastAsia"/>
          <w:sz w:val="30"/>
          <w:szCs w:val="30"/>
        </w:rPr>
        <w:t>。事实与理由：原告设立于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w:t>
      </w:r>
      <w:r>
        <w:rPr>
          <w:rFonts w:hint="eastAsia"/>
          <w:sz w:val="30"/>
          <w:szCs w:val="30"/>
        </w:rPr>
        <w:t>2014</w:t>
      </w:r>
      <w:r>
        <w:rPr>
          <w:rFonts w:hint="eastAsia"/>
          <w:sz w:val="30"/>
          <w:szCs w:val="30"/>
        </w:rPr>
        <w:t>年</w:t>
      </w:r>
      <w:r>
        <w:rPr>
          <w:rFonts w:hint="eastAsia"/>
          <w:sz w:val="30"/>
          <w:szCs w:val="30"/>
        </w:rPr>
        <w:t>10</w:t>
      </w:r>
      <w:r>
        <w:rPr>
          <w:rFonts w:hint="eastAsia"/>
          <w:sz w:val="30"/>
          <w:szCs w:val="30"/>
        </w:rPr>
        <w:lastRenderedPageBreak/>
        <w:t>月</w:t>
      </w:r>
      <w:r>
        <w:rPr>
          <w:rFonts w:hint="eastAsia"/>
          <w:sz w:val="30"/>
          <w:szCs w:val="30"/>
        </w:rPr>
        <w:t>1</w:t>
      </w:r>
      <w:r>
        <w:rPr>
          <w:rFonts w:hint="eastAsia"/>
          <w:sz w:val="30"/>
          <w:szCs w:val="30"/>
        </w:rPr>
        <w:t>日，被告余东平进入原告处工作，任总经理，并于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日期间担任原告的法定代表人，同时于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日成为原告的股东之一，持股</w:t>
      </w:r>
      <w:r>
        <w:rPr>
          <w:rFonts w:hint="eastAsia"/>
          <w:sz w:val="30"/>
          <w:szCs w:val="30"/>
        </w:rPr>
        <w:t>1%</w:t>
      </w:r>
      <w:r>
        <w:rPr>
          <w:rFonts w:hint="eastAsia"/>
          <w:sz w:val="30"/>
          <w:szCs w:val="30"/>
        </w:rPr>
        <w:t>。</w:t>
      </w:r>
      <w:r>
        <w:rPr>
          <w:rFonts w:hint="eastAsia"/>
          <w:sz w:val="30"/>
          <w:szCs w:val="30"/>
        </w:rPr>
        <w:t>2016</w:t>
      </w:r>
      <w:r>
        <w:rPr>
          <w:rFonts w:hint="eastAsia"/>
          <w:sz w:val="30"/>
          <w:szCs w:val="30"/>
        </w:rPr>
        <w:t>年</w:t>
      </w:r>
      <w:r>
        <w:rPr>
          <w:rFonts w:hint="eastAsia"/>
          <w:sz w:val="30"/>
          <w:szCs w:val="30"/>
        </w:rPr>
        <w:t>8</w:t>
      </w:r>
      <w:r>
        <w:rPr>
          <w:rFonts w:hint="eastAsia"/>
          <w:sz w:val="30"/>
          <w:szCs w:val="30"/>
        </w:rPr>
        <w:t>月上旬，原告经他人告知，被告余东平未经原告同意私自设立被告简会公司</w:t>
      </w:r>
      <w:r>
        <w:rPr>
          <w:rFonts w:hint="eastAsia"/>
          <w:sz w:val="30"/>
          <w:szCs w:val="30"/>
        </w:rPr>
        <w:t>(</w:t>
      </w:r>
      <w:r>
        <w:rPr>
          <w:rFonts w:hint="eastAsia"/>
          <w:sz w:val="30"/>
          <w:szCs w:val="30"/>
        </w:rPr>
        <w:t>时名“上海心之旅文化传播有限公司”</w:t>
      </w:r>
      <w:r>
        <w:rPr>
          <w:rFonts w:hint="eastAsia"/>
          <w:sz w:val="30"/>
          <w:szCs w:val="30"/>
        </w:rPr>
        <w:t>)</w:t>
      </w:r>
      <w:r>
        <w:rPr>
          <w:rFonts w:hint="eastAsia"/>
          <w:sz w:val="30"/>
          <w:szCs w:val="30"/>
        </w:rPr>
        <w:t>。经沟通，被告余东平同意将被告简会公司账户内所有存款归还给原告，并对简会公司进行审计。</w:t>
      </w:r>
      <w:r>
        <w:rPr>
          <w:rFonts w:hint="eastAsia"/>
          <w:sz w:val="30"/>
          <w:szCs w:val="30"/>
        </w:rPr>
        <w:t>2016</w:t>
      </w:r>
      <w:r>
        <w:rPr>
          <w:rFonts w:hint="eastAsia"/>
          <w:sz w:val="30"/>
          <w:szCs w:val="30"/>
        </w:rPr>
        <w:t>年</w:t>
      </w:r>
      <w:r>
        <w:rPr>
          <w:rFonts w:hint="eastAsia"/>
          <w:sz w:val="30"/>
          <w:szCs w:val="30"/>
        </w:rPr>
        <w:t>9</w:t>
      </w:r>
      <w:r>
        <w:rPr>
          <w:rFonts w:hint="eastAsia"/>
          <w:sz w:val="30"/>
          <w:szCs w:val="30"/>
        </w:rPr>
        <w:t>月，余东平向原告</w:t>
      </w:r>
      <w:r>
        <w:rPr>
          <w:rFonts w:hint="eastAsia"/>
          <w:sz w:val="30"/>
          <w:szCs w:val="30"/>
        </w:rPr>
        <w:t>口头辞职。同月</w:t>
      </w:r>
      <w:r>
        <w:rPr>
          <w:rFonts w:hint="eastAsia"/>
          <w:sz w:val="30"/>
          <w:szCs w:val="30"/>
        </w:rPr>
        <w:t>28</w:t>
      </w:r>
      <w:r>
        <w:rPr>
          <w:rFonts w:hint="eastAsia"/>
          <w:sz w:val="30"/>
          <w:szCs w:val="30"/>
        </w:rPr>
        <w:t>日，原告召开股东会，就余东平离职相关事宜进行讨论，并形成决议，即余东平应当在审计结果出具后</w:t>
      </w:r>
      <w:r>
        <w:rPr>
          <w:rFonts w:hint="eastAsia"/>
          <w:sz w:val="30"/>
          <w:szCs w:val="30"/>
        </w:rPr>
        <w:t>2</w:t>
      </w:r>
      <w:r>
        <w:rPr>
          <w:rFonts w:hint="eastAsia"/>
          <w:sz w:val="30"/>
          <w:szCs w:val="30"/>
        </w:rPr>
        <w:t>日将被告简会公司全部财产转到关联账户。但之后余东平仅协助办理了法人变更登记并移交了简会公司的银行</w:t>
      </w:r>
      <w:r>
        <w:rPr>
          <w:rFonts w:hint="eastAsia"/>
          <w:sz w:val="30"/>
          <w:szCs w:val="30"/>
        </w:rPr>
        <w:t>U</w:t>
      </w:r>
      <w:r>
        <w:rPr>
          <w:rFonts w:hint="eastAsia"/>
          <w:sz w:val="30"/>
          <w:szCs w:val="30"/>
        </w:rPr>
        <w:t>盾</w:t>
      </w:r>
      <w:r>
        <w:rPr>
          <w:rFonts w:hint="eastAsia"/>
          <w:sz w:val="30"/>
          <w:szCs w:val="30"/>
        </w:rPr>
        <w:t>(</w:t>
      </w:r>
      <w:r>
        <w:rPr>
          <w:rFonts w:hint="eastAsia"/>
          <w:sz w:val="30"/>
          <w:szCs w:val="30"/>
        </w:rPr>
        <w:t>仅能查询</w:t>
      </w:r>
      <w:r>
        <w:rPr>
          <w:rFonts w:hint="eastAsia"/>
          <w:sz w:val="30"/>
          <w:szCs w:val="30"/>
        </w:rPr>
        <w:t>)</w:t>
      </w:r>
      <w:r>
        <w:rPr>
          <w:rFonts w:hint="eastAsia"/>
          <w:sz w:val="30"/>
          <w:szCs w:val="30"/>
        </w:rPr>
        <w:t>。</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日，原告查询到简会公司账户存款约</w:t>
      </w:r>
      <w:r>
        <w:rPr>
          <w:rFonts w:hint="eastAsia"/>
          <w:sz w:val="30"/>
          <w:szCs w:val="30"/>
        </w:rPr>
        <w:t>1,600</w:t>
      </w:r>
      <w:r>
        <w:rPr>
          <w:rFonts w:hint="eastAsia"/>
          <w:sz w:val="30"/>
          <w:szCs w:val="30"/>
        </w:rPr>
        <w:t>万元，次月原告发现该</w:t>
      </w:r>
      <w:r>
        <w:rPr>
          <w:rFonts w:hint="eastAsia"/>
          <w:sz w:val="30"/>
          <w:szCs w:val="30"/>
        </w:rPr>
        <w:t>U</w:t>
      </w:r>
      <w:r>
        <w:rPr>
          <w:rFonts w:hint="eastAsia"/>
          <w:sz w:val="30"/>
          <w:szCs w:val="30"/>
        </w:rPr>
        <w:t>盾无法使用。</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日，原告召开股东会，余东平借故未参加，股东会决议选定会计师事务所对简会公司进行审计。原告将该次股东会纪要交付余东平后，余东平否认了之前股东会决议事项，不同意将简会公司款项返还</w:t>
      </w:r>
      <w:r>
        <w:rPr>
          <w:rFonts w:hint="eastAsia"/>
          <w:sz w:val="30"/>
          <w:szCs w:val="30"/>
        </w:rPr>
        <w:t>给原告。之后历经催告，余东平始终不同意还款。而且原告大量员工辞职后任职于余东平设立的公司。简会公司经营范围与原告一致，与原告开展业务竞争，造成原告巨大损失。审理中，原告明确主张行使归入权，诉请金额以</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日简会公司账户余额得出</w:t>
      </w:r>
      <w:r>
        <w:rPr>
          <w:rFonts w:hint="eastAsia"/>
          <w:sz w:val="30"/>
          <w:szCs w:val="30"/>
        </w:rPr>
        <w:t>19,453,812.65</w:t>
      </w:r>
      <w:r>
        <w:rPr>
          <w:rFonts w:hint="eastAsia"/>
          <w:sz w:val="30"/>
          <w:szCs w:val="30"/>
        </w:rPr>
        <w:t>元，并认为简会公司实际收取了原告的课程款，故要求二被告共同返还款项。</w:t>
      </w:r>
    </w:p>
    <w:p w:rsidR="00000000" w:rsidRDefault="00DE2E2B">
      <w:pPr>
        <w:spacing w:line="500" w:lineRule="atLeast"/>
        <w:ind w:firstLine="600"/>
        <w:divId w:val="53433926"/>
        <w:rPr>
          <w:rFonts w:hint="eastAsia"/>
          <w:sz w:val="30"/>
          <w:szCs w:val="30"/>
        </w:rPr>
      </w:pPr>
      <w:r>
        <w:rPr>
          <w:rFonts w:hint="eastAsia"/>
          <w:sz w:val="30"/>
          <w:szCs w:val="30"/>
        </w:rPr>
        <w:t>被告余东平辩称，简会公司的经营收入和余东平的个人所得是两件事，原告并无证据证明余东平谋取了原告的商业机会，原告的主要业务是彼尚安裘密的课程，简会公司从未邀请过此人上课。简会公司曾</w:t>
      </w:r>
      <w:r>
        <w:rPr>
          <w:rFonts w:hint="eastAsia"/>
          <w:sz w:val="30"/>
          <w:szCs w:val="30"/>
        </w:rPr>
        <w:t>与原告开展商业合作，原告所称不知</w:t>
      </w:r>
      <w:r>
        <w:rPr>
          <w:rFonts w:hint="eastAsia"/>
          <w:sz w:val="30"/>
          <w:szCs w:val="30"/>
        </w:rPr>
        <w:lastRenderedPageBreak/>
        <w:t>道余东平设立简会公司与其在另案中的陈述相悖。原告就本案所起诉的款项已和简会公司发生过诉讼，原告属重复诉讼。请求驳回原告诉讼请求。</w:t>
      </w:r>
    </w:p>
    <w:p w:rsidR="00000000" w:rsidRDefault="00DE2E2B">
      <w:pPr>
        <w:spacing w:line="500" w:lineRule="atLeast"/>
        <w:ind w:firstLine="600"/>
        <w:divId w:val="1661032626"/>
        <w:rPr>
          <w:rFonts w:hint="eastAsia"/>
          <w:sz w:val="30"/>
          <w:szCs w:val="30"/>
        </w:rPr>
      </w:pPr>
      <w:r>
        <w:rPr>
          <w:rFonts w:hint="eastAsia"/>
          <w:sz w:val="30"/>
          <w:szCs w:val="30"/>
        </w:rPr>
        <w:t>上海简会文化传播有限公司辩称，原告起诉时的名称已不再使用，所盖公章不具有法律效力，陈倩的签字与工商留存不一致，原告无起诉资格。原告就本案所涉事实以相同诉请已向法院提起诉讼，证据材料也相同，属重复诉讼，原告在本次诉讼中的陈述与前案陈述是矛盾的，原告和简会公司属于委托合同关系。简会公司不属于原告行使归入权的对象。原告依账户余额起诉，但余额会变动，也并非</w:t>
      </w:r>
      <w:r>
        <w:rPr>
          <w:rFonts w:hint="eastAsia"/>
          <w:sz w:val="30"/>
          <w:szCs w:val="30"/>
        </w:rPr>
        <w:t>原告损失，双方并无业务竞争关系，简会公司并未邀请过原告的老师来讲课。请求驳回原告的诉讼请求。</w:t>
      </w:r>
    </w:p>
    <w:p w:rsidR="00000000" w:rsidRDefault="00DE2E2B">
      <w:pPr>
        <w:spacing w:line="500" w:lineRule="atLeast"/>
        <w:ind w:firstLine="600"/>
        <w:divId w:val="1123230828"/>
        <w:rPr>
          <w:rFonts w:hint="eastAsia"/>
          <w:sz w:val="30"/>
          <w:szCs w:val="30"/>
        </w:rPr>
      </w:pPr>
      <w:r>
        <w:rPr>
          <w:rFonts w:hint="eastAsia"/>
          <w:sz w:val="30"/>
          <w:szCs w:val="30"/>
        </w:rPr>
        <w:t>经审理查明，原告设立于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日，原名彼尚企业管理咨询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月变更为现用名称。</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日，余东平在工商备案中系原告的法定代表人。</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日，余东平在工商备案中成为原告的股东。简会公司设立于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日，原名上海心之旅文化传播有限公司，</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日变更为现用名称。原告和简会公司的经营范围有部分相同。</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日，原告形</w:t>
      </w:r>
      <w:r>
        <w:rPr>
          <w:rFonts w:hint="eastAsia"/>
          <w:sz w:val="30"/>
          <w:szCs w:val="30"/>
        </w:rPr>
        <w:t>成《会议纪要》，其中载明原告投资设立的简会公司银行账户内的现有资产，余东平应当自审计结果出具后的</w:t>
      </w:r>
      <w:r>
        <w:rPr>
          <w:rFonts w:hint="eastAsia"/>
          <w:sz w:val="30"/>
          <w:szCs w:val="30"/>
        </w:rPr>
        <w:t>2</w:t>
      </w:r>
      <w:r>
        <w:rPr>
          <w:rFonts w:hint="eastAsia"/>
          <w:sz w:val="30"/>
          <w:szCs w:val="30"/>
        </w:rPr>
        <w:t>日内，将截至审计结果出具之日止的简会公司全部财产转到相关关联公司账户内，余东平在该纪要上签字。</w:t>
      </w:r>
    </w:p>
    <w:p w:rsidR="00000000" w:rsidRDefault="00DE2E2B">
      <w:pPr>
        <w:spacing w:line="500" w:lineRule="atLeast"/>
        <w:ind w:firstLine="600"/>
        <w:divId w:val="1626737381"/>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月，原告曾先后向本院起诉简会公司，案号</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22811</w:t>
      </w:r>
      <w:r>
        <w:rPr>
          <w:rFonts w:hint="eastAsia"/>
          <w:sz w:val="30"/>
          <w:szCs w:val="30"/>
        </w:rPr>
        <w:t>号、</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22829</w:t>
      </w:r>
      <w:r>
        <w:rPr>
          <w:rFonts w:hint="eastAsia"/>
          <w:sz w:val="30"/>
          <w:szCs w:val="30"/>
        </w:rPr>
        <w:t>号。</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22811</w:t>
      </w:r>
      <w:r>
        <w:rPr>
          <w:rFonts w:hint="eastAsia"/>
          <w:sz w:val="30"/>
          <w:szCs w:val="30"/>
        </w:rPr>
        <w:t>号案中，原告在诉状中称，</w:t>
      </w:r>
      <w:r>
        <w:rPr>
          <w:rFonts w:hint="eastAsia"/>
          <w:sz w:val="30"/>
          <w:szCs w:val="30"/>
        </w:rPr>
        <w:t>2016</w:t>
      </w:r>
      <w:r>
        <w:rPr>
          <w:rFonts w:hint="eastAsia"/>
          <w:sz w:val="30"/>
          <w:szCs w:val="30"/>
        </w:rPr>
        <w:t>年原告因业务发展需要，决定设立简会公司，因公司设立、管理需要，由余东平代持股权，简会公司作为原告关联公司代收原告课程款，</w:t>
      </w:r>
      <w:r>
        <w:rPr>
          <w:rFonts w:hint="eastAsia"/>
          <w:sz w:val="30"/>
          <w:szCs w:val="30"/>
        </w:rPr>
        <w:t>截至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月收入为</w:t>
      </w:r>
      <w:r>
        <w:rPr>
          <w:rFonts w:hint="eastAsia"/>
          <w:sz w:val="30"/>
          <w:szCs w:val="30"/>
        </w:rPr>
        <w:t>19,471,880.65</w:t>
      </w:r>
      <w:r>
        <w:rPr>
          <w:rFonts w:hint="eastAsia"/>
          <w:sz w:val="30"/>
          <w:szCs w:val="30"/>
        </w:rPr>
        <w:t>元，因余东平离职后未按约返还该款，故要求简会公司返还代收款</w:t>
      </w:r>
      <w:r>
        <w:rPr>
          <w:rFonts w:hint="eastAsia"/>
          <w:sz w:val="30"/>
          <w:szCs w:val="30"/>
        </w:rPr>
        <w:t>1,940</w:t>
      </w:r>
      <w:r>
        <w:rPr>
          <w:rFonts w:hint="eastAsia"/>
          <w:sz w:val="30"/>
          <w:szCs w:val="30"/>
        </w:rPr>
        <w:t>万元及逾期利息。本院一审查明前述</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日《会议纪要》的存在，认为原告主张的代收金额依据不足，判决简会公司返还其自认的代收款</w:t>
      </w:r>
      <w:r>
        <w:rPr>
          <w:rFonts w:hint="eastAsia"/>
          <w:sz w:val="30"/>
          <w:szCs w:val="30"/>
        </w:rPr>
        <w:t>1,946,415</w:t>
      </w:r>
      <w:r>
        <w:rPr>
          <w:rFonts w:hint="eastAsia"/>
          <w:sz w:val="30"/>
          <w:szCs w:val="30"/>
        </w:rPr>
        <w:t>元并支付利息、驳回原告其余诉讼请求。原告不服并上诉，上海市第一中级人民法院在二审中对原告提供的</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日会议录音、解除《委托销售协议》及销售款结算通知书、</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月原告股东会决议的真实性不予认可，认为原告未提供证据证明简会公司账户上款</w:t>
      </w:r>
      <w:r>
        <w:rPr>
          <w:rFonts w:hint="eastAsia"/>
          <w:sz w:val="30"/>
          <w:szCs w:val="30"/>
        </w:rPr>
        <w:t>项系课程代收款，判决驳回上诉、维持原判。</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22829</w:t>
      </w:r>
      <w:r>
        <w:rPr>
          <w:rFonts w:hint="eastAsia"/>
          <w:sz w:val="30"/>
          <w:szCs w:val="30"/>
        </w:rPr>
        <w:t>号案中，原告诉称简会公司系其投资设立，要求确认其为简会公司股东并办理工商变更手续，本院判决支持原告的诉讼请求。简会并公司不服上诉，上海市第一中级人民法院认为</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日《会议纪要》为孤证，原告的证据不足，改判驳回原告诉讼请求。</w:t>
      </w:r>
    </w:p>
    <w:p w:rsidR="00000000" w:rsidRDefault="00DE2E2B">
      <w:pPr>
        <w:spacing w:line="500" w:lineRule="atLeast"/>
        <w:ind w:firstLine="600"/>
        <w:divId w:val="261499330"/>
        <w:rPr>
          <w:rFonts w:hint="eastAsia"/>
          <w:sz w:val="30"/>
          <w:szCs w:val="30"/>
        </w:rPr>
      </w:pPr>
      <w:r>
        <w:rPr>
          <w:rFonts w:hint="eastAsia"/>
          <w:sz w:val="30"/>
          <w:szCs w:val="30"/>
        </w:rPr>
        <w:t>审理中，原告法定代表人陈倩网络联线向本院表示诉状上签字系其所签，起诉系原告真实意思表示。二被告则表示不愿意配合审计。</w:t>
      </w:r>
    </w:p>
    <w:p w:rsidR="00000000" w:rsidRDefault="00DE2E2B">
      <w:pPr>
        <w:spacing w:line="500" w:lineRule="atLeast"/>
        <w:ind w:firstLine="600"/>
        <w:divId w:val="392003093"/>
        <w:rPr>
          <w:rFonts w:hint="eastAsia"/>
          <w:sz w:val="30"/>
          <w:szCs w:val="30"/>
        </w:rPr>
      </w:pPr>
      <w:r>
        <w:rPr>
          <w:rFonts w:hint="eastAsia"/>
          <w:sz w:val="30"/>
          <w:szCs w:val="30"/>
        </w:rPr>
        <w:t>以上事实，由工商公示信息、</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日《会议纪要》、</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22811</w:t>
      </w:r>
      <w:r>
        <w:rPr>
          <w:rFonts w:hint="eastAsia"/>
          <w:sz w:val="30"/>
          <w:szCs w:val="30"/>
        </w:rPr>
        <w:t>号、</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22829</w:t>
      </w:r>
      <w:r>
        <w:rPr>
          <w:rFonts w:hint="eastAsia"/>
          <w:sz w:val="30"/>
          <w:szCs w:val="30"/>
        </w:rPr>
        <w:t>号相关文书、当事人陈述为证。</w:t>
      </w:r>
    </w:p>
    <w:p w:rsidR="00000000" w:rsidRDefault="00DE2E2B">
      <w:pPr>
        <w:spacing w:line="500" w:lineRule="atLeast"/>
        <w:ind w:firstLine="600"/>
        <w:divId w:val="266356868"/>
        <w:rPr>
          <w:rFonts w:hint="eastAsia"/>
          <w:sz w:val="30"/>
          <w:szCs w:val="30"/>
        </w:rPr>
      </w:pPr>
      <w:r>
        <w:rPr>
          <w:rFonts w:hint="eastAsia"/>
          <w:sz w:val="30"/>
          <w:szCs w:val="30"/>
        </w:rPr>
        <w:t>本院认为，当事人对自己提出的诉讼请求所依据的事实或者反驳对方诉讼请求所依据的事实，应当提供证据加以证明。原告以余东平未经股东会同意、利用职务之便为自己或他人谋取属于公司的商业机会、自营与所任职公司同类业务为由，要求行使归入权，对此，原告应承担举证责任。从</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22811</w:t>
      </w:r>
      <w:r>
        <w:rPr>
          <w:rFonts w:hint="eastAsia"/>
          <w:sz w:val="30"/>
          <w:szCs w:val="30"/>
        </w:rPr>
        <w:t>号、</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22829</w:t>
      </w:r>
      <w:r>
        <w:rPr>
          <w:rFonts w:hint="eastAsia"/>
          <w:sz w:val="30"/>
          <w:szCs w:val="30"/>
        </w:rPr>
        <w:t>号案件中原告的诉称来看，原告在本案中所称原告在余东平设立简会公司时并不知情的表述是不符合事实的，加</w:t>
      </w:r>
      <w:r>
        <w:rPr>
          <w:rFonts w:hint="eastAsia"/>
          <w:sz w:val="30"/>
          <w:szCs w:val="30"/>
        </w:rPr>
        <w:t>上</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日《会议纪要》的表述，余东平设立简会公司时，原告既知情又同意。双方的争议仅仅是余东平是否已按照</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会议纪要》返还了相应款项，而原告认为该些款项均为原告的课程款，对此，原告已提起了相关诉讼，并已有生效判决，原告即使不赞同判决结果，也只能依法行使相应权利。原告在本案中明确表示行使归入权，故在程序上，不属于重复诉讼。但原告如仅以余东平设立了简会公司为由主张归入权，如上所述，显然是缺乏依据的。原告在本案中提供的证据基本与前案提供的证据基本一致，鉴于生效判决均对有关证据进行了论证</w:t>
      </w:r>
      <w:r>
        <w:rPr>
          <w:rFonts w:hint="eastAsia"/>
          <w:sz w:val="30"/>
          <w:szCs w:val="30"/>
        </w:rPr>
        <w:t>，故对重复的证据，本案不再赘述。本院认为，在本案中，原告认为余东平私自设立简会公司收取了原告的课程款，但私自设立一说不合原告原先的自述，代收课程款一事又已有生效判决认定，故原告仅仅以两公司之间存在营业范围的部分重合为由行使归入权，缺乏依据。综上，原告主张归入权并赔偿利息损失的诉讼请求，依据不足，本院不予支持。</w:t>
      </w:r>
    </w:p>
    <w:p w:rsidR="00000000" w:rsidRDefault="00DE2E2B">
      <w:pPr>
        <w:spacing w:line="500" w:lineRule="atLeast"/>
        <w:ind w:firstLine="600"/>
        <w:divId w:val="198473050"/>
        <w:rPr>
          <w:rFonts w:hint="eastAsia"/>
          <w:sz w:val="30"/>
          <w:szCs w:val="30"/>
        </w:rPr>
      </w:pPr>
      <w:r>
        <w:rPr>
          <w:rFonts w:hint="eastAsia"/>
          <w:sz w:val="30"/>
          <w:szCs w:val="30"/>
        </w:rPr>
        <w:t>据此，依照《最高人民法院关于适</w:t>
      </w:r>
      <w:r>
        <w:rPr>
          <w:rFonts w:hint="eastAsia"/>
          <w:sz w:val="30"/>
          <w:szCs w:val="30"/>
        </w:rPr>
        <w:t>用</w:t>
      </w:r>
      <w:r>
        <w:rPr>
          <w:rFonts w:hint="eastAsia"/>
          <w:sz w:val="30"/>
          <w:szCs w:val="30"/>
        </w:rPr>
        <w:t>的解释》第九十条之规定，判决如下：</w:t>
      </w:r>
    </w:p>
    <w:p w:rsidR="00000000" w:rsidRDefault="00DE2E2B">
      <w:pPr>
        <w:spacing w:line="500" w:lineRule="atLeast"/>
        <w:ind w:firstLine="600"/>
        <w:divId w:val="930087517"/>
        <w:rPr>
          <w:rFonts w:hint="eastAsia"/>
          <w:sz w:val="30"/>
          <w:szCs w:val="30"/>
        </w:rPr>
      </w:pPr>
      <w:r>
        <w:rPr>
          <w:rFonts w:hint="eastAsia"/>
          <w:sz w:val="30"/>
          <w:szCs w:val="30"/>
        </w:rPr>
        <w:t>驳回原告俪领企业管理咨询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有限责任公司的诉讼请求。</w:t>
      </w:r>
    </w:p>
    <w:p w:rsidR="00000000" w:rsidRDefault="00DE2E2B">
      <w:pPr>
        <w:spacing w:line="500" w:lineRule="atLeast"/>
        <w:ind w:firstLine="600"/>
        <w:divId w:val="1148739538"/>
        <w:rPr>
          <w:rFonts w:hint="eastAsia"/>
          <w:sz w:val="30"/>
          <w:szCs w:val="30"/>
        </w:rPr>
      </w:pPr>
      <w:r>
        <w:rPr>
          <w:rFonts w:hint="eastAsia"/>
          <w:sz w:val="30"/>
          <w:szCs w:val="30"/>
        </w:rPr>
        <w:t>案件受理费</w:t>
      </w:r>
      <w:r>
        <w:rPr>
          <w:rFonts w:hint="eastAsia"/>
          <w:sz w:val="30"/>
          <w:szCs w:val="30"/>
        </w:rPr>
        <w:t>135,800</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140,800</w:t>
      </w:r>
      <w:r>
        <w:rPr>
          <w:rFonts w:hint="eastAsia"/>
          <w:sz w:val="30"/>
          <w:szCs w:val="30"/>
        </w:rPr>
        <w:t>元，</w:t>
      </w:r>
      <w:r>
        <w:rPr>
          <w:rFonts w:hint="eastAsia"/>
          <w:sz w:val="30"/>
          <w:szCs w:val="30"/>
        </w:rPr>
        <w:t>由原告俪领企业管理咨询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有限责任公司负担。</w:t>
      </w:r>
    </w:p>
    <w:p w:rsidR="00000000" w:rsidRDefault="00DE2E2B">
      <w:pPr>
        <w:spacing w:line="500" w:lineRule="atLeast"/>
        <w:ind w:firstLine="600"/>
        <w:divId w:val="715009468"/>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DE2E2B">
      <w:pPr>
        <w:spacing w:line="500" w:lineRule="atLeast"/>
        <w:jc w:val="right"/>
        <w:divId w:val="146092443"/>
        <w:rPr>
          <w:rFonts w:hint="eastAsia"/>
          <w:sz w:val="30"/>
          <w:szCs w:val="30"/>
        </w:rPr>
      </w:pPr>
      <w:r>
        <w:rPr>
          <w:rFonts w:hint="eastAsia"/>
          <w:sz w:val="30"/>
          <w:szCs w:val="30"/>
        </w:rPr>
        <w:t>审　判　长　　杜晓淳</w:t>
      </w:r>
    </w:p>
    <w:p w:rsidR="00000000" w:rsidRDefault="00DE2E2B">
      <w:pPr>
        <w:spacing w:line="500" w:lineRule="atLeast"/>
        <w:jc w:val="right"/>
        <w:divId w:val="203635996"/>
        <w:rPr>
          <w:rFonts w:hint="eastAsia"/>
          <w:sz w:val="30"/>
          <w:szCs w:val="30"/>
        </w:rPr>
      </w:pPr>
      <w:r>
        <w:rPr>
          <w:rFonts w:hint="eastAsia"/>
          <w:sz w:val="30"/>
          <w:szCs w:val="30"/>
        </w:rPr>
        <w:t>审　判　员　　张　睿</w:t>
      </w:r>
    </w:p>
    <w:p w:rsidR="00000000" w:rsidRDefault="00DE2E2B">
      <w:pPr>
        <w:spacing w:line="500" w:lineRule="atLeast"/>
        <w:jc w:val="right"/>
        <w:divId w:val="1963992348"/>
        <w:rPr>
          <w:rFonts w:hint="eastAsia"/>
          <w:sz w:val="30"/>
          <w:szCs w:val="30"/>
        </w:rPr>
      </w:pPr>
      <w:r>
        <w:rPr>
          <w:rFonts w:hint="eastAsia"/>
          <w:sz w:val="30"/>
          <w:szCs w:val="30"/>
        </w:rPr>
        <w:t>人民陪审员　　陈海燕</w:t>
      </w:r>
    </w:p>
    <w:p w:rsidR="00000000" w:rsidRDefault="00DE2E2B">
      <w:pPr>
        <w:spacing w:line="500" w:lineRule="atLeast"/>
        <w:jc w:val="right"/>
        <w:divId w:val="978073435"/>
        <w:rPr>
          <w:rFonts w:hint="eastAsia"/>
          <w:sz w:val="30"/>
          <w:szCs w:val="30"/>
        </w:rPr>
      </w:pPr>
      <w:r>
        <w:rPr>
          <w:rFonts w:hint="eastAsia"/>
          <w:sz w:val="30"/>
          <w:szCs w:val="30"/>
        </w:rPr>
        <w:t>二〇二〇年七月二十四日</w:t>
      </w:r>
    </w:p>
    <w:p w:rsidR="00000000" w:rsidRDefault="00DE2E2B">
      <w:pPr>
        <w:spacing w:line="500" w:lineRule="atLeast"/>
        <w:jc w:val="right"/>
        <w:divId w:val="634599908"/>
        <w:rPr>
          <w:rFonts w:hint="eastAsia"/>
          <w:sz w:val="30"/>
          <w:szCs w:val="30"/>
        </w:rPr>
      </w:pPr>
      <w:r>
        <w:rPr>
          <w:rFonts w:hint="eastAsia"/>
          <w:sz w:val="30"/>
          <w:szCs w:val="30"/>
        </w:rPr>
        <w:t>法官　助理　　张怡湘</w:t>
      </w:r>
    </w:p>
    <w:p w:rsidR="00000000" w:rsidRDefault="00DE2E2B">
      <w:pPr>
        <w:spacing w:line="500" w:lineRule="atLeast"/>
        <w:jc w:val="right"/>
        <w:divId w:val="2009017703"/>
        <w:rPr>
          <w:rFonts w:hint="eastAsia"/>
          <w:sz w:val="30"/>
          <w:szCs w:val="30"/>
        </w:rPr>
      </w:pPr>
      <w:r>
        <w:rPr>
          <w:rFonts w:hint="eastAsia"/>
          <w:sz w:val="30"/>
          <w:szCs w:val="30"/>
        </w:rPr>
        <w:t>书　记　员　　张丹凤</w:t>
      </w:r>
    </w:p>
    <w:p w:rsidR="00000000" w:rsidRDefault="00DE2E2B">
      <w:pPr>
        <w:spacing w:line="500" w:lineRule="atLeast"/>
        <w:ind w:firstLine="600"/>
        <w:divId w:val="1567842317"/>
        <w:rPr>
          <w:rFonts w:hint="eastAsia"/>
          <w:sz w:val="30"/>
          <w:szCs w:val="30"/>
        </w:rPr>
      </w:pPr>
      <w:r>
        <w:rPr>
          <w:rFonts w:hint="eastAsia"/>
          <w:sz w:val="30"/>
          <w:szCs w:val="30"/>
        </w:rPr>
        <w:t>附：相关法律条文</w:t>
      </w:r>
    </w:p>
    <w:p w:rsidR="00000000" w:rsidRDefault="00DE2E2B">
      <w:pPr>
        <w:spacing w:line="500" w:lineRule="atLeast"/>
        <w:ind w:firstLine="600"/>
        <w:divId w:val="4554308"/>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rsidR="00000000" w:rsidRDefault="00DE2E2B">
      <w:pPr>
        <w:spacing w:line="500" w:lineRule="atLeast"/>
        <w:ind w:firstLine="600"/>
        <w:divId w:val="444887476"/>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DE2E2B">
      <w:pPr>
        <w:spacing w:line="500" w:lineRule="atLeast"/>
        <w:ind w:firstLine="600"/>
        <w:divId w:val="863905498"/>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E2B" w:rsidRDefault="00DE2E2B" w:rsidP="00DE2E2B">
      <w:r>
        <w:separator/>
      </w:r>
    </w:p>
  </w:endnote>
  <w:endnote w:type="continuationSeparator" w:id="0">
    <w:p w:rsidR="00DE2E2B" w:rsidRDefault="00DE2E2B" w:rsidP="00DE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E2B" w:rsidRDefault="00DE2E2B" w:rsidP="00DE2E2B">
      <w:r>
        <w:separator/>
      </w:r>
    </w:p>
  </w:footnote>
  <w:footnote w:type="continuationSeparator" w:id="0">
    <w:p w:rsidR="00DE2E2B" w:rsidRDefault="00DE2E2B" w:rsidP="00DE2E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2E2B"/>
    <w:rsid w:val="00DE2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E2E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2E2B"/>
    <w:rPr>
      <w:rFonts w:ascii="宋体" w:eastAsia="宋体" w:hAnsi="宋体" w:cs="宋体"/>
      <w:sz w:val="18"/>
      <w:szCs w:val="18"/>
    </w:rPr>
  </w:style>
  <w:style w:type="paragraph" w:styleId="a5">
    <w:name w:val="footer"/>
    <w:basedOn w:val="a"/>
    <w:link w:val="a6"/>
    <w:uiPriority w:val="99"/>
    <w:unhideWhenUsed/>
    <w:rsid w:val="00DE2E2B"/>
    <w:pPr>
      <w:tabs>
        <w:tab w:val="center" w:pos="4153"/>
        <w:tab w:val="right" w:pos="8306"/>
      </w:tabs>
      <w:snapToGrid w:val="0"/>
    </w:pPr>
    <w:rPr>
      <w:sz w:val="18"/>
      <w:szCs w:val="18"/>
    </w:rPr>
  </w:style>
  <w:style w:type="character" w:customStyle="1" w:styleId="a6">
    <w:name w:val="页脚 字符"/>
    <w:basedOn w:val="a0"/>
    <w:link w:val="a5"/>
    <w:uiPriority w:val="99"/>
    <w:rsid w:val="00DE2E2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308">
      <w:marLeft w:val="0"/>
      <w:marRight w:val="0"/>
      <w:marTop w:val="10"/>
      <w:marBottom w:val="10"/>
      <w:divBdr>
        <w:top w:val="none" w:sz="0" w:space="0" w:color="auto"/>
        <w:left w:val="none" w:sz="0" w:space="0" w:color="auto"/>
        <w:bottom w:val="none" w:sz="0" w:space="0" w:color="auto"/>
        <w:right w:val="none" w:sz="0" w:space="0" w:color="auto"/>
      </w:divBdr>
    </w:div>
    <w:div w:id="53433926">
      <w:marLeft w:val="0"/>
      <w:marRight w:val="0"/>
      <w:marTop w:val="10"/>
      <w:marBottom w:val="10"/>
      <w:divBdr>
        <w:top w:val="none" w:sz="0" w:space="0" w:color="auto"/>
        <w:left w:val="none" w:sz="0" w:space="0" w:color="auto"/>
        <w:bottom w:val="none" w:sz="0" w:space="0" w:color="auto"/>
        <w:right w:val="none" w:sz="0" w:space="0" w:color="auto"/>
      </w:divBdr>
    </w:div>
    <w:div w:id="146092443">
      <w:marLeft w:val="0"/>
      <w:marRight w:val="720"/>
      <w:marTop w:val="10"/>
      <w:marBottom w:val="10"/>
      <w:divBdr>
        <w:top w:val="none" w:sz="0" w:space="0" w:color="auto"/>
        <w:left w:val="none" w:sz="0" w:space="0" w:color="auto"/>
        <w:bottom w:val="none" w:sz="0" w:space="0" w:color="auto"/>
        <w:right w:val="none" w:sz="0" w:space="0" w:color="auto"/>
      </w:divBdr>
    </w:div>
    <w:div w:id="198473050">
      <w:marLeft w:val="0"/>
      <w:marRight w:val="0"/>
      <w:marTop w:val="10"/>
      <w:marBottom w:val="10"/>
      <w:divBdr>
        <w:top w:val="none" w:sz="0" w:space="0" w:color="auto"/>
        <w:left w:val="none" w:sz="0" w:space="0" w:color="auto"/>
        <w:bottom w:val="none" w:sz="0" w:space="0" w:color="auto"/>
        <w:right w:val="none" w:sz="0" w:space="0" w:color="auto"/>
      </w:divBdr>
    </w:div>
    <w:div w:id="203635996">
      <w:marLeft w:val="0"/>
      <w:marRight w:val="720"/>
      <w:marTop w:val="10"/>
      <w:marBottom w:val="10"/>
      <w:divBdr>
        <w:top w:val="none" w:sz="0" w:space="0" w:color="auto"/>
        <w:left w:val="none" w:sz="0" w:space="0" w:color="auto"/>
        <w:bottom w:val="none" w:sz="0" w:space="0" w:color="auto"/>
        <w:right w:val="none" w:sz="0" w:space="0" w:color="auto"/>
      </w:divBdr>
    </w:div>
    <w:div w:id="261499330">
      <w:marLeft w:val="0"/>
      <w:marRight w:val="0"/>
      <w:marTop w:val="10"/>
      <w:marBottom w:val="10"/>
      <w:divBdr>
        <w:top w:val="none" w:sz="0" w:space="0" w:color="auto"/>
        <w:left w:val="none" w:sz="0" w:space="0" w:color="auto"/>
        <w:bottom w:val="none" w:sz="0" w:space="0" w:color="auto"/>
        <w:right w:val="none" w:sz="0" w:space="0" w:color="auto"/>
      </w:divBdr>
    </w:div>
    <w:div w:id="266356868">
      <w:marLeft w:val="0"/>
      <w:marRight w:val="0"/>
      <w:marTop w:val="10"/>
      <w:marBottom w:val="10"/>
      <w:divBdr>
        <w:top w:val="none" w:sz="0" w:space="0" w:color="auto"/>
        <w:left w:val="none" w:sz="0" w:space="0" w:color="auto"/>
        <w:bottom w:val="none" w:sz="0" w:space="0" w:color="auto"/>
        <w:right w:val="none" w:sz="0" w:space="0" w:color="auto"/>
      </w:divBdr>
    </w:div>
    <w:div w:id="280183677">
      <w:marLeft w:val="0"/>
      <w:marRight w:val="0"/>
      <w:marTop w:val="10"/>
      <w:marBottom w:val="10"/>
      <w:divBdr>
        <w:top w:val="none" w:sz="0" w:space="0" w:color="auto"/>
        <w:left w:val="none" w:sz="0" w:space="0" w:color="auto"/>
        <w:bottom w:val="none" w:sz="0" w:space="0" w:color="auto"/>
        <w:right w:val="none" w:sz="0" w:space="0" w:color="auto"/>
      </w:divBdr>
    </w:div>
    <w:div w:id="355543142">
      <w:marLeft w:val="0"/>
      <w:marRight w:val="0"/>
      <w:marTop w:val="10"/>
      <w:marBottom w:val="10"/>
      <w:divBdr>
        <w:top w:val="none" w:sz="0" w:space="0" w:color="auto"/>
        <w:left w:val="none" w:sz="0" w:space="0" w:color="auto"/>
        <w:bottom w:val="none" w:sz="0" w:space="0" w:color="auto"/>
        <w:right w:val="none" w:sz="0" w:space="0" w:color="auto"/>
      </w:divBdr>
    </w:div>
    <w:div w:id="392003093">
      <w:marLeft w:val="0"/>
      <w:marRight w:val="0"/>
      <w:marTop w:val="10"/>
      <w:marBottom w:val="10"/>
      <w:divBdr>
        <w:top w:val="none" w:sz="0" w:space="0" w:color="auto"/>
        <w:left w:val="none" w:sz="0" w:space="0" w:color="auto"/>
        <w:bottom w:val="none" w:sz="0" w:space="0" w:color="auto"/>
        <w:right w:val="none" w:sz="0" w:space="0" w:color="auto"/>
      </w:divBdr>
    </w:div>
    <w:div w:id="436407985">
      <w:marLeft w:val="0"/>
      <w:marRight w:val="0"/>
      <w:marTop w:val="10"/>
      <w:marBottom w:val="10"/>
      <w:divBdr>
        <w:top w:val="none" w:sz="0" w:space="0" w:color="auto"/>
        <w:left w:val="none" w:sz="0" w:space="0" w:color="auto"/>
        <w:bottom w:val="none" w:sz="0" w:space="0" w:color="auto"/>
        <w:right w:val="none" w:sz="0" w:space="0" w:color="auto"/>
      </w:divBdr>
    </w:div>
    <w:div w:id="444887476">
      <w:marLeft w:val="0"/>
      <w:marRight w:val="0"/>
      <w:marTop w:val="10"/>
      <w:marBottom w:val="10"/>
      <w:divBdr>
        <w:top w:val="none" w:sz="0" w:space="0" w:color="auto"/>
        <w:left w:val="none" w:sz="0" w:space="0" w:color="auto"/>
        <w:bottom w:val="none" w:sz="0" w:space="0" w:color="auto"/>
        <w:right w:val="none" w:sz="0" w:space="0" w:color="auto"/>
      </w:divBdr>
    </w:div>
    <w:div w:id="488134487">
      <w:marLeft w:val="0"/>
      <w:marRight w:val="0"/>
      <w:marTop w:val="10"/>
      <w:marBottom w:val="10"/>
      <w:divBdr>
        <w:top w:val="none" w:sz="0" w:space="0" w:color="auto"/>
        <w:left w:val="none" w:sz="0" w:space="0" w:color="auto"/>
        <w:bottom w:val="none" w:sz="0" w:space="0" w:color="auto"/>
        <w:right w:val="none" w:sz="0" w:space="0" w:color="auto"/>
      </w:divBdr>
    </w:div>
    <w:div w:id="634599908">
      <w:marLeft w:val="0"/>
      <w:marRight w:val="720"/>
      <w:marTop w:val="10"/>
      <w:marBottom w:val="10"/>
      <w:divBdr>
        <w:top w:val="none" w:sz="0" w:space="0" w:color="auto"/>
        <w:left w:val="none" w:sz="0" w:space="0" w:color="auto"/>
        <w:bottom w:val="none" w:sz="0" w:space="0" w:color="auto"/>
        <w:right w:val="none" w:sz="0" w:space="0" w:color="auto"/>
      </w:divBdr>
    </w:div>
    <w:div w:id="715009468">
      <w:marLeft w:val="0"/>
      <w:marRight w:val="0"/>
      <w:marTop w:val="10"/>
      <w:marBottom w:val="10"/>
      <w:divBdr>
        <w:top w:val="none" w:sz="0" w:space="0" w:color="auto"/>
        <w:left w:val="none" w:sz="0" w:space="0" w:color="auto"/>
        <w:bottom w:val="none" w:sz="0" w:space="0" w:color="auto"/>
        <w:right w:val="none" w:sz="0" w:space="0" w:color="auto"/>
      </w:divBdr>
    </w:div>
    <w:div w:id="826363511">
      <w:marLeft w:val="0"/>
      <w:marRight w:val="0"/>
      <w:marTop w:val="10"/>
      <w:marBottom w:val="10"/>
      <w:divBdr>
        <w:top w:val="none" w:sz="0" w:space="0" w:color="auto"/>
        <w:left w:val="none" w:sz="0" w:space="0" w:color="auto"/>
        <w:bottom w:val="none" w:sz="0" w:space="0" w:color="auto"/>
        <w:right w:val="none" w:sz="0" w:space="0" w:color="auto"/>
      </w:divBdr>
    </w:div>
    <w:div w:id="838740527">
      <w:marLeft w:val="0"/>
      <w:marRight w:val="0"/>
      <w:marTop w:val="10"/>
      <w:marBottom w:val="10"/>
      <w:divBdr>
        <w:top w:val="none" w:sz="0" w:space="0" w:color="auto"/>
        <w:left w:val="none" w:sz="0" w:space="0" w:color="auto"/>
        <w:bottom w:val="none" w:sz="0" w:space="0" w:color="auto"/>
        <w:right w:val="none" w:sz="0" w:space="0" w:color="auto"/>
      </w:divBdr>
    </w:div>
    <w:div w:id="863905498">
      <w:marLeft w:val="0"/>
      <w:marRight w:val="0"/>
      <w:marTop w:val="10"/>
      <w:marBottom w:val="10"/>
      <w:divBdr>
        <w:top w:val="none" w:sz="0" w:space="0" w:color="auto"/>
        <w:left w:val="none" w:sz="0" w:space="0" w:color="auto"/>
        <w:bottom w:val="none" w:sz="0" w:space="0" w:color="auto"/>
        <w:right w:val="none" w:sz="0" w:space="0" w:color="auto"/>
      </w:divBdr>
    </w:div>
    <w:div w:id="884759598">
      <w:marLeft w:val="0"/>
      <w:marRight w:val="0"/>
      <w:marTop w:val="10"/>
      <w:marBottom w:val="10"/>
      <w:divBdr>
        <w:top w:val="none" w:sz="0" w:space="0" w:color="auto"/>
        <w:left w:val="none" w:sz="0" w:space="0" w:color="auto"/>
        <w:bottom w:val="none" w:sz="0" w:space="0" w:color="auto"/>
        <w:right w:val="none" w:sz="0" w:space="0" w:color="auto"/>
      </w:divBdr>
    </w:div>
    <w:div w:id="930087517">
      <w:marLeft w:val="0"/>
      <w:marRight w:val="0"/>
      <w:marTop w:val="10"/>
      <w:marBottom w:val="10"/>
      <w:divBdr>
        <w:top w:val="none" w:sz="0" w:space="0" w:color="auto"/>
        <w:left w:val="none" w:sz="0" w:space="0" w:color="auto"/>
        <w:bottom w:val="none" w:sz="0" w:space="0" w:color="auto"/>
        <w:right w:val="none" w:sz="0" w:space="0" w:color="auto"/>
      </w:divBdr>
    </w:div>
    <w:div w:id="978073435">
      <w:marLeft w:val="0"/>
      <w:marRight w:val="720"/>
      <w:marTop w:val="10"/>
      <w:marBottom w:val="10"/>
      <w:divBdr>
        <w:top w:val="none" w:sz="0" w:space="0" w:color="auto"/>
        <w:left w:val="none" w:sz="0" w:space="0" w:color="auto"/>
        <w:bottom w:val="none" w:sz="0" w:space="0" w:color="auto"/>
        <w:right w:val="none" w:sz="0" w:space="0" w:color="auto"/>
      </w:divBdr>
    </w:div>
    <w:div w:id="1123230828">
      <w:marLeft w:val="0"/>
      <w:marRight w:val="0"/>
      <w:marTop w:val="10"/>
      <w:marBottom w:val="10"/>
      <w:divBdr>
        <w:top w:val="none" w:sz="0" w:space="0" w:color="auto"/>
        <w:left w:val="none" w:sz="0" w:space="0" w:color="auto"/>
        <w:bottom w:val="none" w:sz="0" w:space="0" w:color="auto"/>
        <w:right w:val="none" w:sz="0" w:space="0" w:color="auto"/>
      </w:divBdr>
    </w:div>
    <w:div w:id="1148739538">
      <w:marLeft w:val="0"/>
      <w:marRight w:val="0"/>
      <w:marTop w:val="10"/>
      <w:marBottom w:val="10"/>
      <w:divBdr>
        <w:top w:val="none" w:sz="0" w:space="0" w:color="auto"/>
        <w:left w:val="none" w:sz="0" w:space="0" w:color="auto"/>
        <w:bottom w:val="none" w:sz="0" w:space="0" w:color="auto"/>
        <w:right w:val="none" w:sz="0" w:space="0" w:color="auto"/>
      </w:divBdr>
    </w:div>
    <w:div w:id="1234242898">
      <w:marLeft w:val="0"/>
      <w:marRight w:val="0"/>
      <w:marTop w:val="10"/>
      <w:marBottom w:val="10"/>
      <w:divBdr>
        <w:top w:val="none" w:sz="0" w:space="0" w:color="auto"/>
        <w:left w:val="none" w:sz="0" w:space="0" w:color="auto"/>
        <w:bottom w:val="none" w:sz="0" w:space="0" w:color="auto"/>
        <w:right w:val="none" w:sz="0" w:space="0" w:color="auto"/>
      </w:divBdr>
    </w:div>
    <w:div w:id="1348602671">
      <w:marLeft w:val="0"/>
      <w:marRight w:val="0"/>
      <w:marTop w:val="10"/>
      <w:marBottom w:val="10"/>
      <w:divBdr>
        <w:top w:val="none" w:sz="0" w:space="0" w:color="auto"/>
        <w:left w:val="none" w:sz="0" w:space="0" w:color="auto"/>
        <w:bottom w:val="none" w:sz="0" w:space="0" w:color="auto"/>
        <w:right w:val="none" w:sz="0" w:space="0" w:color="auto"/>
      </w:divBdr>
    </w:div>
    <w:div w:id="1503273520">
      <w:marLeft w:val="0"/>
      <w:marRight w:val="0"/>
      <w:marTop w:val="10"/>
      <w:marBottom w:val="10"/>
      <w:divBdr>
        <w:top w:val="none" w:sz="0" w:space="0" w:color="auto"/>
        <w:left w:val="none" w:sz="0" w:space="0" w:color="auto"/>
        <w:bottom w:val="none" w:sz="0" w:space="0" w:color="auto"/>
        <w:right w:val="none" w:sz="0" w:space="0" w:color="auto"/>
      </w:divBdr>
    </w:div>
    <w:div w:id="1567842317">
      <w:marLeft w:val="0"/>
      <w:marRight w:val="0"/>
      <w:marTop w:val="10"/>
      <w:marBottom w:val="10"/>
      <w:divBdr>
        <w:top w:val="none" w:sz="0" w:space="0" w:color="auto"/>
        <w:left w:val="none" w:sz="0" w:space="0" w:color="auto"/>
        <w:bottom w:val="none" w:sz="0" w:space="0" w:color="auto"/>
        <w:right w:val="none" w:sz="0" w:space="0" w:color="auto"/>
      </w:divBdr>
    </w:div>
    <w:div w:id="1590117752">
      <w:marLeft w:val="0"/>
      <w:marRight w:val="0"/>
      <w:marTop w:val="10"/>
      <w:marBottom w:val="10"/>
      <w:divBdr>
        <w:top w:val="none" w:sz="0" w:space="0" w:color="auto"/>
        <w:left w:val="none" w:sz="0" w:space="0" w:color="auto"/>
        <w:bottom w:val="none" w:sz="0" w:space="0" w:color="auto"/>
        <w:right w:val="none" w:sz="0" w:space="0" w:color="auto"/>
      </w:divBdr>
    </w:div>
    <w:div w:id="1626737381">
      <w:marLeft w:val="0"/>
      <w:marRight w:val="0"/>
      <w:marTop w:val="10"/>
      <w:marBottom w:val="10"/>
      <w:divBdr>
        <w:top w:val="none" w:sz="0" w:space="0" w:color="auto"/>
        <w:left w:val="none" w:sz="0" w:space="0" w:color="auto"/>
        <w:bottom w:val="none" w:sz="0" w:space="0" w:color="auto"/>
        <w:right w:val="none" w:sz="0" w:space="0" w:color="auto"/>
      </w:divBdr>
    </w:div>
    <w:div w:id="1661032626">
      <w:marLeft w:val="0"/>
      <w:marRight w:val="0"/>
      <w:marTop w:val="10"/>
      <w:marBottom w:val="10"/>
      <w:divBdr>
        <w:top w:val="none" w:sz="0" w:space="0" w:color="auto"/>
        <w:left w:val="none" w:sz="0" w:space="0" w:color="auto"/>
        <w:bottom w:val="none" w:sz="0" w:space="0" w:color="auto"/>
        <w:right w:val="none" w:sz="0" w:space="0" w:color="auto"/>
      </w:divBdr>
    </w:div>
    <w:div w:id="1679849597">
      <w:marLeft w:val="0"/>
      <w:marRight w:val="0"/>
      <w:marTop w:val="10"/>
      <w:marBottom w:val="10"/>
      <w:divBdr>
        <w:top w:val="none" w:sz="0" w:space="0" w:color="auto"/>
        <w:left w:val="none" w:sz="0" w:space="0" w:color="auto"/>
        <w:bottom w:val="none" w:sz="0" w:space="0" w:color="auto"/>
        <w:right w:val="none" w:sz="0" w:space="0" w:color="auto"/>
      </w:divBdr>
    </w:div>
    <w:div w:id="1700273402">
      <w:marLeft w:val="0"/>
      <w:marRight w:val="0"/>
      <w:marTop w:val="10"/>
      <w:marBottom w:val="10"/>
      <w:divBdr>
        <w:top w:val="none" w:sz="0" w:space="0" w:color="auto"/>
        <w:left w:val="none" w:sz="0" w:space="0" w:color="auto"/>
        <w:bottom w:val="none" w:sz="0" w:space="0" w:color="auto"/>
        <w:right w:val="none" w:sz="0" w:space="0" w:color="auto"/>
      </w:divBdr>
    </w:div>
    <w:div w:id="1963992348">
      <w:marLeft w:val="0"/>
      <w:marRight w:val="720"/>
      <w:marTop w:val="10"/>
      <w:marBottom w:val="10"/>
      <w:divBdr>
        <w:top w:val="none" w:sz="0" w:space="0" w:color="auto"/>
        <w:left w:val="none" w:sz="0" w:space="0" w:color="auto"/>
        <w:bottom w:val="none" w:sz="0" w:space="0" w:color="auto"/>
        <w:right w:val="none" w:sz="0" w:space="0" w:color="auto"/>
      </w:divBdr>
    </w:div>
    <w:div w:id="2009017703">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