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AC4F33">
      <w:pPr>
        <w:spacing w:line="500" w:lineRule="atLeast"/>
        <w:jc w:val="center"/>
        <w:divId w:val="2104454803"/>
        <w:rPr>
          <w:rFonts w:ascii="黑体" w:eastAsia="黑体" w:hAnsi="黑体"/>
          <w:sz w:val="36"/>
          <w:szCs w:val="36"/>
        </w:rPr>
      </w:pPr>
      <w:bookmarkStart w:id="0" w:name="_GoBack"/>
      <w:bookmarkEnd w:id="0"/>
      <w:r>
        <w:rPr>
          <w:rFonts w:ascii="黑体" w:eastAsia="黑体" w:hAnsi="黑体" w:hint="eastAsia"/>
          <w:sz w:val="36"/>
          <w:szCs w:val="36"/>
        </w:rPr>
        <w:t>北京市海淀区人民法院</w:t>
      </w:r>
    </w:p>
    <w:p w:rsidR="00000000" w:rsidRDefault="00AC4F33">
      <w:pPr>
        <w:spacing w:line="500" w:lineRule="atLeast"/>
        <w:jc w:val="center"/>
        <w:divId w:val="54089609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AC4F33">
      <w:pPr>
        <w:spacing w:line="500" w:lineRule="atLeast"/>
        <w:jc w:val="right"/>
        <w:divId w:val="1555316493"/>
        <w:rPr>
          <w:rFonts w:hint="eastAsia"/>
          <w:sz w:val="30"/>
          <w:szCs w:val="30"/>
        </w:rPr>
      </w:pPr>
      <w:r>
        <w:rPr>
          <w:rFonts w:hint="eastAsia"/>
          <w:sz w:val="30"/>
          <w:szCs w:val="30"/>
        </w:rPr>
        <w:t>（</w:t>
      </w:r>
      <w:r>
        <w:rPr>
          <w:rFonts w:hint="eastAsia"/>
          <w:sz w:val="30"/>
          <w:szCs w:val="30"/>
        </w:rPr>
        <w:t>2018</w:t>
      </w:r>
      <w:r>
        <w:rPr>
          <w:rFonts w:hint="eastAsia"/>
          <w:sz w:val="30"/>
          <w:szCs w:val="30"/>
        </w:rPr>
        <w:t>）京</w:t>
      </w:r>
      <w:r>
        <w:rPr>
          <w:rFonts w:hint="eastAsia"/>
          <w:sz w:val="30"/>
          <w:szCs w:val="30"/>
        </w:rPr>
        <w:t>0108</w:t>
      </w:r>
      <w:r>
        <w:rPr>
          <w:rFonts w:hint="eastAsia"/>
          <w:sz w:val="30"/>
          <w:szCs w:val="30"/>
        </w:rPr>
        <w:t>民初</w:t>
      </w:r>
      <w:r>
        <w:rPr>
          <w:rFonts w:hint="eastAsia"/>
          <w:sz w:val="30"/>
          <w:szCs w:val="30"/>
        </w:rPr>
        <w:t>817</w:t>
      </w:r>
      <w:r>
        <w:rPr>
          <w:rFonts w:hint="eastAsia"/>
          <w:sz w:val="30"/>
          <w:szCs w:val="30"/>
        </w:rPr>
        <w:t>号</w:t>
      </w:r>
    </w:p>
    <w:p w:rsidR="00000000" w:rsidRDefault="00AC4F33">
      <w:pPr>
        <w:spacing w:line="500" w:lineRule="atLeast"/>
        <w:ind w:firstLine="600"/>
        <w:divId w:val="2032145563"/>
        <w:rPr>
          <w:rFonts w:hint="eastAsia"/>
          <w:sz w:val="30"/>
          <w:szCs w:val="30"/>
        </w:rPr>
      </w:pPr>
      <w:r>
        <w:rPr>
          <w:rFonts w:hint="eastAsia"/>
          <w:sz w:val="30"/>
          <w:szCs w:val="30"/>
        </w:rPr>
        <w:t>原告：北京佳视鑫咨询服务有限公司，住北京市海淀区上地十街</w:t>
      </w:r>
      <w:r>
        <w:rPr>
          <w:rFonts w:hint="eastAsia"/>
          <w:sz w:val="30"/>
          <w:szCs w:val="30"/>
        </w:rPr>
        <w:t>1</w:t>
      </w:r>
      <w:r>
        <w:rPr>
          <w:rFonts w:hint="eastAsia"/>
          <w:sz w:val="30"/>
          <w:szCs w:val="30"/>
        </w:rPr>
        <w:t>号院</w:t>
      </w:r>
      <w:r>
        <w:rPr>
          <w:rFonts w:hint="eastAsia"/>
          <w:sz w:val="30"/>
          <w:szCs w:val="30"/>
        </w:rPr>
        <w:t>6</w:t>
      </w:r>
      <w:r>
        <w:rPr>
          <w:rFonts w:hint="eastAsia"/>
          <w:sz w:val="30"/>
          <w:szCs w:val="30"/>
        </w:rPr>
        <w:t>号楼</w:t>
      </w:r>
      <w:r>
        <w:rPr>
          <w:rFonts w:hint="eastAsia"/>
          <w:sz w:val="30"/>
          <w:szCs w:val="30"/>
        </w:rPr>
        <w:t>2</w:t>
      </w:r>
      <w:r>
        <w:rPr>
          <w:rFonts w:hint="eastAsia"/>
          <w:sz w:val="30"/>
          <w:szCs w:val="30"/>
        </w:rPr>
        <w:t>层</w:t>
      </w:r>
      <w:r>
        <w:rPr>
          <w:rFonts w:hint="eastAsia"/>
          <w:sz w:val="30"/>
          <w:szCs w:val="30"/>
        </w:rPr>
        <w:t>209-102</w:t>
      </w:r>
      <w:r>
        <w:rPr>
          <w:rFonts w:hint="eastAsia"/>
          <w:sz w:val="30"/>
          <w:szCs w:val="30"/>
        </w:rPr>
        <w:t>。</w:t>
      </w:r>
    </w:p>
    <w:p w:rsidR="00000000" w:rsidRDefault="00AC4F33">
      <w:pPr>
        <w:spacing w:line="500" w:lineRule="atLeast"/>
        <w:ind w:firstLine="600"/>
        <w:divId w:val="424568944"/>
        <w:rPr>
          <w:rFonts w:hint="eastAsia"/>
          <w:sz w:val="30"/>
          <w:szCs w:val="30"/>
        </w:rPr>
      </w:pPr>
      <w:r>
        <w:rPr>
          <w:rFonts w:hint="eastAsia"/>
          <w:sz w:val="30"/>
          <w:szCs w:val="30"/>
        </w:rPr>
        <w:t>法定代表人：李佳</w:t>
      </w:r>
      <w:r>
        <w:rPr>
          <w:rFonts w:hint="eastAsia"/>
          <w:sz w:val="30"/>
          <w:szCs w:val="30"/>
        </w:rPr>
        <w:t>,</w:t>
      </w:r>
      <w:r>
        <w:rPr>
          <w:rFonts w:hint="eastAsia"/>
          <w:sz w:val="30"/>
          <w:szCs w:val="30"/>
        </w:rPr>
        <w:t>执行董事。</w:t>
      </w:r>
    </w:p>
    <w:p w:rsidR="00000000" w:rsidRDefault="00AC4F33">
      <w:pPr>
        <w:spacing w:line="500" w:lineRule="atLeast"/>
        <w:ind w:firstLine="600"/>
        <w:divId w:val="839731244"/>
        <w:rPr>
          <w:rFonts w:hint="eastAsia"/>
          <w:sz w:val="30"/>
          <w:szCs w:val="30"/>
        </w:rPr>
      </w:pPr>
      <w:r>
        <w:rPr>
          <w:rFonts w:hint="eastAsia"/>
          <w:sz w:val="30"/>
          <w:szCs w:val="30"/>
        </w:rPr>
        <w:t>诉讼代表人：李鑫，女，</w:t>
      </w:r>
      <w:r>
        <w:rPr>
          <w:rFonts w:hint="eastAsia"/>
          <w:sz w:val="30"/>
          <w:szCs w:val="30"/>
        </w:rPr>
        <w:t>1986</w:t>
      </w:r>
      <w:r>
        <w:rPr>
          <w:rFonts w:hint="eastAsia"/>
          <w:sz w:val="30"/>
          <w:szCs w:val="30"/>
        </w:rPr>
        <w:t>年</w:t>
      </w:r>
      <w:r>
        <w:rPr>
          <w:rFonts w:hint="eastAsia"/>
          <w:sz w:val="30"/>
          <w:szCs w:val="30"/>
        </w:rPr>
        <w:t>1</w:t>
      </w:r>
      <w:r>
        <w:rPr>
          <w:rFonts w:hint="eastAsia"/>
          <w:sz w:val="30"/>
          <w:szCs w:val="30"/>
        </w:rPr>
        <w:t>月出生，北京佳视鑫咨询服务有限公司股东、监事，住北京市石景山区。</w:t>
      </w:r>
    </w:p>
    <w:p w:rsidR="00000000" w:rsidRDefault="00AC4F33">
      <w:pPr>
        <w:spacing w:line="500" w:lineRule="atLeast"/>
        <w:ind w:firstLine="600"/>
        <w:divId w:val="1634486616"/>
        <w:rPr>
          <w:rFonts w:hint="eastAsia"/>
          <w:sz w:val="30"/>
          <w:szCs w:val="30"/>
        </w:rPr>
      </w:pPr>
      <w:r>
        <w:rPr>
          <w:rFonts w:hint="eastAsia"/>
          <w:sz w:val="30"/>
          <w:szCs w:val="30"/>
        </w:rPr>
        <w:t>委托诉讼代理人：单兴山，北京市炜衡律师事务所律师。</w:t>
      </w:r>
    </w:p>
    <w:p w:rsidR="00000000" w:rsidRDefault="00AC4F33">
      <w:pPr>
        <w:spacing w:line="500" w:lineRule="atLeast"/>
        <w:ind w:firstLine="600"/>
        <w:divId w:val="1270702439"/>
        <w:rPr>
          <w:rFonts w:hint="eastAsia"/>
          <w:sz w:val="30"/>
          <w:szCs w:val="30"/>
        </w:rPr>
      </w:pPr>
      <w:r>
        <w:rPr>
          <w:rFonts w:hint="eastAsia"/>
          <w:sz w:val="30"/>
          <w:szCs w:val="30"/>
        </w:rPr>
        <w:t>被告：李佳，女，</w:t>
      </w:r>
      <w:r>
        <w:rPr>
          <w:rFonts w:hint="eastAsia"/>
          <w:sz w:val="30"/>
          <w:szCs w:val="30"/>
        </w:rPr>
        <w:t>1984</w:t>
      </w:r>
      <w:r>
        <w:rPr>
          <w:rFonts w:hint="eastAsia"/>
          <w:sz w:val="30"/>
          <w:szCs w:val="30"/>
        </w:rPr>
        <w:t>年</w:t>
      </w:r>
      <w:r>
        <w:rPr>
          <w:rFonts w:hint="eastAsia"/>
          <w:sz w:val="30"/>
          <w:szCs w:val="30"/>
        </w:rPr>
        <w:t>6</w:t>
      </w:r>
      <w:r>
        <w:rPr>
          <w:rFonts w:hint="eastAsia"/>
          <w:sz w:val="30"/>
          <w:szCs w:val="30"/>
        </w:rPr>
        <w:t>月出生，汉族，住北京市石景山区。</w:t>
      </w:r>
    </w:p>
    <w:p w:rsidR="00000000" w:rsidRDefault="00AC4F33">
      <w:pPr>
        <w:spacing w:line="500" w:lineRule="atLeast"/>
        <w:ind w:firstLine="600"/>
        <w:divId w:val="1155955816"/>
        <w:rPr>
          <w:rFonts w:hint="eastAsia"/>
          <w:sz w:val="30"/>
          <w:szCs w:val="30"/>
        </w:rPr>
      </w:pPr>
      <w:r>
        <w:rPr>
          <w:rFonts w:hint="eastAsia"/>
          <w:sz w:val="30"/>
          <w:szCs w:val="30"/>
        </w:rPr>
        <w:t>委托诉讼代理人：刘波，北京渊博律师事务所律师。</w:t>
      </w:r>
    </w:p>
    <w:p w:rsidR="00000000" w:rsidRDefault="00AC4F33">
      <w:pPr>
        <w:spacing w:line="500" w:lineRule="atLeast"/>
        <w:ind w:firstLine="600"/>
        <w:divId w:val="1437091167"/>
        <w:rPr>
          <w:rFonts w:hint="eastAsia"/>
          <w:sz w:val="30"/>
          <w:szCs w:val="30"/>
        </w:rPr>
      </w:pPr>
      <w:r>
        <w:rPr>
          <w:rFonts w:hint="eastAsia"/>
          <w:sz w:val="30"/>
          <w:szCs w:val="30"/>
        </w:rPr>
        <w:t>委托诉讼代理人：念春环，北京市邦道律师事务所律师。</w:t>
      </w:r>
    </w:p>
    <w:p w:rsidR="00000000" w:rsidRDefault="00AC4F33">
      <w:pPr>
        <w:spacing w:line="500" w:lineRule="atLeast"/>
        <w:ind w:firstLine="600"/>
        <w:divId w:val="1844397718"/>
        <w:rPr>
          <w:rFonts w:hint="eastAsia"/>
          <w:sz w:val="30"/>
          <w:szCs w:val="30"/>
        </w:rPr>
      </w:pPr>
      <w:r>
        <w:rPr>
          <w:rFonts w:hint="eastAsia"/>
          <w:sz w:val="30"/>
          <w:szCs w:val="30"/>
        </w:rPr>
        <w:t>原告北京佳视鑫咨询服务有限公司（以下简称佳视鑫公司）诉被告李佳损害公司利益责任纠纷一案，本院受理后，依法适用普通程序公开开庭进行了审理。原告佳视鑫公司诉讼代表人李鑫及委托诉讼代理人单兴山，被告李佳委托诉讼代理人刘波、念春环到庭参加诉讼，本案现已审理终结。</w:t>
      </w:r>
    </w:p>
    <w:p w:rsidR="00000000" w:rsidRDefault="00AC4F33">
      <w:pPr>
        <w:spacing w:line="500" w:lineRule="atLeast"/>
        <w:ind w:firstLine="600"/>
        <w:divId w:val="83844321"/>
        <w:rPr>
          <w:rFonts w:hint="eastAsia"/>
          <w:sz w:val="30"/>
          <w:szCs w:val="30"/>
        </w:rPr>
      </w:pPr>
      <w:r>
        <w:rPr>
          <w:rFonts w:hint="eastAsia"/>
          <w:sz w:val="30"/>
          <w:szCs w:val="30"/>
        </w:rPr>
        <w:t>原告佳视鑫公司向本院提出诉讼请求：</w:t>
      </w:r>
      <w:r>
        <w:rPr>
          <w:rFonts w:hint="eastAsia"/>
          <w:sz w:val="30"/>
          <w:szCs w:val="30"/>
        </w:rPr>
        <w:t>1</w:t>
      </w:r>
      <w:r>
        <w:rPr>
          <w:rFonts w:hint="eastAsia"/>
          <w:sz w:val="30"/>
          <w:szCs w:val="30"/>
        </w:rPr>
        <w:t>、判令李佳立即停止实施侵害佳视鑫公司利益的行为，停止从事与佳视鑫公司相同的经营业务；</w:t>
      </w:r>
      <w:r>
        <w:rPr>
          <w:rFonts w:hint="eastAsia"/>
          <w:sz w:val="30"/>
          <w:szCs w:val="30"/>
        </w:rPr>
        <w:t>2</w:t>
      </w:r>
      <w:r>
        <w:rPr>
          <w:rFonts w:hint="eastAsia"/>
          <w:sz w:val="30"/>
          <w:szCs w:val="30"/>
        </w:rPr>
        <w:t>、判令李佳在参与北京佳视新视力健康管理有限公司经营期间的全部所得和应得收入</w:t>
      </w:r>
      <w:r>
        <w:rPr>
          <w:rFonts w:hint="eastAsia"/>
          <w:sz w:val="30"/>
          <w:szCs w:val="30"/>
        </w:rPr>
        <w:t>50</w:t>
      </w:r>
      <w:r>
        <w:rPr>
          <w:rFonts w:hint="eastAsia"/>
          <w:sz w:val="30"/>
          <w:szCs w:val="30"/>
        </w:rPr>
        <w:t>万元归佳视鑫公司所有；</w:t>
      </w:r>
      <w:r>
        <w:rPr>
          <w:rFonts w:hint="eastAsia"/>
          <w:sz w:val="30"/>
          <w:szCs w:val="30"/>
        </w:rPr>
        <w:t>3</w:t>
      </w:r>
      <w:r>
        <w:rPr>
          <w:rFonts w:hint="eastAsia"/>
          <w:sz w:val="30"/>
          <w:szCs w:val="30"/>
        </w:rPr>
        <w:t>、判令李佳返还其侵占的佳视鑫公</w:t>
      </w:r>
      <w:r>
        <w:rPr>
          <w:rFonts w:hint="eastAsia"/>
          <w:sz w:val="30"/>
          <w:szCs w:val="30"/>
        </w:rPr>
        <w:t>司货款</w:t>
      </w:r>
      <w:r>
        <w:rPr>
          <w:rFonts w:hint="eastAsia"/>
          <w:sz w:val="30"/>
          <w:szCs w:val="30"/>
        </w:rPr>
        <w:t>50</w:t>
      </w:r>
      <w:r>
        <w:rPr>
          <w:rFonts w:hint="eastAsia"/>
          <w:sz w:val="30"/>
          <w:szCs w:val="30"/>
        </w:rPr>
        <w:t>万元（暂估</w:t>
      </w:r>
      <w:r>
        <w:rPr>
          <w:rFonts w:hint="eastAsia"/>
          <w:sz w:val="30"/>
          <w:szCs w:val="30"/>
        </w:rPr>
        <w:t>)</w:t>
      </w:r>
      <w:r>
        <w:rPr>
          <w:rFonts w:hint="eastAsia"/>
          <w:sz w:val="30"/>
          <w:szCs w:val="30"/>
        </w:rPr>
        <w:t>；</w:t>
      </w:r>
      <w:r>
        <w:rPr>
          <w:rFonts w:hint="eastAsia"/>
          <w:sz w:val="30"/>
          <w:szCs w:val="30"/>
        </w:rPr>
        <w:t>4</w:t>
      </w:r>
      <w:r>
        <w:rPr>
          <w:rFonts w:hint="eastAsia"/>
          <w:sz w:val="30"/>
          <w:szCs w:val="30"/>
        </w:rPr>
        <w:t>、判令李佳赔偿佳视鑫公司经济损失人民币</w:t>
      </w:r>
      <w:r>
        <w:rPr>
          <w:rFonts w:hint="eastAsia"/>
          <w:sz w:val="30"/>
          <w:szCs w:val="30"/>
        </w:rPr>
        <w:t>30</w:t>
      </w:r>
      <w:r>
        <w:rPr>
          <w:rFonts w:hint="eastAsia"/>
          <w:sz w:val="30"/>
          <w:szCs w:val="30"/>
        </w:rPr>
        <w:t>万元；</w:t>
      </w:r>
      <w:r>
        <w:rPr>
          <w:rFonts w:hint="eastAsia"/>
          <w:sz w:val="30"/>
          <w:szCs w:val="30"/>
        </w:rPr>
        <w:t>5</w:t>
      </w:r>
      <w:r>
        <w:rPr>
          <w:rFonts w:hint="eastAsia"/>
          <w:sz w:val="30"/>
          <w:szCs w:val="30"/>
        </w:rPr>
        <w:t>、判令李佳承担本案的诉讼费、公证费和律师费。事实与理由：</w:t>
      </w:r>
      <w:r>
        <w:rPr>
          <w:rFonts w:hint="eastAsia"/>
          <w:sz w:val="30"/>
          <w:szCs w:val="30"/>
        </w:rPr>
        <w:t>2015</w:t>
      </w:r>
      <w:r>
        <w:rPr>
          <w:rFonts w:hint="eastAsia"/>
          <w:sz w:val="30"/>
          <w:szCs w:val="30"/>
        </w:rPr>
        <w:t>年</w:t>
      </w:r>
      <w:r>
        <w:rPr>
          <w:rFonts w:hint="eastAsia"/>
          <w:sz w:val="30"/>
          <w:szCs w:val="30"/>
        </w:rPr>
        <w:t>7</w:t>
      </w:r>
      <w:r>
        <w:rPr>
          <w:rFonts w:hint="eastAsia"/>
          <w:sz w:val="30"/>
          <w:szCs w:val="30"/>
        </w:rPr>
        <w:t>月，李鑫与李佳各出资</w:t>
      </w:r>
      <w:r>
        <w:rPr>
          <w:rFonts w:hint="eastAsia"/>
          <w:sz w:val="30"/>
          <w:szCs w:val="30"/>
        </w:rPr>
        <w:t>25</w:t>
      </w:r>
      <w:r>
        <w:rPr>
          <w:rFonts w:hint="eastAsia"/>
          <w:sz w:val="30"/>
          <w:szCs w:val="30"/>
        </w:rPr>
        <w:t>万元，共同出资设立北京佳视鑫咨询服务有限公司（以下简称佳视鑫公司），李佳</w:t>
      </w:r>
      <w:r>
        <w:rPr>
          <w:rFonts w:hint="eastAsia"/>
          <w:sz w:val="30"/>
          <w:szCs w:val="30"/>
        </w:rPr>
        <w:lastRenderedPageBreak/>
        <w:t>担任佳视鑫公司法定代表人、执行董事、经理职务</w:t>
      </w:r>
      <w:r>
        <w:rPr>
          <w:rFonts w:hint="eastAsia"/>
          <w:sz w:val="30"/>
          <w:szCs w:val="30"/>
        </w:rPr>
        <w:t>,</w:t>
      </w:r>
      <w:r>
        <w:rPr>
          <w:rFonts w:hint="eastAsia"/>
          <w:sz w:val="30"/>
          <w:szCs w:val="30"/>
        </w:rPr>
        <w:t>具体负责公司经营管理。李鑫担任该公司监事职务。李佳在经营佳视鑫公司期间，于</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w:t>
      </w:r>
      <w:r>
        <w:rPr>
          <w:rFonts w:hint="eastAsia"/>
          <w:sz w:val="30"/>
          <w:szCs w:val="30"/>
        </w:rPr>
        <w:t>又设立了北京佳视新视力健康管理有限公司</w:t>
      </w:r>
      <w:r>
        <w:rPr>
          <w:rFonts w:hint="eastAsia"/>
          <w:sz w:val="30"/>
          <w:szCs w:val="30"/>
        </w:rPr>
        <w:t>(</w:t>
      </w:r>
      <w:r>
        <w:rPr>
          <w:rFonts w:hint="eastAsia"/>
          <w:sz w:val="30"/>
          <w:szCs w:val="30"/>
        </w:rPr>
        <w:t>以下简称佳视新视力公司），李佳出资</w:t>
      </w:r>
      <w:r>
        <w:rPr>
          <w:rFonts w:hint="eastAsia"/>
          <w:sz w:val="30"/>
          <w:szCs w:val="30"/>
        </w:rPr>
        <w:t>49.5</w:t>
      </w:r>
      <w:r>
        <w:rPr>
          <w:rFonts w:hint="eastAsia"/>
          <w:sz w:val="30"/>
          <w:szCs w:val="30"/>
        </w:rPr>
        <w:t>万元</w:t>
      </w:r>
      <w:r>
        <w:rPr>
          <w:rFonts w:hint="eastAsia"/>
          <w:sz w:val="30"/>
          <w:szCs w:val="30"/>
        </w:rPr>
        <w:t>,</w:t>
      </w:r>
      <w:r>
        <w:rPr>
          <w:rFonts w:hint="eastAsia"/>
          <w:sz w:val="30"/>
          <w:szCs w:val="30"/>
        </w:rPr>
        <w:t>占出资比例</w:t>
      </w:r>
      <w:r>
        <w:rPr>
          <w:rFonts w:hint="eastAsia"/>
          <w:sz w:val="30"/>
          <w:szCs w:val="30"/>
        </w:rPr>
        <w:t>99%</w:t>
      </w:r>
      <w:r>
        <w:rPr>
          <w:rFonts w:hint="eastAsia"/>
          <w:sz w:val="30"/>
          <w:szCs w:val="30"/>
        </w:rPr>
        <w:t>，李佳担任佳视鑫公司法定代表人</w:t>
      </w:r>
      <w:r>
        <w:rPr>
          <w:rFonts w:hint="eastAsia"/>
          <w:sz w:val="30"/>
          <w:szCs w:val="30"/>
        </w:rPr>
        <w:t>、执行董事和经理职务，从事与佳视鑫公司同类业务。李佳不但利用职务便利自营与佳视鑫公司同类的业务，还利用其担任佳视鑫公司法定代表人、执行董事和经理的职务便利，发布虚假信息，声称佳视鑫公司存在注销风险，要求加盟商、合作伙伴不要与佳视鑫公司进行合作，将从佳视鑫公司加盟商、合作伙伴收取的相关货款占为己有。并利用佳视鑫公司的经营模式、客户资源和产品进行宣传和市场扩展，致使佳视鑫公司客户纷纷向公司提出解除合同，要求退款，造成佳视鑫公司陷入混乱状况，给佳视鑫公司造成严重经济损失。同时李佳还擅自关闭佳视鑫公司网站，将佳视鑫</w:t>
      </w:r>
      <w:r>
        <w:rPr>
          <w:rFonts w:hint="eastAsia"/>
          <w:sz w:val="30"/>
          <w:szCs w:val="30"/>
        </w:rPr>
        <w:t>公司客户转移至佳视新视力公司名下，对监事李鑫要求其履行执行董事职责，完善公司经营管理，遵守竞业禁止义务的请求不予理睬，陷佳视鑫公司面临经营风险。</w:t>
      </w:r>
    </w:p>
    <w:p w:rsidR="00000000" w:rsidRDefault="00AC4F33">
      <w:pPr>
        <w:spacing w:line="500" w:lineRule="atLeast"/>
        <w:ind w:firstLine="600"/>
        <w:divId w:val="892037121"/>
        <w:rPr>
          <w:rFonts w:hint="eastAsia"/>
          <w:sz w:val="30"/>
          <w:szCs w:val="30"/>
        </w:rPr>
      </w:pPr>
      <w:r>
        <w:rPr>
          <w:rFonts w:hint="eastAsia"/>
          <w:sz w:val="30"/>
          <w:szCs w:val="30"/>
        </w:rPr>
        <w:t>被告李佳答辩称，第一、佳视鑫公司主体不适格，公司股东及法定代表人都没有接到起诉前法定的前置程序，我方认为李鑫不具备诉讼代理人资格；第二、佳视鑫公司及佳视新视力公司经营范围不相同，佳视鑫公司经营范围为经济贸易开发咨询等，佳视新视力公司经营范围为健康管理销售二类医疗器械；第三、李佳与李鑫于</w:t>
      </w:r>
      <w:r>
        <w:rPr>
          <w:rFonts w:hint="eastAsia"/>
          <w:sz w:val="30"/>
          <w:szCs w:val="30"/>
        </w:rPr>
        <w:t>2017</w:t>
      </w:r>
      <w:r>
        <w:rPr>
          <w:rFonts w:hint="eastAsia"/>
          <w:sz w:val="30"/>
          <w:szCs w:val="30"/>
        </w:rPr>
        <w:t>年</w:t>
      </w:r>
      <w:r>
        <w:rPr>
          <w:rFonts w:hint="eastAsia"/>
          <w:sz w:val="30"/>
          <w:szCs w:val="30"/>
        </w:rPr>
        <w:t>9</w:t>
      </w:r>
      <w:r>
        <w:rPr>
          <w:rFonts w:hint="eastAsia"/>
          <w:sz w:val="30"/>
          <w:szCs w:val="30"/>
        </w:rPr>
        <w:t>月份讨论并同意了分家事宜，</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4</w:t>
      </w:r>
      <w:r>
        <w:rPr>
          <w:rFonts w:hint="eastAsia"/>
          <w:sz w:val="30"/>
          <w:szCs w:val="30"/>
        </w:rPr>
        <w:t>日李鑫已经以其丈夫的名义</w:t>
      </w:r>
      <w:r>
        <w:rPr>
          <w:rFonts w:hint="eastAsia"/>
          <w:sz w:val="30"/>
          <w:szCs w:val="30"/>
        </w:rPr>
        <w:t>设立了北京视康健康咨询有限公司，该行为表示李鑫已经成立新公司，并且证明李鑫对李佳成立新公司知情和认可；第四、改善视力的经络贴和手法等是李佳所有并非佳视鑫公司及李鑫所有，李佳与</w:t>
      </w:r>
      <w:r>
        <w:rPr>
          <w:rFonts w:hint="eastAsia"/>
          <w:sz w:val="30"/>
          <w:szCs w:val="30"/>
        </w:rPr>
        <w:lastRenderedPageBreak/>
        <w:t>佳视鑫公司未签署过任何独家代理独家使用的协议，佳视鑫公司不存在技术流失损失；第五、佳视鑫公司与加盟商签署的合作协议约定了服务期三年，但是签署时一次性收取了三年的费用，佳视鑫公司不但不存在损失，还通过分家使得公司获益，分家后李鑫的新公司以及李鑫分得的佳视鑫公司，都不提供后期服务，导致李佳经常接到原加盟商要求提供服务的主张，李佳的新公司相当</w:t>
      </w:r>
      <w:r>
        <w:rPr>
          <w:rFonts w:hint="eastAsia"/>
          <w:sz w:val="30"/>
          <w:szCs w:val="30"/>
        </w:rPr>
        <w:t>大部分的成本，是佳视鑫公司应承担的服务成本，佳视鑫公司以及李鑫没有损失只有获益；第六、佳视鑫公司要求经济损失与李佳无因果关系，该</w:t>
      </w:r>
      <w:r>
        <w:rPr>
          <w:rFonts w:hint="eastAsia"/>
          <w:sz w:val="30"/>
          <w:szCs w:val="30"/>
        </w:rPr>
        <w:t>30</w:t>
      </w:r>
      <w:r>
        <w:rPr>
          <w:rFonts w:hint="eastAsia"/>
          <w:sz w:val="30"/>
          <w:szCs w:val="30"/>
        </w:rPr>
        <w:t>万元李佳作为执行董事和经理时，曾要求李鑫予以退还，李鑫私自收取后拒不退还，导致了对方诉讼，李鑫意图通过该方式侵占公司财产并恶意制造损失转嫁到李佳头上；第七、竞业禁止限于高级管理人员，根据公司法的定义，李佳仅担任法定代表人，不适用于竞业禁止；第八、佳视鑫公司要求的律师费及公证费无法律依据。</w:t>
      </w:r>
    </w:p>
    <w:p w:rsidR="00000000" w:rsidRDefault="00AC4F33">
      <w:pPr>
        <w:spacing w:line="500" w:lineRule="atLeast"/>
        <w:ind w:firstLine="600"/>
        <w:divId w:val="514879046"/>
        <w:rPr>
          <w:rFonts w:hint="eastAsia"/>
          <w:sz w:val="30"/>
          <w:szCs w:val="30"/>
        </w:rPr>
      </w:pPr>
      <w:r>
        <w:rPr>
          <w:rFonts w:hint="eastAsia"/>
          <w:sz w:val="30"/>
          <w:szCs w:val="30"/>
        </w:rPr>
        <w:t>当事人围绕诉讼请求依法提交了证据，本院组织当事人进行了质证。对当事人无异议的证据，本院予以</w:t>
      </w:r>
      <w:r>
        <w:rPr>
          <w:rFonts w:hint="eastAsia"/>
          <w:sz w:val="30"/>
          <w:szCs w:val="30"/>
        </w:rPr>
        <w:t>确认并在卷佐证。本院认定案件事实如下：根据《内资企业设立（变更、改制）登记（备案）审核表》，佳视鑫公司于</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日成立，李佳担任佳视鑫公司法定代表人、执行董事、经理，李鑫担任佳视鑫公司监事，公司股东为李佳及李鑫两人，公司经营范围为经济贸易咨询、技术开发、技术咨询、技术服务、技术转让。</w:t>
      </w:r>
    </w:p>
    <w:p w:rsidR="00000000" w:rsidRDefault="00AC4F33">
      <w:pPr>
        <w:spacing w:line="500" w:lineRule="atLeast"/>
        <w:ind w:firstLine="600"/>
        <w:divId w:val="239489154"/>
        <w:rPr>
          <w:rFonts w:hint="eastAsia"/>
          <w:sz w:val="30"/>
          <w:szCs w:val="30"/>
        </w:rPr>
      </w:pPr>
      <w:r>
        <w:rPr>
          <w:rFonts w:hint="eastAsia"/>
          <w:sz w:val="30"/>
          <w:szCs w:val="30"/>
        </w:rPr>
        <w:t>李佳于</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28</w:t>
      </w:r>
      <w:r>
        <w:rPr>
          <w:rFonts w:hint="eastAsia"/>
          <w:sz w:val="30"/>
          <w:szCs w:val="30"/>
        </w:rPr>
        <w:t>日发布微信群公告“为了更好的为现有的各店服务，故于</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日起停止对外招商”。</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7</w:t>
      </w:r>
      <w:r>
        <w:rPr>
          <w:rFonts w:hint="eastAsia"/>
          <w:sz w:val="30"/>
          <w:szCs w:val="30"/>
        </w:rPr>
        <w:t>日李佳与李鑫通过微信就分家及后期分组、招商事宜进行商讨。</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16</w:t>
      </w:r>
      <w:r>
        <w:rPr>
          <w:rFonts w:hint="eastAsia"/>
          <w:sz w:val="30"/>
          <w:szCs w:val="30"/>
        </w:rPr>
        <w:t>日李佳向佳视鑫公</w:t>
      </w:r>
      <w:r>
        <w:rPr>
          <w:rFonts w:hint="eastAsia"/>
          <w:sz w:val="30"/>
          <w:szCs w:val="30"/>
        </w:rPr>
        <w:t>司加盟商发出《告知书》，申请撤销佳视鑫公司，同时说明“各加盟商、合作伙伴与佳视鑫公司的协议，待佳视鑫公司注销或撤销后另行解决；本告知发出后，各加盟商、合作伙伴继续与李鑫合作，造成的各项损失及责任自行承担”。</w:t>
      </w:r>
    </w:p>
    <w:p w:rsidR="00000000" w:rsidRDefault="00AC4F33">
      <w:pPr>
        <w:spacing w:line="500" w:lineRule="atLeast"/>
        <w:ind w:firstLine="600"/>
        <w:divId w:val="680812233"/>
        <w:rPr>
          <w:rFonts w:hint="eastAsia"/>
          <w:sz w:val="30"/>
          <w:szCs w:val="30"/>
        </w:rPr>
      </w:pPr>
      <w:r>
        <w:rPr>
          <w:rFonts w:hint="eastAsia"/>
          <w:sz w:val="30"/>
          <w:szCs w:val="30"/>
        </w:rPr>
        <w:t>李鑫作为佳视鑫公司监事，于</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31</w:t>
      </w:r>
      <w:r>
        <w:rPr>
          <w:rFonts w:hint="eastAsia"/>
          <w:sz w:val="30"/>
          <w:szCs w:val="30"/>
        </w:rPr>
        <w:t>日向李佳寄送《监事告知函》，主要内容为，关于公司注册地址、财务管理、员工管理进行完善，另外，要求股东及高管不得另行经营与公司业务相同或相近的产业。佳视鑫公司提交加盟商与佳视鑫公司签订的《合作协议书》以及佳视鑫公司各地地址。</w:t>
      </w:r>
    </w:p>
    <w:p w:rsidR="00000000" w:rsidRDefault="00AC4F33">
      <w:pPr>
        <w:spacing w:line="500" w:lineRule="atLeast"/>
        <w:ind w:firstLine="600"/>
        <w:divId w:val="1610547964"/>
        <w:rPr>
          <w:rFonts w:hint="eastAsia"/>
          <w:sz w:val="30"/>
          <w:szCs w:val="30"/>
        </w:rPr>
      </w:pPr>
      <w:r>
        <w:rPr>
          <w:rFonts w:hint="eastAsia"/>
          <w:sz w:val="30"/>
          <w:szCs w:val="30"/>
        </w:rPr>
        <w:t>另查，佳视新视力公司于</w:t>
      </w:r>
      <w:r>
        <w:rPr>
          <w:rFonts w:hint="eastAsia"/>
          <w:sz w:val="30"/>
          <w:szCs w:val="30"/>
        </w:rPr>
        <w:t>2017</w:t>
      </w:r>
      <w:r>
        <w:rPr>
          <w:rFonts w:hint="eastAsia"/>
          <w:sz w:val="30"/>
          <w:szCs w:val="30"/>
        </w:rPr>
        <w:t>年</w:t>
      </w:r>
      <w:r>
        <w:rPr>
          <w:rFonts w:hint="eastAsia"/>
          <w:sz w:val="30"/>
          <w:szCs w:val="30"/>
        </w:rPr>
        <w:t>1</w:t>
      </w:r>
      <w:r>
        <w:rPr>
          <w:rFonts w:hint="eastAsia"/>
          <w:sz w:val="30"/>
          <w:szCs w:val="30"/>
        </w:rPr>
        <w:t>0</w:t>
      </w:r>
      <w:r>
        <w:rPr>
          <w:rFonts w:hint="eastAsia"/>
          <w:sz w:val="30"/>
          <w:szCs w:val="30"/>
        </w:rPr>
        <w:t>月</w:t>
      </w:r>
      <w:r>
        <w:rPr>
          <w:rFonts w:hint="eastAsia"/>
          <w:sz w:val="30"/>
          <w:szCs w:val="30"/>
        </w:rPr>
        <w:t>13</w:t>
      </w:r>
      <w:r>
        <w:rPr>
          <w:rFonts w:hint="eastAsia"/>
          <w:sz w:val="30"/>
          <w:szCs w:val="30"/>
        </w:rPr>
        <w:t>日成立，李佳担任法定代表人、执行董事、经理，王冬岩担任佳视新视力公司监事，公司股东为李佳及王东岩两人，公司经营范围为健康管理，销售</w:t>
      </w:r>
      <w:r>
        <w:rPr>
          <w:rFonts w:hint="eastAsia"/>
          <w:sz w:val="30"/>
          <w:szCs w:val="30"/>
        </w:rPr>
        <w:t>II</w:t>
      </w:r>
      <w:r>
        <w:rPr>
          <w:rFonts w:hint="eastAsia"/>
          <w:sz w:val="30"/>
          <w:szCs w:val="30"/>
        </w:rPr>
        <w:t>类医疗器械。北京视康健康咨询有限公司于</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4</w:t>
      </w:r>
      <w:r>
        <w:rPr>
          <w:rFonts w:hint="eastAsia"/>
          <w:sz w:val="30"/>
          <w:szCs w:val="30"/>
        </w:rPr>
        <w:t>日成立，法定代表人为段树家，股东为段树家及宋立荣（李鑫与段树家系夫妻关系，与宋立荣系母女关系），经营范围为：健康咨询（须经审批的诊疗活动除外）；举办健身活动；技术开发、技术服务、技术推广、技术转让、技术咨询；旅游信息咨询等。</w:t>
      </w:r>
    </w:p>
    <w:p w:rsidR="00000000" w:rsidRDefault="00AC4F33">
      <w:pPr>
        <w:spacing w:line="500" w:lineRule="atLeast"/>
        <w:ind w:firstLine="600"/>
        <w:divId w:val="218899873"/>
        <w:rPr>
          <w:rFonts w:hint="eastAsia"/>
          <w:sz w:val="30"/>
          <w:szCs w:val="30"/>
        </w:rPr>
      </w:pPr>
      <w:r>
        <w:rPr>
          <w:rFonts w:hint="eastAsia"/>
          <w:sz w:val="30"/>
          <w:szCs w:val="30"/>
        </w:rPr>
        <w:t>本院认为，当事人对自己提出的主张有责任提交证据予以证明。本案中佳视鑫公司主张，李佳担任佳</w:t>
      </w:r>
      <w:r>
        <w:rPr>
          <w:rFonts w:hint="eastAsia"/>
          <w:sz w:val="30"/>
          <w:szCs w:val="30"/>
        </w:rPr>
        <w:t>视鑫公司法定代表人、执行董事和经理，利用职务便利，经营与佳视鑫公司同类业务，并声称佳视鑫公司存在注销风险，损害佳视鑫公司的利益。根据《中华人民共和国公司法》第</w:t>
      </w:r>
      <w:r>
        <w:rPr>
          <w:rFonts w:hint="eastAsia"/>
          <w:sz w:val="30"/>
          <w:szCs w:val="30"/>
        </w:rPr>
        <w:t>148</w:t>
      </w:r>
      <w:r>
        <w:rPr>
          <w:rFonts w:hint="eastAsia"/>
          <w:sz w:val="30"/>
          <w:szCs w:val="30"/>
        </w:rPr>
        <w:t>条，“董事、高级管理人员不得有下列行为：（五）未经股东会或者股东大会同意，利用职务便利为自己或者他人谋取属于公司的商业机会，自营或者为他人经营与所任职公司同类的业务；……董事、高级管理人员违反前款规定所得的收入应当归公司所有”。故上述损害公司利益责任的前提系“未经股东会或股东大会同意”，佳视鑫公司的股东仅为李佳和李鑫两人，二者虽未召开正式的股东会</w:t>
      </w:r>
      <w:r>
        <w:rPr>
          <w:rFonts w:hint="eastAsia"/>
          <w:sz w:val="30"/>
          <w:szCs w:val="30"/>
        </w:rPr>
        <w:t>并作出决议，但根据李佳与李鑫的微信聊天记录可知，双方于</w:t>
      </w:r>
      <w:r>
        <w:rPr>
          <w:rFonts w:hint="eastAsia"/>
          <w:sz w:val="30"/>
          <w:szCs w:val="30"/>
        </w:rPr>
        <w:t>2017</w:t>
      </w:r>
      <w:r>
        <w:rPr>
          <w:rFonts w:hint="eastAsia"/>
          <w:sz w:val="30"/>
          <w:szCs w:val="30"/>
        </w:rPr>
        <w:t>年</w:t>
      </w:r>
      <w:r>
        <w:rPr>
          <w:rFonts w:hint="eastAsia"/>
          <w:sz w:val="30"/>
          <w:szCs w:val="30"/>
        </w:rPr>
        <w:t>9</w:t>
      </w:r>
      <w:r>
        <w:rPr>
          <w:rFonts w:hint="eastAsia"/>
          <w:sz w:val="30"/>
          <w:szCs w:val="30"/>
        </w:rPr>
        <w:t>月份已就解散公司及后续招商问题事宜进行协商，且双方已认可解散公司事宜，仅就如何分配及后续合同签订问题存在分歧，故不符合损害公司利益纠纷的前提条件。另外，李鑫之夫段树家亦于</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4</w:t>
      </w:r>
      <w:r>
        <w:rPr>
          <w:rFonts w:hint="eastAsia"/>
          <w:sz w:val="30"/>
          <w:szCs w:val="30"/>
        </w:rPr>
        <w:t>日成立北京视康健康咨询有限公司，李鑫之母宋立荣亦担任公司股东，亦可印证双方存在协商解散公司的事实，故对于佳视鑫公司主张李佳存在损害公司利益行为的诉讼请求证据不足，本院不予支持。双方在解散公司过程中存在的纠纷可另诉解决。</w:t>
      </w:r>
    </w:p>
    <w:p w:rsidR="00000000" w:rsidRDefault="00AC4F33">
      <w:pPr>
        <w:spacing w:line="500" w:lineRule="atLeast"/>
        <w:ind w:firstLine="600"/>
        <w:divId w:val="921791459"/>
        <w:rPr>
          <w:rFonts w:hint="eastAsia"/>
          <w:sz w:val="30"/>
          <w:szCs w:val="30"/>
        </w:rPr>
      </w:pPr>
      <w:r>
        <w:rPr>
          <w:rFonts w:hint="eastAsia"/>
          <w:sz w:val="30"/>
          <w:szCs w:val="30"/>
        </w:rPr>
        <w:t>综上所述，本院依照《中华人民共和国公司</w:t>
      </w:r>
      <w:r>
        <w:rPr>
          <w:rFonts w:hint="eastAsia"/>
          <w:sz w:val="30"/>
          <w:szCs w:val="30"/>
        </w:rPr>
        <w:t>法》第一百四十八条第（五）项之规定，判决如下：</w:t>
      </w:r>
    </w:p>
    <w:p w:rsidR="00000000" w:rsidRDefault="00AC4F33">
      <w:pPr>
        <w:spacing w:line="500" w:lineRule="atLeast"/>
        <w:ind w:firstLine="600"/>
        <w:divId w:val="277763520"/>
        <w:rPr>
          <w:rFonts w:hint="eastAsia"/>
          <w:sz w:val="30"/>
          <w:szCs w:val="30"/>
        </w:rPr>
      </w:pPr>
      <w:r>
        <w:rPr>
          <w:rFonts w:hint="eastAsia"/>
          <w:sz w:val="30"/>
          <w:szCs w:val="30"/>
        </w:rPr>
        <w:t>驳回原告北京佳视鑫咨询服务有限公司全部诉讼请求。</w:t>
      </w:r>
    </w:p>
    <w:p w:rsidR="00000000" w:rsidRDefault="00AC4F33">
      <w:pPr>
        <w:spacing w:line="500" w:lineRule="atLeast"/>
        <w:ind w:firstLine="600"/>
        <w:divId w:val="1272322411"/>
        <w:rPr>
          <w:rFonts w:hint="eastAsia"/>
          <w:sz w:val="30"/>
          <w:szCs w:val="30"/>
        </w:rPr>
      </w:pPr>
      <w:r>
        <w:rPr>
          <w:rFonts w:hint="eastAsia"/>
          <w:sz w:val="30"/>
          <w:szCs w:val="30"/>
        </w:rPr>
        <w:t>案件受理费一万三千八百元，由原告北京佳视鑫咨询服务有限公司负担（已预交）。</w:t>
      </w:r>
    </w:p>
    <w:p w:rsidR="00000000" w:rsidRDefault="00AC4F33">
      <w:pPr>
        <w:spacing w:line="500" w:lineRule="atLeast"/>
        <w:ind w:firstLine="600"/>
        <w:divId w:val="1021391937"/>
        <w:rPr>
          <w:rFonts w:hint="eastAsia"/>
          <w:sz w:val="30"/>
          <w:szCs w:val="30"/>
        </w:rPr>
      </w:pPr>
      <w:r>
        <w:rPr>
          <w:rFonts w:hint="eastAsia"/>
          <w:sz w:val="30"/>
          <w:szCs w:val="30"/>
        </w:rPr>
        <w:t>如不服本判决，可在判决书送达之日起十五日内，向本院递交上诉状，并按对方当事人或者代表人的人数提出副本，上诉于北京市第一中级人民法院。</w:t>
      </w:r>
    </w:p>
    <w:p w:rsidR="00000000" w:rsidRDefault="00AC4F33">
      <w:pPr>
        <w:spacing w:line="500" w:lineRule="atLeast"/>
        <w:jc w:val="right"/>
        <w:divId w:val="753236628"/>
        <w:rPr>
          <w:rFonts w:hint="eastAsia"/>
          <w:sz w:val="30"/>
          <w:szCs w:val="30"/>
        </w:rPr>
      </w:pPr>
      <w:r>
        <w:rPr>
          <w:rFonts w:hint="eastAsia"/>
          <w:sz w:val="30"/>
          <w:szCs w:val="30"/>
        </w:rPr>
        <w:t>审　判　长　　徐立平</w:t>
      </w:r>
    </w:p>
    <w:p w:rsidR="00000000" w:rsidRDefault="00AC4F33">
      <w:pPr>
        <w:spacing w:line="500" w:lineRule="atLeast"/>
        <w:jc w:val="right"/>
        <w:divId w:val="936402395"/>
        <w:rPr>
          <w:rFonts w:hint="eastAsia"/>
          <w:sz w:val="30"/>
          <w:szCs w:val="30"/>
        </w:rPr>
      </w:pPr>
      <w:r>
        <w:rPr>
          <w:rFonts w:hint="eastAsia"/>
          <w:sz w:val="30"/>
          <w:szCs w:val="30"/>
        </w:rPr>
        <w:t>人民陪审员　　袁　卫</w:t>
      </w:r>
    </w:p>
    <w:p w:rsidR="00000000" w:rsidRDefault="00AC4F33">
      <w:pPr>
        <w:spacing w:line="500" w:lineRule="atLeast"/>
        <w:jc w:val="right"/>
        <w:divId w:val="998465891"/>
        <w:rPr>
          <w:rFonts w:hint="eastAsia"/>
          <w:sz w:val="30"/>
          <w:szCs w:val="30"/>
        </w:rPr>
      </w:pPr>
      <w:r>
        <w:rPr>
          <w:rFonts w:hint="eastAsia"/>
          <w:sz w:val="30"/>
          <w:szCs w:val="30"/>
        </w:rPr>
        <w:t>人民陪审员　　巩煜龙</w:t>
      </w:r>
    </w:p>
    <w:p w:rsidR="00000000" w:rsidRDefault="00AC4F33">
      <w:pPr>
        <w:spacing w:line="500" w:lineRule="atLeast"/>
        <w:jc w:val="right"/>
        <w:divId w:val="669600337"/>
        <w:rPr>
          <w:rFonts w:hint="eastAsia"/>
          <w:sz w:val="30"/>
          <w:szCs w:val="30"/>
        </w:rPr>
      </w:pPr>
      <w:r>
        <w:rPr>
          <w:rFonts w:hint="eastAsia"/>
          <w:sz w:val="30"/>
          <w:szCs w:val="30"/>
        </w:rPr>
        <w:t>二〇一九年九月二日</w:t>
      </w:r>
    </w:p>
    <w:p w:rsidR="00000000" w:rsidRDefault="00AC4F33">
      <w:pPr>
        <w:spacing w:line="500" w:lineRule="atLeast"/>
        <w:jc w:val="right"/>
        <w:divId w:val="908929675"/>
        <w:rPr>
          <w:rFonts w:hint="eastAsia"/>
          <w:sz w:val="30"/>
          <w:szCs w:val="30"/>
        </w:rPr>
      </w:pPr>
      <w:r>
        <w:rPr>
          <w:rFonts w:hint="eastAsia"/>
          <w:sz w:val="30"/>
          <w:szCs w:val="30"/>
        </w:rPr>
        <w:t>书　记　员　　陈　颖</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4F33" w:rsidRDefault="00AC4F33" w:rsidP="00AC4F33">
      <w:r>
        <w:separator/>
      </w:r>
    </w:p>
  </w:endnote>
  <w:endnote w:type="continuationSeparator" w:id="0">
    <w:p w:rsidR="00AC4F33" w:rsidRDefault="00AC4F33" w:rsidP="00AC4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4F33" w:rsidRDefault="00AC4F33" w:rsidP="00AC4F33">
      <w:r>
        <w:separator/>
      </w:r>
    </w:p>
  </w:footnote>
  <w:footnote w:type="continuationSeparator" w:id="0">
    <w:p w:rsidR="00AC4F33" w:rsidRDefault="00AC4F33" w:rsidP="00AC4F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C4F33"/>
    <w:rsid w:val="00AC4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AC4F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C4F33"/>
    <w:rPr>
      <w:rFonts w:ascii="宋体" w:eastAsia="宋体" w:hAnsi="宋体" w:cs="宋体"/>
      <w:sz w:val="18"/>
      <w:szCs w:val="18"/>
    </w:rPr>
  </w:style>
  <w:style w:type="paragraph" w:styleId="a5">
    <w:name w:val="footer"/>
    <w:basedOn w:val="a"/>
    <w:link w:val="a6"/>
    <w:uiPriority w:val="99"/>
    <w:unhideWhenUsed/>
    <w:rsid w:val="00AC4F33"/>
    <w:pPr>
      <w:tabs>
        <w:tab w:val="center" w:pos="4153"/>
        <w:tab w:val="right" w:pos="8306"/>
      </w:tabs>
      <w:snapToGrid w:val="0"/>
    </w:pPr>
    <w:rPr>
      <w:sz w:val="18"/>
      <w:szCs w:val="18"/>
    </w:rPr>
  </w:style>
  <w:style w:type="character" w:customStyle="1" w:styleId="a6">
    <w:name w:val="页脚 字符"/>
    <w:basedOn w:val="a0"/>
    <w:link w:val="a5"/>
    <w:uiPriority w:val="99"/>
    <w:rsid w:val="00AC4F33"/>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44321">
      <w:marLeft w:val="0"/>
      <w:marRight w:val="0"/>
      <w:marTop w:val="10"/>
      <w:marBottom w:val="10"/>
      <w:divBdr>
        <w:top w:val="none" w:sz="0" w:space="0" w:color="auto"/>
        <w:left w:val="none" w:sz="0" w:space="0" w:color="auto"/>
        <w:bottom w:val="none" w:sz="0" w:space="0" w:color="auto"/>
        <w:right w:val="none" w:sz="0" w:space="0" w:color="auto"/>
      </w:divBdr>
    </w:div>
    <w:div w:id="218899873">
      <w:marLeft w:val="0"/>
      <w:marRight w:val="0"/>
      <w:marTop w:val="10"/>
      <w:marBottom w:val="10"/>
      <w:divBdr>
        <w:top w:val="none" w:sz="0" w:space="0" w:color="auto"/>
        <w:left w:val="none" w:sz="0" w:space="0" w:color="auto"/>
        <w:bottom w:val="none" w:sz="0" w:space="0" w:color="auto"/>
        <w:right w:val="none" w:sz="0" w:space="0" w:color="auto"/>
      </w:divBdr>
    </w:div>
    <w:div w:id="239489154">
      <w:marLeft w:val="0"/>
      <w:marRight w:val="0"/>
      <w:marTop w:val="10"/>
      <w:marBottom w:val="10"/>
      <w:divBdr>
        <w:top w:val="none" w:sz="0" w:space="0" w:color="auto"/>
        <w:left w:val="none" w:sz="0" w:space="0" w:color="auto"/>
        <w:bottom w:val="none" w:sz="0" w:space="0" w:color="auto"/>
        <w:right w:val="none" w:sz="0" w:space="0" w:color="auto"/>
      </w:divBdr>
    </w:div>
    <w:div w:id="277763520">
      <w:marLeft w:val="0"/>
      <w:marRight w:val="0"/>
      <w:marTop w:val="10"/>
      <w:marBottom w:val="10"/>
      <w:divBdr>
        <w:top w:val="none" w:sz="0" w:space="0" w:color="auto"/>
        <w:left w:val="none" w:sz="0" w:space="0" w:color="auto"/>
        <w:bottom w:val="none" w:sz="0" w:space="0" w:color="auto"/>
        <w:right w:val="none" w:sz="0" w:space="0" w:color="auto"/>
      </w:divBdr>
    </w:div>
    <w:div w:id="424568944">
      <w:marLeft w:val="0"/>
      <w:marRight w:val="0"/>
      <w:marTop w:val="10"/>
      <w:marBottom w:val="10"/>
      <w:divBdr>
        <w:top w:val="none" w:sz="0" w:space="0" w:color="auto"/>
        <w:left w:val="none" w:sz="0" w:space="0" w:color="auto"/>
        <w:bottom w:val="none" w:sz="0" w:space="0" w:color="auto"/>
        <w:right w:val="none" w:sz="0" w:space="0" w:color="auto"/>
      </w:divBdr>
    </w:div>
    <w:div w:id="514879046">
      <w:marLeft w:val="0"/>
      <w:marRight w:val="0"/>
      <w:marTop w:val="10"/>
      <w:marBottom w:val="10"/>
      <w:divBdr>
        <w:top w:val="none" w:sz="0" w:space="0" w:color="auto"/>
        <w:left w:val="none" w:sz="0" w:space="0" w:color="auto"/>
        <w:bottom w:val="none" w:sz="0" w:space="0" w:color="auto"/>
        <w:right w:val="none" w:sz="0" w:space="0" w:color="auto"/>
      </w:divBdr>
    </w:div>
    <w:div w:id="540896092">
      <w:marLeft w:val="0"/>
      <w:marRight w:val="0"/>
      <w:marTop w:val="10"/>
      <w:marBottom w:val="10"/>
      <w:divBdr>
        <w:top w:val="none" w:sz="0" w:space="0" w:color="auto"/>
        <w:left w:val="none" w:sz="0" w:space="0" w:color="auto"/>
        <w:bottom w:val="none" w:sz="0" w:space="0" w:color="auto"/>
        <w:right w:val="none" w:sz="0" w:space="0" w:color="auto"/>
      </w:divBdr>
    </w:div>
    <w:div w:id="669600337">
      <w:marLeft w:val="0"/>
      <w:marRight w:val="720"/>
      <w:marTop w:val="10"/>
      <w:marBottom w:val="10"/>
      <w:divBdr>
        <w:top w:val="none" w:sz="0" w:space="0" w:color="auto"/>
        <w:left w:val="none" w:sz="0" w:space="0" w:color="auto"/>
        <w:bottom w:val="none" w:sz="0" w:space="0" w:color="auto"/>
        <w:right w:val="none" w:sz="0" w:space="0" w:color="auto"/>
      </w:divBdr>
    </w:div>
    <w:div w:id="680812233">
      <w:marLeft w:val="0"/>
      <w:marRight w:val="0"/>
      <w:marTop w:val="10"/>
      <w:marBottom w:val="10"/>
      <w:divBdr>
        <w:top w:val="none" w:sz="0" w:space="0" w:color="auto"/>
        <w:left w:val="none" w:sz="0" w:space="0" w:color="auto"/>
        <w:bottom w:val="none" w:sz="0" w:space="0" w:color="auto"/>
        <w:right w:val="none" w:sz="0" w:space="0" w:color="auto"/>
      </w:divBdr>
    </w:div>
    <w:div w:id="753236628">
      <w:marLeft w:val="0"/>
      <w:marRight w:val="720"/>
      <w:marTop w:val="10"/>
      <w:marBottom w:val="10"/>
      <w:divBdr>
        <w:top w:val="none" w:sz="0" w:space="0" w:color="auto"/>
        <w:left w:val="none" w:sz="0" w:space="0" w:color="auto"/>
        <w:bottom w:val="none" w:sz="0" w:space="0" w:color="auto"/>
        <w:right w:val="none" w:sz="0" w:space="0" w:color="auto"/>
      </w:divBdr>
    </w:div>
    <w:div w:id="839731244">
      <w:marLeft w:val="0"/>
      <w:marRight w:val="0"/>
      <w:marTop w:val="10"/>
      <w:marBottom w:val="10"/>
      <w:divBdr>
        <w:top w:val="none" w:sz="0" w:space="0" w:color="auto"/>
        <w:left w:val="none" w:sz="0" w:space="0" w:color="auto"/>
        <w:bottom w:val="none" w:sz="0" w:space="0" w:color="auto"/>
        <w:right w:val="none" w:sz="0" w:space="0" w:color="auto"/>
      </w:divBdr>
    </w:div>
    <w:div w:id="892037121">
      <w:marLeft w:val="0"/>
      <w:marRight w:val="0"/>
      <w:marTop w:val="10"/>
      <w:marBottom w:val="10"/>
      <w:divBdr>
        <w:top w:val="none" w:sz="0" w:space="0" w:color="auto"/>
        <w:left w:val="none" w:sz="0" w:space="0" w:color="auto"/>
        <w:bottom w:val="none" w:sz="0" w:space="0" w:color="auto"/>
        <w:right w:val="none" w:sz="0" w:space="0" w:color="auto"/>
      </w:divBdr>
    </w:div>
    <w:div w:id="908929675">
      <w:marLeft w:val="0"/>
      <w:marRight w:val="720"/>
      <w:marTop w:val="10"/>
      <w:marBottom w:val="10"/>
      <w:divBdr>
        <w:top w:val="none" w:sz="0" w:space="0" w:color="auto"/>
        <w:left w:val="none" w:sz="0" w:space="0" w:color="auto"/>
        <w:bottom w:val="none" w:sz="0" w:space="0" w:color="auto"/>
        <w:right w:val="none" w:sz="0" w:space="0" w:color="auto"/>
      </w:divBdr>
    </w:div>
    <w:div w:id="921791459">
      <w:marLeft w:val="0"/>
      <w:marRight w:val="0"/>
      <w:marTop w:val="10"/>
      <w:marBottom w:val="10"/>
      <w:divBdr>
        <w:top w:val="none" w:sz="0" w:space="0" w:color="auto"/>
        <w:left w:val="none" w:sz="0" w:space="0" w:color="auto"/>
        <w:bottom w:val="none" w:sz="0" w:space="0" w:color="auto"/>
        <w:right w:val="none" w:sz="0" w:space="0" w:color="auto"/>
      </w:divBdr>
    </w:div>
    <w:div w:id="936402395">
      <w:marLeft w:val="0"/>
      <w:marRight w:val="720"/>
      <w:marTop w:val="10"/>
      <w:marBottom w:val="10"/>
      <w:divBdr>
        <w:top w:val="none" w:sz="0" w:space="0" w:color="auto"/>
        <w:left w:val="none" w:sz="0" w:space="0" w:color="auto"/>
        <w:bottom w:val="none" w:sz="0" w:space="0" w:color="auto"/>
        <w:right w:val="none" w:sz="0" w:space="0" w:color="auto"/>
      </w:divBdr>
    </w:div>
    <w:div w:id="998465891">
      <w:marLeft w:val="0"/>
      <w:marRight w:val="720"/>
      <w:marTop w:val="10"/>
      <w:marBottom w:val="10"/>
      <w:divBdr>
        <w:top w:val="none" w:sz="0" w:space="0" w:color="auto"/>
        <w:left w:val="none" w:sz="0" w:space="0" w:color="auto"/>
        <w:bottom w:val="none" w:sz="0" w:space="0" w:color="auto"/>
        <w:right w:val="none" w:sz="0" w:space="0" w:color="auto"/>
      </w:divBdr>
    </w:div>
    <w:div w:id="1021391937">
      <w:marLeft w:val="0"/>
      <w:marRight w:val="0"/>
      <w:marTop w:val="10"/>
      <w:marBottom w:val="10"/>
      <w:divBdr>
        <w:top w:val="none" w:sz="0" w:space="0" w:color="auto"/>
        <w:left w:val="none" w:sz="0" w:space="0" w:color="auto"/>
        <w:bottom w:val="none" w:sz="0" w:space="0" w:color="auto"/>
        <w:right w:val="none" w:sz="0" w:space="0" w:color="auto"/>
      </w:divBdr>
    </w:div>
    <w:div w:id="1155955816">
      <w:marLeft w:val="0"/>
      <w:marRight w:val="0"/>
      <w:marTop w:val="10"/>
      <w:marBottom w:val="10"/>
      <w:divBdr>
        <w:top w:val="none" w:sz="0" w:space="0" w:color="auto"/>
        <w:left w:val="none" w:sz="0" w:space="0" w:color="auto"/>
        <w:bottom w:val="none" w:sz="0" w:space="0" w:color="auto"/>
        <w:right w:val="none" w:sz="0" w:space="0" w:color="auto"/>
      </w:divBdr>
    </w:div>
    <w:div w:id="1270702439">
      <w:marLeft w:val="0"/>
      <w:marRight w:val="0"/>
      <w:marTop w:val="10"/>
      <w:marBottom w:val="10"/>
      <w:divBdr>
        <w:top w:val="none" w:sz="0" w:space="0" w:color="auto"/>
        <w:left w:val="none" w:sz="0" w:space="0" w:color="auto"/>
        <w:bottom w:val="none" w:sz="0" w:space="0" w:color="auto"/>
        <w:right w:val="none" w:sz="0" w:space="0" w:color="auto"/>
      </w:divBdr>
    </w:div>
    <w:div w:id="1272322411">
      <w:marLeft w:val="0"/>
      <w:marRight w:val="0"/>
      <w:marTop w:val="10"/>
      <w:marBottom w:val="10"/>
      <w:divBdr>
        <w:top w:val="none" w:sz="0" w:space="0" w:color="auto"/>
        <w:left w:val="none" w:sz="0" w:space="0" w:color="auto"/>
        <w:bottom w:val="none" w:sz="0" w:space="0" w:color="auto"/>
        <w:right w:val="none" w:sz="0" w:space="0" w:color="auto"/>
      </w:divBdr>
    </w:div>
    <w:div w:id="1437091167">
      <w:marLeft w:val="0"/>
      <w:marRight w:val="0"/>
      <w:marTop w:val="10"/>
      <w:marBottom w:val="10"/>
      <w:divBdr>
        <w:top w:val="none" w:sz="0" w:space="0" w:color="auto"/>
        <w:left w:val="none" w:sz="0" w:space="0" w:color="auto"/>
        <w:bottom w:val="none" w:sz="0" w:space="0" w:color="auto"/>
        <w:right w:val="none" w:sz="0" w:space="0" w:color="auto"/>
      </w:divBdr>
    </w:div>
    <w:div w:id="1555316493">
      <w:marLeft w:val="0"/>
      <w:marRight w:val="0"/>
      <w:marTop w:val="10"/>
      <w:marBottom w:val="10"/>
      <w:divBdr>
        <w:top w:val="none" w:sz="0" w:space="0" w:color="auto"/>
        <w:left w:val="none" w:sz="0" w:space="0" w:color="auto"/>
        <w:bottom w:val="none" w:sz="0" w:space="0" w:color="auto"/>
        <w:right w:val="none" w:sz="0" w:space="0" w:color="auto"/>
      </w:divBdr>
    </w:div>
    <w:div w:id="1610547964">
      <w:marLeft w:val="0"/>
      <w:marRight w:val="0"/>
      <w:marTop w:val="10"/>
      <w:marBottom w:val="10"/>
      <w:divBdr>
        <w:top w:val="none" w:sz="0" w:space="0" w:color="auto"/>
        <w:left w:val="none" w:sz="0" w:space="0" w:color="auto"/>
        <w:bottom w:val="none" w:sz="0" w:space="0" w:color="auto"/>
        <w:right w:val="none" w:sz="0" w:space="0" w:color="auto"/>
      </w:divBdr>
    </w:div>
    <w:div w:id="1634486616">
      <w:marLeft w:val="0"/>
      <w:marRight w:val="0"/>
      <w:marTop w:val="10"/>
      <w:marBottom w:val="10"/>
      <w:divBdr>
        <w:top w:val="none" w:sz="0" w:space="0" w:color="auto"/>
        <w:left w:val="none" w:sz="0" w:space="0" w:color="auto"/>
        <w:bottom w:val="none" w:sz="0" w:space="0" w:color="auto"/>
        <w:right w:val="none" w:sz="0" w:space="0" w:color="auto"/>
      </w:divBdr>
    </w:div>
    <w:div w:id="1844397718">
      <w:marLeft w:val="0"/>
      <w:marRight w:val="0"/>
      <w:marTop w:val="10"/>
      <w:marBottom w:val="10"/>
      <w:divBdr>
        <w:top w:val="none" w:sz="0" w:space="0" w:color="auto"/>
        <w:left w:val="none" w:sz="0" w:space="0" w:color="auto"/>
        <w:bottom w:val="none" w:sz="0" w:space="0" w:color="auto"/>
        <w:right w:val="none" w:sz="0" w:space="0" w:color="auto"/>
      </w:divBdr>
    </w:div>
    <w:div w:id="2032145563">
      <w:marLeft w:val="0"/>
      <w:marRight w:val="0"/>
      <w:marTop w:val="10"/>
      <w:marBottom w:val="10"/>
      <w:divBdr>
        <w:top w:val="none" w:sz="0" w:space="0" w:color="auto"/>
        <w:left w:val="none" w:sz="0" w:space="0" w:color="auto"/>
        <w:bottom w:val="none" w:sz="0" w:space="0" w:color="auto"/>
        <w:right w:val="none" w:sz="0" w:space="0" w:color="auto"/>
      </w:divBdr>
    </w:div>
    <w:div w:id="210445480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489</Words>
  <Characters>2790</Characters>
  <Application>Microsoft Office Word</Application>
  <DocSecurity>0</DocSecurity>
  <Lines>23</Lines>
  <Paragraphs>6</Paragraphs>
  <ScaleCrop>false</ScaleCrop>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