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85987">
      <w:pPr>
        <w:spacing w:line="500" w:lineRule="atLeast"/>
        <w:jc w:val="center"/>
        <w:divId w:val="1326662982"/>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B85987">
      <w:pPr>
        <w:spacing w:line="500" w:lineRule="atLeast"/>
        <w:jc w:val="center"/>
        <w:divId w:val="8568917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85987">
      <w:pPr>
        <w:spacing w:line="500" w:lineRule="atLeast"/>
        <w:jc w:val="right"/>
        <w:divId w:val="104518007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w:t>
      </w:r>
      <w:r>
        <w:rPr>
          <w:rFonts w:hint="eastAsia"/>
          <w:sz w:val="30"/>
          <w:szCs w:val="30"/>
        </w:rPr>
        <w:t>民终</w:t>
      </w:r>
      <w:r>
        <w:rPr>
          <w:rFonts w:hint="eastAsia"/>
          <w:sz w:val="30"/>
          <w:szCs w:val="30"/>
        </w:rPr>
        <w:t>12579</w:t>
      </w:r>
      <w:r>
        <w:rPr>
          <w:rFonts w:hint="eastAsia"/>
          <w:sz w:val="30"/>
          <w:szCs w:val="30"/>
        </w:rPr>
        <w:t>号</w:t>
      </w:r>
    </w:p>
    <w:p w:rsidR="00000000" w:rsidRDefault="00B85987">
      <w:pPr>
        <w:spacing w:line="500" w:lineRule="atLeast"/>
        <w:ind w:firstLine="600"/>
        <w:divId w:val="1663194752"/>
        <w:rPr>
          <w:rFonts w:hint="eastAsia"/>
          <w:sz w:val="30"/>
          <w:szCs w:val="30"/>
        </w:rPr>
      </w:pPr>
      <w:r>
        <w:rPr>
          <w:rFonts w:hint="eastAsia"/>
          <w:sz w:val="30"/>
          <w:szCs w:val="30"/>
        </w:rPr>
        <w:t>上诉人（原审原告）：北京新月长城投资管理有限公司，住所地北京市朝阳区左家庄路甲</w:t>
      </w:r>
      <w:r>
        <w:rPr>
          <w:rFonts w:hint="eastAsia"/>
          <w:sz w:val="30"/>
          <w:szCs w:val="30"/>
        </w:rPr>
        <w:t>2</w:t>
      </w:r>
      <w:r>
        <w:rPr>
          <w:rFonts w:hint="eastAsia"/>
          <w:sz w:val="30"/>
          <w:szCs w:val="30"/>
        </w:rPr>
        <w:t>号</w:t>
      </w:r>
      <w:r>
        <w:rPr>
          <w:rFonts w:hint="eastAsia"/>
          <w:sz w:val="30"/>
          <w:szCs w:val="30"/>
        </w:rPr>
        <w:t>3</w:t>
      </w:r>
      <w:r>
        <w:rPr>
          <w:rFonts w:hint="eastAsia"/>
          <w:sz w:val="30"/>
          <w:szCs w:val="30"/>
        </w:rPr>
        <w:t>号（住宅）楼一层</w:t>
      </w:r>
      <w:r>
        <w:rPr>
          <w:rFonts w:hint="eastAsia"/>
          <w:sz w:val="30"/>
          <w:szCs w:val="30"/>
        </w:rPr>
        <w:t>1G</w:t>
      </w:r>
      <w:r>
        <w:rPr>
          <w:rFonts w:hint="eastAsia"/>
          <w:sz w:val="30"/>
          <w:szCs w:val="30"/>
        </w:rPr>
        <w:t>室。</w:t>
      </w:r>
    </w:p>
    <w:p w:rsidR="00000000" w:rsidRDefault="00B85987">
      <w:pPr>
        <w:spacing w:line="500" w:lineRule="atLeast"/>
        <w:ind w:firstLine="600"/>
        <w:divId w:val="381248086"/>
        <w:rPr>
          <w:rFonts w:hint="eastAsia"/>
          <w:sz w:val="30"/>
          <w:szCs w:val="30"/>
        </w:rPr>
      </w:pPr>
      <w:r>
        <w:rPr>
          <w:rFonts w:hint="eastAsia"/>
          <w:sz w:val="30"/>
          <w:szCs w:val="30"/>
        </w:rPr>
        <w:t>法定代表人：张建忠，总经理。</w:t>
      </w:r>
    </w:p>
    <w:p w:rsidR="00000000" w:rsidRDefault="00B85987">
      <w:pPr>
        <w:spacing w:line="500" w:lineRule="atLeast"/>
        <w:ind w:firstLine="600"/>
        <w:divId w:val="406728096"/>
        <w:rPr>
          <w:rFonts w:hint="eastAsia"/>
          <w:sz w:val="30"/>
          <w:szCs w:val="30"/>
        </w:rPr>
      </w:pPr>
      <w:r>
        <w:rPr>
          <w:rFonts w:hint="eastAsia"/>
          <w:sz w:val="30"/>
          <w:szCs w:val="30"/>
        </w:rPr>
        <w:t>委托诉讼代理人：任莉，女，北京新月长城投资管理有限公司员工。</w:t>
      </w:r>
    </w:p>
    <w:p w:rsidR="00000000" w:rsidRDefault="00B85987">
      <w:pPr>
        <w:spacing w:line="500" w:lineRule="atLeast"/>
        <w:ind w:firstLine="600"/>
        <w:divId w:val="1818569905"/>
        <w:rPr>
          <w:rFonts w:hint="eastAsia"/>
          <w:sz w:val="30"/>
          <w:szCs w:val="30"/>
        </w:rPr>
      </w:pPr>
      <w:r>
        <w:rPr>
          <w:rFonts w:hint="eastAsia"/>
          <w:sz w:val="30"/>
          <w:szCs w:val="30"/>
        </w:rPr>
        <w:t>委托诉讼代理人：刘金友，北京易准律师事务所律师。</w:t>
      </w:r>
    </w:p>
    <w:p w:rsidR="00000000" w:rsidRDefault="00B85987">
      <w:pPr>
        <w:spacing w:line="500" w:lineRule="atLeast"/>
        <w:ind w:firstLine="600"/>
        <w:divId w:val="331221499"/>
        <w:rPr>
          <w:rFonts w:hint="eastAsia"/>
          <w:sz w:val="30"/>
          <w:szCs w:val="30"/>
        </w:rPr>
      </w:pPr>
      <w:r>
        <w:rPr>
          <w:rFonts w:hint="eastAsia"/>
          <w:sz w:val="30"/>
          <w:szCs w:val="30"/>
        </w:rPr>
        <w:t>被上诉人（原审被告）：马生辉，男，</w:t>
      </w:r>
      <w:r>
        <w:rPr>
          <w:rFonts w:hint="eastAsia"/>
          <w:sz w:val="30"/>
          <w:szCs w:val="30"/>
        </w:rPr>
        <w:t>1977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日生，回族，住上海市浦东新区。</w:t>
      </w:r>
    </w:p>
    <w:p w:rsidR="00000000" w:rsidRDefault="00B85987">
      <w:pPr>
        <w:spacing w:line="500" w:lineRule="atLeast"/>
        <w:ind w:firstLine="600"/>
        <w:divId w:val="2030712610"/>
        <w:rPr>
          <w:rFonts w:hint="eastAsia"/>
          <w:sz w:val="30"/>
          <w:szCs w:val="30"/>
        </w:rPr>
      </w:pPr>
      <w:r>
        <w:rPr>
          <w:rFonts w:hint="eastAsia"/>
          <w:sz w:val="30"/>
          <w:szCs w:val="30"/>
        </w:rPr>
        <w:t>委托诉讼代理人：吴布达，上海大邦律师事务所律师。</w:t>
      </w:r>
    </w:p>
    <w:p w:rsidR="00000000" w:rsidRDefault="00B85987">
      <w:pPr>
        <w:spacing w:line="500" w:lineRule="atLeast"/>
        <w:ind w:firstLine="600"/>
        <w:divId w:val="976028575"/>
        <w:rPr>
          <w:rFonts w:hint="eastAsia"/>
          <w:sz w:val="30"/>
          <w:szCs w:val="30"/>
        </w:rPr>
      </w:pPr>
      <w:r>
        <w:rPr>
          <w:rFonts w:hint="eastAsia"/>
          <w:sz w:val="30"/>
          <w:szCs w:val="30"/>
        </w:rPr>
        <w:t>被上诉人（原审被告）：上海萍辉石油工程服务有限公司，住所地中国（上海）自由贸易试验区浦东南路</w:t>
      </w:r>
      <w:r>
        <w:rPr>
          <w:rFonts w:hint="eastAsia"/>
          <w:sz w:val="30"/>
          <w:szCs w:val="30"/>
        </w:rPr>
        <w:t>1101</w:t>
      </w:r>
      <w:r>
        <w:rPr>
          <w:rFonts w:hint="eastAsia"/>
          <w:sz w:val="30"/>
          <w:szCs w:val="30"/>
        </w:rPr>
        <w:t>号</w:t>
      </w:r>
      <w:r>
        <w:rPr>
          <w:rFonts w:hint="eastAsia"/>
          <w:sz w:val="30"/>
          <w:szCs w:val="30"/>
        </w:rPr>
        <w:t>716</w:t>
      </w:r>
      <w:r>
        <w:rPr>
          <w:rFonts w:hint="eastAsia"/>
          <w:sz w:val="30"/>
          <w:szCs w:val="30"/>
        </w:rPr>
        <w:t>室。</w:t>
      </w:r>
    </w:p>
    <w:p w:rsidR="00000000" w:rsidRDefault="00B85987">
      <w:pPr>
        <w:spacing w:line="500" w:lineRule="atLeast"/>
        <w:ind w:firstLine="600"/>
        <w:divId w:val="15927199"/>
        <w:rPr>
          <w:rFonts w:hint="eastAsia"/>
          <w:sz w:val="30"/>
          <w:szCs w:val="30"/>
        </w:rPr>
      </w:pPr>
      <w:r>
        <w:rPr>
          <w:rFonts w:hint="eastAsia"/>
          <w:sz w:val="30"/>
          <w:szCs w:val="30"/>
        </w:rPr>
        <w:t>法定代表人：马生辉，执行董事。</w:t>
      </w:r>
    </w:p>
    <w:p w:rsidR="00000000" w:rsidRDefault="00B85987">
      <w:pPr>
        <w:spacing w:line="500" w:lineRule="atLeast"/>
        <w:ind w:firstLine="600"/>
        <w:divId w:val="1801604905"/>
        <w:rPr>
          <w:rFonts w:hint="eastAsia"/>
          <w:sz w:val="30"/>
          <w:szCs w:val="30"/>
        </w:rPr>
      </w:pPr>
      <w:r>
        <w:rPr>
          <w:rFonts w:hint="eastAsia"/>
          <w:sz w:val="30"/>
          <w:szCs w:val="30"/>
        </w:rPr>
        <w:t>委托诉讼代理人：斯伟江，上海大邦律师事务所律师。</w:t>
      </w:r>
    </w:p>
    <w:p w:rsidR="00000000" w:rsidRDefault="00B85987">
      <w:pPr>
        <w:spacing w:line="500" w:lineRule="atLeast"/>
        <w:ind w:firstLine="600"/>
        <w:divId w:val="1797790431"/>
        <w:rPr>
          <w:rFonts w:hint="eastAsia"/>
          <w:sz w:val="30"/>
          <w:szCs w:val="30"/>
        </w:rPr>
      </w:pPr>
      <w:r>
        <w:rPr>
          <w:rFonts w:hint="eastAsia"/>
          <w:sz w:val="30"/>
          <w:szCs w:val="30"/>
        </w:rPr>
        <w:t>委托诉讼代理人：严涵，上海大邦律师事务所律师。</w:t>
      </w:r>
    </w:p>
    <w:p w:rsidR="00000000" w:rsidRDefault="00B85987">
      <w:pPr>
        <w:spacing w:line="500" w:lineRule="atLeast"/>
        <w:ind w:firstLine="600"/>
        <w:divId w:val="1985162611"/>
        <w:rPr>
          <w:rFonts w:hint="eastAsia"/>
          <w:sz w:val="30"/>
          <w:szCs w:val="30"/>
        </w:rPr>
      </w:pPr>
      <w:r>
        <w:rPr>
          <w:rFonts w:hint="eastAsia"/>
          <w:sz w:val="30"/>
          <w:szCs w:val="30"/>
        </w:rPr>
        <w:t>上诉人北京新月长城投资管理有限公司（以下简称新月公司）因与被上诉人马生辉、上海萍辉石油工程服务有限公司（以下简称萍辉公司）损害公司利益责任纠纷一案，不服上海市浦东新区人民法院（</w:t>
      </w:r>
      <w:r>
        <w:rPr>
          <w:rFonts w:hint="eastAsia"/>
          <w:sz w:val="30"/>
          <w:szCs w:val="30"/>
        </w:rPr>
        <w:t>2017</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15566</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日立</w:t>
      </w:r>
      <w:r>
        <w:rPr>
          <w:rFonts w:hint="eastAsia"/>
          <w:sz w:val="30"/>
          <w:szCs w:val="30"/>
        </w:rPr>
        <w:t>案受理后，依法组成合议庭开庭进行了审理。新月公司的法定代表人张建忠及其委托诉讼代理人刘金友律师、任莉，马生辉的委托诉讼代理</w:t>
      </w:r>
      <w:r>
        <w:rPr>
          <w:rFonts w:hint="eastAsia"/>
          <w:sz w:val="30"/>
          <w:szCs w:val="30"/>
        </w:rPr>
        <w:lastRenderedPageBreak/>
        <w:t>人吴布达律师，萍辉公司的委托诉讼代理人斯伟江律师、严涵律师到庭参加诉讼。本案现已审理终结。</w:t>
      </w:r>
    </w:p>
    <w:p w:rsidR="00000000" w:rsidRDefault="00B85987">
      <w:pPr>
        <w:spacing w:line="500" w:lineRule="atLeast"/>
        <w:ind w:firstLine="600"/>
        <w:divId w:val="551623410"/>
        <w:rPr>
          <w:rFonts w:hint="eastAsia"/>
          <w:sz w:val="30"/>
          <w:szCs w:val="30"/>
        </w:rPr>
      </w:pPr>
      <w:r>
        <w:rPr>
          <w:rFonts w:hint="eastAsia"/>
          <w:sz w:val="30"/>
          <w:szCs w:val="30"/>
        </w:rPr>
        <w:t>新月公司上诉请求：依法撤销一审判决，发回重审或者改判支持新月公司一审全部诉讼请求。事实和理由：一审判决将归入权与侵权赔偿混淆，错误理解了归入权的基础性质，属对归入权法律规定的错误理解和适用；归入权的基础性质并非损害赔偿，不以给公司造成损害并应负赔偿责任为前提或基础条件，不以满足损害赔偿为目的；马生</w:t>
      </w:r>
      <w:r>
        <w:rPr>
          <w:rFonts w:hint="eastAsia"/>
          <w:sz w:val="30"/>
          <w:szCs w:val="30"/>
        </w:rPr>
        <w:t>辉的不忠实行为同时产生了归入权责任和损害赔偿责任，新月公司以归入权主张其物上请求权具有合理、合法性；新月公司明确主张马生辉既具有高管职位又行使了高管职务，具备事实依据，马生辉虽然不是新月公司登记的“经理”，但其被聘职务符合“经理”资格，职权作用达到了公司法规定的“副经理”标准，判断公司雇员是否为公司高管，应当看其是否具备三方面条件：聘任与解聘的机构和程序条件、职务与职权条件、掌握公司重要信息条件；马生辉实际履行了公司高管的职权，包括马生辉被新月公司股东会聘任和解聘、参与重要商务活动、重大项目的洽谈、代表新月</w:t>
      </w:r>
      <w:r>
        <w:rPr>
          <w:rFonts w:hint="eastAsia"/>
          <w:sz w:val="30"/>
          <w:szCs w:val="30"/>
        </w:rPr>
        <w:t>公司签订重要合同。一审判决认定事实不清，适用法律错误，应予纠正。</w:t>
      </w:r>
    </w:p>
    <w:p w:rsidR="00000000" w:rsidRDefault="00B85987">
      <w:pPr>
        <w:spacing w:line="500" w:lineRule="atLeast"/>
        <w:ind w:firstLine="600"/>
        <w:divId w:val="1159035288"/>
        <w:rPr>
          <w:rFonts w:hint="eastAsia"/>
          <w:sz w:val="30"/>
          <w:szCs w:val="30"/>
        </w:rPr>
      </w:pPr>
      <w:r>
        <w:rPr>
          <w:rFonts w:hint="eastAsia"/>
          <w:sz w:val="30"/>
          <w:szCs w:val="30"/>
        </w:rPr>
        <w:t>马生辉、萍辉公司辩称，马生辉与新月公司是平等的合作关系；马生辉仅是新月公司驻伊朗的总代表，不是新月公司的高管，对新月公司没有管理职权；合作协议解除后，马生辉为上海</w:t>
      </w:r>
      <w:r>
        <w:rPr>
          <w:rFonts w:hint="eastAsia"/>
          <w:sz w:val="30"/>
          <w:szCs w:val="30"/>
        </w:rPr>
        <w:t>XX</w:t>
      </w:r>
      <w:r>
        <w:rPr>
          <w:rFonts w:hint="eastAsia"/>
          <w:sz w:val="30"/>
          <w:szCs w:val="30"/>
        </w:rPr>
        <w:t>集团有限公司（以下简称</w:t>
      </w:r>
      <w:r>
        <w:rPr>
          <w:rFonts w:hint="eastAsia"/>
          <w:sz w:val="30"/>
          <w:szCs w:val="30"/>
        </w:rPr>
        <w:t>XX</w:t>
      </w:r>
      <w:r>
        <w:rPr>
          <w:rFonts w:hint="eastAsia"/>
          <w:sz w:val="30"/>
          <w:szCs w:val="30"/>
        </w:rPr>
        <w:t>集团公司）提供劳务收取报酬，合理合法。新月公司的上诉事由缺乏事实依据，故请求依法驳回上诉，维持原判。</w:t>
      </w:r>
    </w:p>
    <w:p w:rsidR="00000000" w:rsidRDefault="00B85987">
      <w:pPr>
        <w:spacing w:line="500" w:lineRule="atLeast"/>
        <w:ind w:firstLine="600"/>
        <w:divId w:val="1814713660"/>
        <w:rPr>
          <w:rFonts w:hint="eastAsia"/>
          <w:sz w:val="30"/>
          <w:szCs w:val="30"/>
        </w:rPr>
      </w:pPr>
      <w:r>
        <w:rPr>
          <w:rFonts w:hint="eastAsia"/>
          <w:sz w:val="30"/>
          <w:szCs w:val="30"/>
        </w:rPr>
        <w:t>新月公司向一审法院起诉请求：</w:t>
      </w:r>
      <w:r>
        <w:rPr>
          <w:rFonts w:hint="eastAsia"/>
          <w:sz w:val="30"/>
          <w:szCs w:val="30"/>
        </w:rPr>
        <w:t>1</w:t>
      </w:r>
      <w:r>
        <w:rPr>
          <w:rFonts w:hint="eastAsia"/>
          <w:sz w:val="30"/>
          <w:szCs w:val="30"/>
        </w:rPr>
        <w:t>、马生辉、萍辉公司违法所得的收入</w:t>
      </w:r>
      <w:r>
        <w:rPr>
          <w:rFonts w:hint="eastAsia"/>
          <w:sz w:val="30"/>
          <w:szCs w:val="30"/>
        </w:rPr>
        <w:t>1,450</w:t>
      </w:r>
      <w:r>
        <w:rPr>
          <w:rFonts w:hint="eastAsia"/>
          <w:sz w:val="30"/>
          <w:szCs w:val="30"/>
        </w:rPr>
        <w:t>万元（以下无特别注明均为人民币）归新月</w:t>
      </w:r>
      <w:r>
        <w:rPr>
          <w:rFonts w:hint="eastAsia"/>
          <w:sz w:val="30"/>
          <w:szCs w:val="30"/>
        </w:rPr>
        <w:lastRenderedPageBreak/>
        <w:t>公司所有；</w:t>
      </w:r>
      <w:r>
        <w:rPr>
          <w:rFonts w:hint="eastAsia"/>
          <w:sz w:val="30"/>
          <w:szCs w:val="30"/>
        </w:rPr>
        <w:t>2</w:t>
      </w:r>
      <w:r>
        <w:rPr>
          <w:rFonts w:hint="eastAsia"/>
          <w:sz w:val="30"/>
          <w:szCs w:val="30"/>
        </w:rPr>
        <w:t>、新月公司为本案支出的律师费</w:t>
      </w:r>
      <w:r>
        <w:rPr>
          <w:rFonts w:hint="eastAsia"/>
          <w:sz w:val="30"/>
          <w:szCs w:val="30"/>
        </w:rPr>
        <w:t>2</w:t>
      </w:r>
      <w:r>
        <w:rPr>
          <w:rFonts w:hint="eastAsia"/>
          <w:sz w:val="30"/>
          <w:szCs w:val="30"/>
        </w:rPr>
        <w:t>0</w:t>
      </w:r>
      <w:r>
        <w:rPr>
          <w:rFonts w:hint="eastAsia"/>
          <w:sz w:val="30"/>
          <w:szCs w:val="30"/>
        </w:rPr>
        <w:t>万元及诉讼费用由马生辉、萍辉公司承担。</w:t>
      </w:r>
    </w:p>
    <w:p w:rsidR="00000000" w:rsidRDefault="00B85987">
      <w:pPr>
        <w:spacing w:line="500" w:lineRule="atLeast"/>
        <w:ind w:firstLine="600"/>
        <w:divId w:val="2026859616"/>
        <w:rPr>
          <w:rFonts w:hint="eastAsia"/>
          <w:sz w:val="30"/>
          <w:szCs w:val="30"/>
        </w:rPr>
      </w:pPr>
      <w:r>
        <w:rPr>
          <w:rFonts w:hint="eastAsia"/>
          <w:sz w:val="30"/>
          <w:szCs w:val="30"/>
        </w:rPr>
        <w:t>一审法院认定事实：</w:t>
      </w:r>
    </w:p>
    <w:p w:rsidR="00000000" w:rsidRDefault="00B85987">
      <w:pPr>
        <w:spacing w:line="500" w:lineRule="atLeast"/>
        <w:ind w:firstLine="600"/>
        <w:divId w:val="1217932462"/>
        <w:rPr>
          <w:rFonts w:hint="eastAsia"/>
          <w:sz w:val="30"/>
          <w:szCs w:val="30"/>
        </w:rPr>
      </w:pPr>
      <w:r>
        <w:rPr>
          <w:rFonts w:hint="eastAsia"/>
          <w:sz w:val="30"/>
          <w:szCs w:val="30"/>
        </w:rPr>
        <w:t>一、关于新月公司与马生辉的合同关系。</w:t>
      </w:r>
    </w:p>
    <w:p w:rsidR="00000000" w:rsidRDefault="00B85987">
      <w:pPr>
        <w:spacing w:line="500" w:lineRule="atLeast"/>
        <w:ind w:firstLine="600"/>
        <w:divId w:val="356808425"/>
        <w:rPr>
          <w:rFonts w:hint="eastAsia"/>
          <w:sz w:val="30"/>
          <w:szCs w:val="30"/>
        </w:rPr>
      </w:pPr>
      <w:r>
        <w:rPr>
          <w:rFonts w:hint="eastAsia"/>
          <w:sz w:val="30"/>
          <w:szCs w:val="30"/>
        </w:rPr>
        <w:t>新月公司原名为“北京新月友谊国际贸易有限公司”，</w:t>
      </w:r>
      <w:r>
        <w:rPr>
          <w:rFonts w:hint="eastAsia"/>
          <w:sz w:val="30"/>
          <w:szCs w:val="30"/>
        </w:rPr>
        <w:t>2010</w:t>
      </w:r>
      <w:r>
        <w:rPr>
          <w:rFonts w:hint="eastAsia"/>
          <w:sz w:val="30"/>
          <w:szCs w:val="30"/>
        </w:rPr>
        <w:t>年</w:t>
      </w:r>
      <w:r>
        <w:rPr>
          <w:rFonts w:hint="eastAsia"/>
          <w:sz w:val="30"/>
          <w:szCs w:val="30"/>
        </w:rPr>
        <w:t>3</w:t>
      </w:r>
      <w:r>
        <w:rPr>
          <w:rFonts w:hint="eastAsia"/>
          <w:sz w:val="30"/>
          <w:szCs w:val="30"/>
        </w:rPr>
        <w:t>月经核准变更为现名。</w:t>
      </w:r>
    </w:p>
    <w:p w:rsidR="00000000" w:rsidRDefault="00B85987">
      <w:pPr>
        <w:spacing w:line="500" w:lineRule="atLeast"/>
        <w:ind w:firstLine="600"/>
        <w:divId w:val="1676230761"/>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日，新月公司与马生辉签订一份《合作协议》，内容涉及：为搞好新月公司目前与伊朗石油部及国家钻井公司等部门开展的项目合作，新月公司与上海</w:t>
      </w:r>
      <w:r>
        <w:rPr>
          <w:rFonts w:hint="eastAsia"/>
          <w:sz w:val="30"/>
          <w:szCs w:val="30"/>
        </w:rPr>
        <w:t>B</w:t>
      </w:r>
      <w:r>
        <w:rPr>
          <w:rFonts w:hint="eastAsia"/>
          <w:sz w:val="30"/>
          <w:szCs w:val="30"/>
        </w:rPr>
        <w:t>有限公司（以下简称</w:t>
      </w:r>
      <w:r>
        <w:rPr>
          <w:rFonts w:hint="eastAsia"/>
          <w:sz w:val="30"/>
          <w:szCs w:val="30"/>
        </w:rPr>
        <w:t>B</w:t>
      </w:r>
      <w:r>
        <w:rPr>
          <w:rFonts w:hint="eastAsia"/>
          <w:sz w:val="30"/>
          <w:szCs w:val="30"/>
        </w:rPr>
        <w:t>公司）共同在伊朗设立了代表处；经新月公司股东会研究同意马生辉为新月公司驻伊朗代表处总代表、经理；马生辉应履行本职工作，尽职尽责认真完成新月公司交办的工作，协调</w:t>
      </w:r>
      <w:r>
        <w:rPr>
          <w:rFonts w:hint="eastAsia"/>
          <w:sz w:val="30"/>
          <w:szCs w:val="30"/>
        </w:rPr>
        <w:t>与伊朗各部门的友谊和业务事宜，促使合作项目顺利进行，并在开展业务过程中及时向北京总部汇报工作；如果新月公司与国内合作的公司同伊朗国家钻井公司等其他伊朗某公司签订海洋钻井平台和陆地钻机合同，新月公司同意向马生辉支付合同金额的</w:t>
      </w:r>
      <w:r>
        <w:rPr>
          <w:rFonts w:hint="eastAsia"/>
          <w:sz w:val="30"/>
          <w:szCs w:val="30"/>
        </w:rPr>
        <w:t>1.50%</w:t>
      </w:r>
      <w:r>
        <w:rPr>
          <w:rFonts w:hint="eastAsia"/>
          <w:sz w:val="30"/>
          <w:szCs w:val="30"/>
        </w:rPr>
        <w:t>作为合作费用，但最终合作佣金金额需保证在新月公司收到</w:t>
      </w:r>
      <w:r>
        <w:rPr>
          <w:rFonts w:hint="eastAsia"/>
          <w:sz w:val="30"/>
          <w:szCs w:val="30"/>
        </w:rPr>
        <w:t>5%</w:t>
      </w:r>
      <w:r>
        <w:rPr>
          <w:rFonts w:hint="eastAsia"/>
          <w:sz w:val="30"/>
          <w:szCs w:val="30"/>
        </w:rPr>
        <w:t>合同金额的前提下，否则按比例进行调整；凡是马生辉独立从项目信息收集，甲方配合到运作完成的项目，提成按纯利润的</w:t>
      </w:r>
      <w:r>
        <w:rPr>
          <w:rFonts w:hint="eastAsia"/>
          <w:sz w:val="30"/>
          <w:szCs w:val="30"/>
        </w:rPr>
        <w:t>30%</w:t>
      </w:r>
      <w:r>
        <w:rPr>
          <w:rFonts w:hint="eastAsia"/>
          <w:sz w:val="30"/>
          <w:szCs w:val="30"/>
        </w:rPr>
        <w:t>执行；由新月公司统一安排的项目，马生辉担当项目负责人执行的项目，提成按纯利润的</w:t>
      </w:r>
      <w:r>
        <w:rPr>
          <w:rFonts w:hint="eastAsia"/>
          <w:sz w:val="30"/>
          <w:szCs w:val="30"/>
        </w:rPr>
        <w:t>10%</w:t>
      </w:r>
      <w:r>
        <w:rPr>
          <w:rFonts w:hint="eastAsia"/>
          <w:sz w:val="30"/>
          <w:szCs w:val="30"/>
        </w:rPr>
        <w:t>执行；每个项目经营方案结束</w:t>
      </w:r>
      <w:r>
        <w:rPr>
          <w:rFonts w:hint="eastAsia"/>
          <w:sz w:val="30"/>
          <w:szCs w:val="30"/>
        </w:rPr>
        <w:t>进行一次结算；付款方式由马生辉建议；因新月公司目前严重亏损，从</w:t>
      </w:r>
      <w:r>
        <w:rPr>
          <w:rFonts w:hint="eastAsia"/>
          <w:sz w:val="30"/>
          <w:szCs w:val="30"/>
        </w:rPr>
        <w:t>2006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日应付马生辉的工资待公司效益好转时一次付清，</w:t>
      </w:r>
      <w:r>
        <w:rPr>
          <w:rFonts w:hint="eastAsia"/>
          <w:sz w:val="30"/>
          <w:szCs w:val="30"/>
        </w:rPr>
        <w:t>2007</w:t>
      </w:r>
      <w:r>
        <w:rPr>
          <w:rFonts w:hint="eastAsia"/>
          <w:sz w:val="30"/>
          <w:szCs w:val="30"/>
        </w:rPr>
        <w:t>年</w:t>
      </w:r>
      <w:r>
        <w:rPr>
          <w:rFonts w:hint="eastAsia"/>
          <w:sz w:val="30"/>
          <w:szCs w:val="30"/>
        </w:rPr>
        <w:t>6</w:t>
      </w:r>
      <w:r>
        <w:rPr>
          <w:rFonts w:hint="eastAsia"/>
          <w:sz w:val="30"/>
          <w:szCs w:val="30"/>
        </w:rPr>
        <w:t>月止；总代表的薪酬实行佣金和业务提成办法从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月开始施行项目效益佣金和业务提成分配方案；合同期限自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日止等。</w:t>
      </w:r>
    </w:p>
    <w:p w:rsidR="00000000" w:rsidRDefault="00B85987">
      <w:pPr>
        <w:spacing w:line="500" w:lineRule="atLeast"/>
        <w:ind w:firstLine="600"/>
        <w:divId w:val="396560448"/>
        <w:rPr>
          <w:rFonts w:hint="eastAsia"/>
          <w:sz w:val="30"/>
          <w:szCs w:val="30"/>
        </w:rPr>
      </w:pP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日，新月公司向马生辉发出《终止、解除劳动合同通知书》，内容涉及：</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日，新月公司与马生辉签订的自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日止十年期限的劳动合同，由于马生辉的原因，新月公司决定解除</w:t>
      </w:r>
      <w:r>
        <w:rPr>
          <w:rFonts w:hint="eastAsia"/>
          <w:sz w:val="30"/>
          <w:szCs w:val="30"/>
        </w:rPr>
        <w:t>劳动合同，根据有关规定不发给经济补偿等。同日，新月公司又出具了《解除劳动合同证明》，证明新月公司与马生辉之间自</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日的十年劳动合同现已解除。双方均认可自此以后，马生辉不再担任新月公司驻伊朗代表处的总代表。</w:t>
      </w:r>
    </w:p>
    <w:p w:rsidR="00000000" w:rsidRDefault="00B85987">
      <w:pPr>
        <w:spacing w:line="500" w:lineRule="atLeast"/>
        <w:ind w:firstLine="600"/>
        <w:divId w:val="464666625"/>
        <w:rPr>
          <w:rFonts w:hint="eastAsia"/>
          <w:sz w:val="30"/>
          <w:szCs w:val="30"/>
        </w:rPr>
      </w:pPr>
      <w:r>
        <w:rPr>
          <w:rFonts w:hint="eastAsia"/>
          <w:sz w:val="30"/>
          <w:szCs w:val="30"/>
        </w:rPr>
        <w:t>新月公司于</w:t>
      </w:r>
      <w:r>
        <w:rPr>
          <w:rFonts w:hint="eastAsia"/>
          <w:sz w:val="30"/>
          <w:szCs w:val="30"/>
        </w:rPr>
        <w:t>2005</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日登记设立，自成立至今，公司的股东和章程等曾多次进行过变更，新月公司自成立时至</w:t>
      </w:r>
      <w:r>
        <w:rPr>
          <w:rFonts w:hint="eastAsia"/>
          <w:sz w:val="30"/>
          <w:szCs w:val="30"/>
        </w:rPr>
        <w:t>2010</w:t>
      </w:r>
      <w:r>
        <w:rPr>
          <w:rFonts w:hint="eastAsia"/>
          <w:sz w:val="30"/>
          <w:szCs w:val="30"/>
        </w:rPr>
        <w:t>年间的章程规定，新月公司的股东为张建忠、李某、张某等；公司不设董事会，仅设执行董事一人，由股东会选举产生，执行董事为公司的法定代表人；公司设经理一名，由股东</w:t>
      </w:r>
      <w:r>
        <w:rPr>
          <w:rFonts w:hint="eastAsia"/>
          <w:sz w:val="30"/>
          <w:szCs w:val="30"/>
        </w:rPr>
        <w:t>会聘任，对股东会负责，行使的职权包括主持公司的生产经营管理工作，组织实施股东会决议，组织实施公司年度经营计划和投资方案，拟订公司内部管理机构设置方案，拟订公司的基本管理制度，制定公司的具体规章，聘任或者解聘公司副经理、财务负责人，聘任或者解聘应由股东会聘任或者解聘以外的负责管理人员；公司设监事一人，由股东会选举产生；公司登记事项以公司登记机关核准的为准等。根据新月公司的工商登记档案记载，新月公司当时的法定代表人亦为张建忠，监事和经理未进行登记。</w:t>
      </w:r>
    </w:p>
    <w:p w:rsidR="00000000" w:rsidRDefault="00B85987">
      <w:pPr>
        <w:spacing w:line="500" w:lineRule="atLeast"/>
        <w:ind w:firstLine="600"/>
        <w:divId w:val="313224720"/>
        <w:rPr>
          <w:rFonts w:hint="eastAsia"/>
          <w:sz w:val="30"/>
          <w:szCs w:val="30"/>
        </w:rPr>
      </w:pPr>
      <w:r>
        <w:rPr>
          <w:rFonts w:hint="eastAsia"/>
          <w:sz w:val="30"/>
          <w:szCs w:val="30"/>
        </w:rPr>
        <w:t>二、关于</w:t>
      </w:r>
      <w:r>
        <w:rPr>
          <w:rFonts w:hint="eastAsia"/>
          <w:sz w:val="30"/>
          <w:szCs w:val="30"/>
        </w:rPr>
        <w:t>XX</w:t>
      </w:r>
      <w:r>
        <w:rPr>
          <w:rFonts w:hint="eastAsia"/>
          <w:sz w:val="30"/>
          <w:szCs w:val="30"/>
        </w:rPr>
        <w:t>集团公司、陈某等侵害新月公司商业秘密的事实。</w:t>
      </w:r>
    </w:p>
    <w:p w:rsidR="00000000" w:rsidRDefault="00B85987">
      <w:pPr>
        <w:spacing w:line="500" w:lineRule="atLeast"/>
        <w:ind w:firstLine="600"/>
        <w:divId w:val="282270709"/>
        <w:rPr>
          <w:rFonts w:hint="eastAsia"/>
          <w:sz w:val="30"/>
          <w:szCs w:val="30"/>
        </w:rPr>
      </w:pPr>
      <w:r>
        <w:rPr>
          <w:rFonts w:hint="eastAsia"/>
          <w:sz w:val="30"/>
          <w:szCs w:val="30"/>
        </w:rPr>
        <w:t>新月</w:t>
      </w:r>
      <w:r>
        <w:rPr>
          <w:rFonts w:hint="eastAsia"/>
          <w:sz w:val="30"/>
          <w:szCs w:val="30"/>
        </w:rPr>
        <w:t>公司曾以</w:t>
      </w:r>
      <w:r>
        <w:rPr>
          <w:rFonts w:hint="eastAsia"/>
          <w:sz w:val="30"/>
          <w:szCs w:val="30"/>
        </w:rPr>
        <w:t>XX</w:t>
      </w:r>
      <w:r>
        <w:rPr>
          <w:rFonts w:hint="eastAsia"/>
          <w:sz w:val="30"/>
          <w:szCs w:val="30"/>
        </w:rPr>
        <w:t>集团公司、陈某等侵害其商业秘密为由，向北京市第二中级人民法院（以下简称北京市二中院）提起诉讼，案号为（</w:t>
      </w:r>
      <w:r>
        <w:rPr>
          <w:rFonts w:hint="eastAsia"/>
          <w:sz w:val="30"/>
          <w:szCs w:val="30"/>
        </w:rPr>
        <w:t>2014</w:t>
      </w:r>
      <w:r>
        <w:rPr>
          <w:rFonts w:hint="eastAsia"/>
          <w:sz w:val="30"/>
          <w:szCs w:val="30"/>
        </w:rPr>
        <w:t>）二中民（知）初字第</w:t>
      </w:r>
      <w:r>
        <w:rPr>
          <w:rFonts w:hint="eastAsia"/>
          <w:sz w:val="30"/>
          <w:szCs w:val="30"/>
        </w:rPr>
        <w:t>07791</w:t>
      </w:r>
      <w:r>
        <w:rPr>
          <w:rFonts w:hint="eastAsia"/>
          <w:sz w:val="30"/>
          <w:szCs w:val="30"/>
        </w:rPr>
        <w:t>号。北京市二中院认为，</w:t>
      </w:r>
      <w:r>
        <w:rPr>
          <w:rFonts w:hint="eastAsia"/>
          <w:sz w:val="30"/>
          <w:szCs w:val="30"/>
        </w:rPr>
        <w:t>XX</w:t>
      </w:r>
      <w:r>
        <w:rPr>
          <w:rFonts w:hint="eastAsia"/>
          <w:sz w:val="30"/>
          <w:szCs w:val="30"/>
        </w:rPr>
        <w:t>集团公司和陈某等均侵害了新月公司的商业秘密，判决</w:t>
      </w:r>
      <w:r>
        <w:rPr>
          <w:rFonts w:hint="eastAsia"/>
          <w:sz w:val="30"/>
          <w:szCs w:val="30"/>
        </w:rPr>
        <w:t>XX</w:t>
      </w:r>
      <w:r>
        <w:rPr>
          <w:rFonts w:hint="eastAsia"/>
          <w:sz w:val="30"/>
          <w:szCs w:val="30"/>
        </w:rPr>
        <w:t>集团公司、陈某等立即停止侵害新月公司涉案商业秘密，并共同赔偿新月公司损失</w:t>
      </w:r>
      <w:r>
        <w:rPr>
          <w:rFonts w:hint="eastAsia"/>
          <w:sz w:val="30"/>
          <w:szCs w:val="30"/>
        </w:rPr>
        <w:t>43,554,470.40</w:t>
      </w:r>
      <w:r>
        <w:rPr>
          <w:rFonts w:hint="eastAsia"/>
          <w:sz w:val="30"/>
          <w:szCs w:val="30"/>
        </w:rPr>
        <w:t>元及诉讼支出</w:t>
      </w:r>
      <w:r>
        <w:rPr>
          <w:rFonts w:hint="eastAsia"/>
          <w:sz w:val="30"/>
          <w:szCs w:val="30"/>
        </w:rPr>
        <w:t>40</w:t>
      </w:r>
      <w:r>
        <w:rPr>
          <w:rFonts w:hint="eastAsia"/>
          <w:sz w:val="30"/>
          <w:szCs w:val="30"/>
        </w:rPr>
        <w:t>万元等。</w:t>
      </w:r>
    </w:p>
    <w:p w:rsidR="00000000" w:rsidRDefault="00B85987">
      <w:pPr>
        <w:spacing w:line="500" w:lineRule="atLeast"/>
        <w:ind w:firstLine="600"/>
        <w:divId w:val="684332553"/>
        <w:rPr>
          <w:rFonts w:hint="eastAsia"/>
          <w:sz w:val="30"/>
          <w:szCs w:val="30"/>
        </w:rPr>
      </w:pPr>
      <w:r>
        <w:rPr>
          <w:rFonts w:hint="eastAsia"/>
          <w:sz w:val="30"/>
          <w:szCs w:val="30"/>
        </w:rPr>
        <w:t>该案判决后，</w:t>
      </w:r>
      <w:r>
        <w:rPr>
          <w:rFonts w:hint="eastAsia"/>
          <w:sz w:val="30"/>
          <w:szCs w:val="30"/>
        </w:rPr>
        <w:t>XX</w:t>
      </w:r>
      <w:r>
        <w:rPr>
          <w:rFonts w:hint="eastAsia"/>
          <w:sz w:val="30"/>
          <w:szCs w:val="30"/>
        </w:rPr>
        <w:t>集团公司和陈某等提起上诉，北京市高级人民法院（以下简称北京市高院）立案受理，案号为（</w:t>
      </w:r>
      <w:r>
        <w:rPr>
          <w:rFonts w:hint="eastAsia"/>
          <w:sz w:val="30"/>
          <w:szCs w:val="30"/>
        </w:rPr>
        <w:t>2015</w:t>
      </w:r>
      <w:r>
        <w:rPr>
          <w:rFonts w:hint="eastAsia"/>
          <w:sz w:val="30"/>
          <w:szCs w:val="30"/>
        </w:rPr>
        <w:t>）高民（知）终字第</w:t>
      </w:r>
      <w:r>
        <w:rPr>
          <w:rFonts w:hint="eastAsia"/>
          <w:sz w:val="30"/>
          <w:szCs w:val="30"/>
        </w:rPr>
        <w:t>22</w:t>
      </w:r>
      <w:r>
        <w:rPr>
          <w:rFonts w:hint="eastAsia"/>
          <w:sz w:val="30"/>
          <w:szCs w:val="30"/>
        </w:rPr>
        <w:t>号，认定以下事实：</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日，伊朗</w:t>
      </w:r>
      <w:r>
        <w:rPr>
          <w:rFonts w:hint="eastAsia"/>
          <w:sz w:val="30"/>
          <w:szCs w:val="30"/>
        </w:rPr>
        <w:t>OEOC</w:t>
      </w:r>
      <w:r>
        <w:rPr>
          <w:rFonts w:hint="eastAsia"/>
          <w:sz w:val="30"/>
          <w:szCs w:val="30"/>
        </w:rPr>
        <w:t>公司向新月公司伊朗代表处的马生辉先生发出主题为“访问中国”的函，内容涉及：在三个月卓有成效的合作及辛勤工作之后，现一支</w:t>
      </w:r>
      <w:r>
        <w:rPr>
          <w:rFonts w:hint="eastAsia"/>
          <w:sz w:val="30"/>
          <w:szCs w:val="30"/>
        </w:rPr>
        <w:t>OEOC</w:t>
      </w:r>
      <w:r>
        <w:rPr>
          <w:rFonts w:hint="eastAsia"/>
          <w:sz w:val="30"/>
          <w:szCs w:val="30"/>
        </w:rPr>
        <w:t>代表团将前往中国进行访问，对近三个月的项目继续进行整体评估；查看钻机制造工厂，就有关钻机购买进行研讨，谈判将包括费用、技术及生产时间计划安排；钻井服务整体项目以及参观制造厂与采购谈判等。</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日，上海</w:t>
      </w:r>
      <w:r>
        <w:rPr>
          <w:rFonts w:hint="eastAsia"/>
          <w:sz w:val="30"/>
          <w:szCs w:val="30"/>
        </w:rPr>
        <w:t>C</w:t>
      </w:r>
      <w:r>
        <w:rPr>
          <w:rFonts w:hint="eastAsia"/>
          <w:sz w:val="30"/>
          <w:szCs w:val="30"/>
        </w:rPr>
        <w:t>有限公司（以下简称上海</w:t>
      </w:r>
      <w:r>
        <w:rPr>
          <w:rFonts w:hint="eastAsia"/>
          <w:sz w:val="30"/>
          <w:szCs w:val="30"/>
        </w:rPr>
        <w:t>C</w:t>
      </w:r>
      <w:r>
        <w:rPr>
          <w:rFonts w:hint="eastAsia"/>
          <w:sz w:val="30"/>
          <w:szCs w:val="30"/>
        </w:rPr>
        <w:t>公司）与伊朗</w:t>
      </w:r>
      <w:r>
        <w:rPr>
          <w:rFonts w:hint="eastAsia"/>
          <w:sz w:val="30"/>
          <w:szCs w:val="30"/>
        </w:rPr>
        <w:t>OEOC</w:t>
      </w:r>
      <w:r>
        <w:rPr>
          <w:rFonts w:hint="eastAsia"/>
          <w:sz w:val="30"/>
          <w:szCs w:val="30"/>
        </w:rPr>
        <w:t>公司签订《石油钻机销售合同》和《谅解备忘录》，并举行了合作签字仪式。同日，上海</w:t>
      </w:r>
      <w:r>
        <w:rPr>
          <w:rFonts w:hint="eastAsia"/>
          <w:sz w:val="30"/>
          <w:szCs w:val="30"/>
        </w:rPr>
        <w:t>C</w:t>
      </w:r>
      <w:r>
        <w:rPr>
          <w:rFonts w:hint="eastAsia"/>
          <w:sz w:val="30"/>
          <w:szCs w:val="30"/>
        </w:rPr>
        <w:t>公司与新月公司签订《协</w:t>
      </w:r>
      <w:r>
        <w:rPr>
          <w:rFonts w:hint="eastAsia"/>
          <w:sz w:val="30"/>
          <w:szCs w:val="30"/>
        </w:rPr>
        <w:t>议书》，内容涉及：新月公司利用自身与伊朗政府及其他中东国家的关系优势为上海</w:t>
      </w:r>
      <w:r>
        <w:rPr>
          <w:rFonts w:hint="eastAsia"/>
          <w:sz w:val="30"/>
          <w:szCs w:val="30"/>
        </w:rPr>
        <w:t>C</w:t>
      </w:r>
      <w:r>
        <w:rPr>
          <w:rFonts w:hint="eastAsia"/>
          <w:sz w:val="30"/>
          <w:szCs w:val="30"/>
        </w:rPr>
        <w:t>公司协调与外方公司签订成套石油钻机设备和部件合同，上海</w:t>
      </w:r>
      <w:r>
        <w:rPr>
          <w:rFonts w:hint="eastAsia"/>
          <w:sz w:val="30"/>
          <w:szCs w:val="30"/>
        </w:rPr>
        <w:t>C</w:t>
      </w:r>
      <w:r>
        <w:rPr>
          <w:rFonts w:hint="eastAsia"/>
          <w:sz w:val="30"/>
          <w:szCs w:val="30"/>
        </w:rPr>
        <w:t>公司同意向新月公司支付合同金额</w:t>
      </w:r>
      <w:r>
        <w:rPr>
          <w:rFonts w:hint="eastAsia"/>
          <w:sz w:val="30"/>
          <w:szCs w:val="30"/>
        </w:rPr>
        <w:t>6%</w:t>
      </w:r>
      <w:r>
        <w:rPr>
          <w:rFonts w:hint="eastAsia"/>
          <w:sz w:val="30"/>
          <w:szCs w:val="30"/>
        </w:rPr>
        <w:t>的佣金，上海</w:t>
      </w:r>
      <w:r>
        <w:rPr>
          <w:rFonts w:hint="eastAsia"/>
          <w:sz w:val="30"/>
          <w:szCs w:val="30"/>
        </w:rPr>
        <w:t>C</w:t>
      </w:r>
      <w:r>
        <w:rPr>
          <w:rFonts w:hint="eastAsia"/>
          <w:sz w:val="30"/>
          <w:szCs w:val="30"/>
        </w:rPr>
        <w:t>公司需保守因履行本协议所获知的新月公司的商业秘密等。</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日，上海</w:t>
      </w:r>
      <w:r>
        <w:rPr>
          <w:rFonts w:hint="eastAsia"/>
          <w:sz w:val="30"/>
          <w:szCs w:val="30"/>
        </w:rPr>
        <w:t>C</w:t>
      </w:r>
      <w:r>
        <w:rPr>
          <w:rFonts w:hint="eastAsia"/>
          <w:sz w:val="30"/>
          <w:szCs w:val="30"/>
        </w:rPr>
        <w:t>公司与伊朗</w:t>
      </w:r>
      <w:r>
        <w:rPr>
          <w:rFonts w:hint="eastAsia"/>
          <w:sz w:val="30"/>
          <w:szCs w:val="30"/>
        </w:rPr>
        <w:t>OEOC</w:t>
      </w:r>
      <w:r>
        <w:rPr>
          <w:rFonts w:hint="eastAsia"/>
          <w:sz w:val="30"/>
          <w:szCs w:val="30"/>
        </w:rPr>
        <w:t>公司签订《石油钻机销售合同》；</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日，双方又签订了《解除石油钻机销售合同的协议》，约定解除</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日和</w:t>
      </w:r>
      <w:r>
        <w:rPr>
          <w:rFonts w:hint="eastAsia"/>
          <w:sz w:val="30"/>
          <w:szCs w:val="30"/>
        </w:rPr>
        <w:t>12</w:t>
      </w:r>
      <w:r>
        <w:rPr>
          <w:rFonts w:hint="eastAsia"/>
          <w:sz w:val="30"/>
          <w:szCs w:val="30"/>
        </w:rPr>
        <w:t>月</w:t>
      </w:r>
      <w:r>
        <w:rPr>
          <w:rFonts w:hint="eastAsia"/>
          <w:sz w:val="30"/>
          <w:szCs w:val="30"/>
        </w:rPr>
        <w:t>18</w:t>
      </w:r>
      <w:r>
        <w:rPr>
          <w:rFonts w:hint="eastAsia"/>
          <w:sz w:val="30"/>
          <w:szCs w:val="30"/>
        </w:rPr>
        <w:t>日签订的两份《石油钻机销售合同》。</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日，伊朗</w:t>
      </w:r>
      <w:r>
        <w:rPr>
          <w:rFonts w:hint="eastAsia"/>
          <w:sz w:val="30"/>
          <w:szCs w:val="30"/>
        </w:rPr>
        <w:t>OEOC</w:t>
      </w:r>
      <w:r>
        <w:rPr>
          <w:rFonts w:hint="eastAsia"/>
          <w:sz w:val="30"/>
          <w:szCs w:val="30"/>
        </w:rPr>
        <w:t>公司与</w:t>
      </w:r>
      <w:r>
        <w:rPr>
          <w:rFonts w:hint="eastAsia"/>
          <w:sz w:val="30"/>
          <w:szCs w:val="30"/>
        </w:rPr>
        <w:t>XX</w:t>
      </w:r>
      <w:r>
        <w:rPr>
          <w:rFonts w:hint="eastAsia"/>
          <w:sz w:val="30"/>
          <w:szCs w:val="30"/>
        </w:rPr>
        <w:t>集团公司签订《石油</w:t>
      </w:r>
      <w:r>
        <w:rPr>
          <w:rFonts w:hint="eastAsia"/>
          <w:sz w:val="30"/>
          <w:szCs w:val="30"/>
        </w:rPr>
        <w:t>钻机销售合同》，合同总金额</w:t>
      </w:r>
      <w:r>
        <w:rPr>
          <w:rFonts w:hint="eastAsia"/>
          <w:sz w:val="30"/>
          <w:szCs w:val="30"/>
        </w:rPr>
        <w:t>6,720</w:t>
      </w:r>
      <w:r>
        <w:rPr>
          <w:rFonts w:hint="eastAsia"/>
          <w:sz w:val="30"/>
          <w:szCs w:val="30"/>
        </w:rPr>
        <w:t>万欧元，合同的格式、条款设置、涉及设备型号、数量、价格等内容与伊朗</w:t>
      </w:r>
      <w:r>
        <w:rPr>
          <w:rFonts w:hint="eastAsia"/>
          <w:sz w:val="30"/>
          <w:szCs w:val="30"/>
        </w:rPr>
        <w:t>OEOC</w:t>
      </w:r>
      <w:r>
        <w:rPr>
          <w:rFonts w:hint="eastAsia"/>
          <w:sz w:val="30"/>
          <w:szCs w:val="30"/>
        </w:rPr>
        <w:t>公司与上海</w:t>
      </w:r>
      <w:r>
        <w:rPr>
          <w:rFonts w:hint="eastAsia"/>
          <w:sz w:val="30"/>
          <w:szCs w:val="30"/>
        </w:rPr>
        <w:t>C</w:t>
      </w:r>
      <w:r>
        <w:rPr>
          <w:rFonts w:hint="eastAsia"/>
          <w:sz w:val="30"/>
          <w:szCs w:val="30"/>
        </w:rPr>
        <w:t>公司签订的</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日《石油钻机销售合同》基本相同。</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日，新月公司向</w:t>
      </w:r>
      <w:r>
        <w:rPr>
          <w:rFonts w:hint="eastAsia"/>
          <w:sz w:val="30"/>
          <w:szCs w:val="30"/>
        </w:rPr>
        <w:t>XX</w:t>
      </w:r>
      <w:r>
        <w:rPr>
          <w:rFonts w:hint="eastAsia"/>
          <w:sz w:val="30"/>
          <w:szCs w:val="30"/>
        </w:rPr>
        <w:t>集团公司和上海</w:t>
      </w:r>
      <w:r>
        <w:rPr>
          <w:rFonts w:hint="eastAsia"/>
          <w:sz w:val="30"/>
          <w:szCs w:val="30"/>
        </w:rPr>
        <w:t>C</w:t>
      </w:r>
      <w:r>
        <w:rPr>
          <w:rFonts w:hint="eastAsia"/>
          <w:sz w:val="30"/>
          <w:szCs w:val="30"/>
        </w:rPr>
        <w:t>公司等发出催告函，阐明侵权事项并主张侵权赔偿。</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日，中国国际贸易仲裁委员会就新月公司与上海</w:t>
      </w:r>
      <w:r>
        <w:rPr>
          <w:rFonts w:hint="eastAsia"/>
          <w:sz w:val="30"/>
          <w:szCs w:val="30"/>
        </w:rPr>
        <w:t>C</w:t>
      </w:r>
      <w:r>
        <w:rPr>
          <w:rFonts w:hint="eastAsia"/>
          <w:sz w:val="30"/>
          <w:szCs w:val="30"/>
        </w:rPr>
        <w:t>公司之间就《协议书》产生的合同纠纷作出</w:t>
      </w:r>
      <w:r>
        <w:rPr>
          <w:rFonts w:hint="eastAsia"/>
          <w:sz w:val="30"/>
          <w:szCs w:val="30"/>
        </w:rPr>
        <w:t>[2012]</w:t>
      </w:r>
      <w:r>
        <w:rPr>
          <w:rFonts w:hint="eastAsia"/>
          <w:sz w:val="30"/>
          <w:szCs w:val="30"/>
        </w:rPr>
        <w:t>中国贸仲京裁字第</w:t>
      </w:r>
      <w:r>
        <w:rPr>
          <w:rFonts w:hint="eastAsia"/>
          <w:sz w:val="30"/>
          <w:szCs w:val="30"/>
        </w:rPr>
        <w:t>0687</w:t>
      </w:r>
      <w:r>
        <w:rPr>
          <w:rFonts w:hint="eastAsia"/>
          <w:sz w:val="30"/>
          <w:szCs w:val="30"/>
        </w:rPr>
        <w:t>号裁决，认定新月公司未能履行《协议书》约定的协助和保证义务，不应全额收取佣金，而应根据劳务</w:t>
      </w:r>
      <w:r>
        <w:rPr>
          <w:rFonts w:hint="eastAsia"/>
          <w:sz w:val="30"/>
          <w:szCs w:val="30"/>
        </w:rPr>
        <w:t>合理确定佣金数额，最终裁决上海</w:t>
      </w:r>
      <w:r>
        <w:rPr>
          <w:rFonts w:hint="eastAsia"/>
          <w:sz w:val="30"/>
          <w:szCs w:val="30"/>
        </w:rPr>
        <w:t>C</w:t>
      </w:r>
      <w:r>
        <w:rPr>
          <w:rFonts w:hint="eastAsia"/>
          <w:sz w:val="30"/>
          <w:szCs w:val="30"/>
        </w:rPr>
        <w:t>公司按钻机设备合同总额的</w:t>
      </w:r>
      <w:r>
        <w:rPr>
          <w:rFonts w:hint="eastAsia"/>
          <w:sz w:val="30"/>
          <w:szCs w:val="30"/>
        </w:rPr>
        <w:t>1.50%</w:t>
      </w:r>
      <w:r>
        <w:rPr>
          <w:rFonts w:hint="eastAsia"/>
          <w:sz w:val="30"/>
          <w:szCs w:val="30"/>
        </w:rPr>
        <w:t>向新月公司支付佣金，金额为</w:t>
      </w:r>
      <w:r>
        <w:rPr>
          <w:rFonts w:hint="eastAsia"/>
          <w:sz w:val="30"/>
          <w:szCs w:val="30"/>
        </w:rPr>
        <w:t>1,338,000</w:t>
      </w:r>
      <w:r>
        <w:rPr>
          <w:rFonts w:hint="eastAsia"/>
          <w:sz w:val="30"/>
          <w:szCs w:val="30"/>
        </w:rPr>
        <w:t>欧元。北京市高院经审理后认为，</w:t>
      </w:r>
      <w:r>
        <w:rPr>
          <w:rFonts w:hint="eastAsia"/>
          <w:sz w:val="30"/>
          <w:szCs w:val="30"/>
        </w:rPr>
        <w:t>XX</w:t>
      </w:r>
      <w:r>
        <w:rPr>
          <w:rFonts w:hint="eastAsia"/>
          <w:sz w:val="30"/>
          <w:szCs w:val="30"/>
        </w:rPr>
        <w:t>集团公司和陈某侵害了新月公司的商业秘密，但是由于新月公司与上海</w:t>
      </w:r>
      <w:r>
        <w:rPr>
          <w:rFonts w:hint="eastAsia"/>
          <w:sz w:val="30"/>
          <w:szCs w:val="30"/>
        </w:rPr>
        <w:t>C</w:t>
      </w:r>
      <w:r>
        <w:rPr>
          <w:rFonts w:hint="eastAsia"/>
          <w:sz w:val="30"/>
          <w:szCs w:val="30"/>
        </w:rPr>
        <w:t>公司之间的合同纠纷经由中国国际贸易仲裁委员会裁决后，其部分合同利益已经实现，新月公司不应再获得超出其可得利益的利益。鉴于伊朗</w:t>
      </w:r>
      <w:r>
        <w:rPr>
          <w:rFonts w:hint="eastAsia"/>
          <w:sz w:val="30"/>
          <w:szCs w:val="30"/>
        </w:rPr>
        <w:t>OEOC</w:t>
      </w:r>
      <w:r>
        <w:rPr>
          <w:rFonts w:hint="eastAsia"/>
          <w:sz w:val="30"/>
          <w:szCs w:val="30"/>
        </w:rPr>
        <w:t>公司采购需求已经实现，新月公司的相关商业秘密已经公开，新月公司主张停止侵权的法律责任没有依据。北京市高院对北京市二中院的判决予以改判，并判决：撤销北京市二中院（</w:t>
      </w:r>
      <w:r>
        <w:rPr>
          <w:rFonts w:hint="eastAsia"/>
          <w:sz w:val="30"/>
          <w:szCs w:val="30"/>
        </w:rPr>
        <w:t>2014</w:t>
      </w:r>
      <w:r>
        <w:rPr>
          <w:rFonts w:hint="eastAsia"/>
          <w:sz w:val="30"/>
          <w:szCs w:val="30"/>
        </w:rPr>
        <w:t>）二</w:t>
      </w:r>
      <w:r>
        <w:rPr>
          <w:rFonts w:hint="eastAsia"/>
          <w:sz w:val="30"/>
          <w:szCs w:val="30"/>
        </w:rPr>
        <w:t>中民（知）初字第</w:t>
      </w:r>
      <w:r>
        <w:rPr>
          <w:rFonts w:hint="eastAsia"/>
          <w:sz w:val="30"/>
          <w:szCs w:val="30"/>
        </w:rPr>
        <w:t>7791</w:t>
      </w:r>
      <w:r>
        <w:rPr>
          <w:rFonts w:hint="eastAsia"/>
          <w:sz w:val="30"/>
          <w:szCs w:val="30"/>
        </w:rPr>
        <w:t>号民事判决，</w:t>
      </w:r>
      <w:r>
        <w:rPr>
          <w:rFonts w:hint="eastAsia"/>
          <w:sz w:val="30"/>
          <w:szCs w:val="30"/>
        </w:rPr>
        <w:t>XX</w:t>
      </w:r>
      <w:r>
        <w:rPr>
          <w:rFonts w:hint="eastAsia"/>
          <w:sz w:val="30"/>
          <w:szCs w:val="30"/>
        </w:rPr>
        <w:t>集团公司和陈某赔偿新月公司经济损失</w:t>
      </w:r>
      <w:r>
        <w:rPr>
          <w:rFonts w:hint="eastAsia"/>
          <w:sz w:val="30"/>
          <w:szCs w:val="30"/>
        </w:rPr>
        <w:t>2,256</w:t>
      </w:r>
      <w:r>
        <w:rPr>
          <w:rFonts w:hint="eastAsia"/>
          <w:sz w:val="30"/>
          <w:szCs w:val="30"/>
        </w:rPr>
        <w:t>万元及诉讼合理支出</w:t>
      </w:r>
      <w:r>
        <w:rPr>
          <w:rFonts w:hint="eastAsia"/>
          <w:sz w:val="30"/>
          <w:szCs w:val="30"/>
        </w:rPr>
        <w:t>10</w:t>
      </w:r>
      <w:r>
        <w:rPr>
          <w:rFonts w:hint="eastAsia"/>
          <w:sz w:val="30"/>
          <w:szCs w:val="30"/>
        </w:rPr>
        <w:t>万元等。</w:t>
      </w:r>
      <w:r>
        <w:rPr>
          <w:rFonts w:hint="eastAsia"/>
          <w:sz w:val="30"/>
          <w:szCs w:val="30"/>
        </w:rPr>
        <w:t>XX</w:t>
      </w:r>
      <w:r>
        <w:rPr>
          <w:rFonts w:hint="eastAsia"/>
          <w:sz w:val="30"/>
          <w:szCs w:val="30"/>
        </w:rPr>
        <w:t>集团公司、陈某、新月公司均不服，向最高人民法院申请再审。最高人民法院再审审查期间，陈某提供了由马生辉出具的书面《声明书》作为证据，内容涉及：马生辉根据有关协议，为</w:t>
      </w:r>
      <w:r>
        <w:rPr>
          <w:rFonts w:hint="eastAsia"/>
          <w:sz w:val="30"/>
          <w:szCs w:val="30"/>
        </w:rPr>
        <w:t>XX</w:t>
      </w:r>
      <w:r>
        <w:rPr>
          <w:rFonts w:hint="eastAsia"/>
          <w:sz w:val="30"/>
          <w:szCs w:val="30"/>
        </w:rPr>
        <w:t>集团公司与伊朗</w:t>
      </w:r>
      <w:r>
        <w:rPr>
          <w:rFonts w:hint="eastAsia"/>
          <w:sz w:val="30"/>
          <w:szCs w:val="30"/>
        </w:rPr>
        <w:t>OEOC</w:t>
      </w:r>
      <w:r>
        <w:rPr>
          <w:rFonts w:hint="eastAsia"/>
          <w:sz w:val="30"/>
          <w:szCs w:val="30"/>
        </w:rPr>
        <w:t>公司的合作提供服务，并收取了</w:t>
      </w:r>
      <w:r>
        <w:rPr>
          <w:rFonts w:hint="eastAsia"/>
          <w:sz w:val="30"/>
          <w:szCs w:val="30"/>
        </w:rPr>
        <w:t>XX</w:t>
      </w:r>
      <w:r>
        <w:rPr>
          <w:rFonts w:hint="eastAsia"/>
          <w:sz w:val="30"/>
          <w:szCs w:val="30"/>
        </w:rPr>
        <w:t>集团公司支付的佣金；马生辉提供《代理协议书》、《补充协议书》复印件。此后，最高人民法院作出（</w:t>
      </w:r>
      <w:r>
        <w:rPr>
          <w:rFonts w:hint="eastAsia"/>
          <w:sz w:val="30"/>
          <w:szCs w:val="30"/>
        </w:rPr>
        <w:t>2015</w:t>
      </w:r>
      <w:r>
        <w:rPr>
          <w:rFonts w:hint="eastAsia"/>
          <w:sz w:val="30"/>
          <w:szCs w:val="30"/>
        </w:rPr>
        <w:t>）民申字第</w:t>
      </w:r>
      <w:r>
        <w:rPr>
          <w:rFonts w:hint="eastAsia"/>
          <w:sz w:val="30"/>
          <w:szCs w:val="30"/>
        </w:rPr>
        <w:t>1518</w:t>
      </w:r>
      <w:r>
        <w:rPr>
          <w:rFonts w:hint="eastAsia"/>
          <w:sz w:val="30"/>
          <w:szCs w:val="30"/>
        </w:rPr>
        <w:t>号民事裁定，认为陈某在再审申请阶段提交的新证据证明</w:t>
      </w:r>
      <w:r>
        <w:rPr>
          <w:rFonts w:hint="eastAsia"/>
          <w:sz w:val="30"/>
          <w:szCs w:val="30"/>
        </w:rPr>
        <w:t>XX</w:t>
      </w:r>
      <w:r>
        <w:rPr>
          <w:rFonts w:hint="eastAsia"/>
          <w:sz w:val="30"/>
          <w:szCs w:val="30"/>
        </w:rPr>
        <w:t>集</w:t>
      </w:r>
      <w:r>
        <w:rPr>
          <w:rFonts w:hint="eastAsia"/>
          <w:sz w:val="30"/>
          <w:szCs w:val="30"/>
        </w:rPr>
        <w:t>团公司还存在利用其便利与新月公司的前雇员联络的行为；北京市高院二审判决认定的事实和适用法律并无不当，最终驳回</w:t>
      </w:r>
      <w:r>
        <w:rPr>
          <w:rFonts w:hint="eastAsia"/>
          <w:sz w:val="30"/>
          <w:szCs w:val="30"/>
        </w:rPr>
        <w:t>XX</w:t>
      </w:r>
      <w:r>
        <w:rPr>
          <w:rFonts w:hint="eastAsia"/>
          <w:sz w:val="30"/>
          <w:szCs w:val="30"/>
        </w:rPr>
        <w:t>集团公司、陈某、新月公司的再审申请。</w:t>
      </w:r>
    </w:p>
    <w:p w:rsidR="00000000" w:rsidRDefault="00B85987">
      <w:pPr>
        <w:spacing w:line="500" w:lineRule="atLeast"/>
        <w:ind w:firstLine="600"/>
        <w:divId w:val="1413117047"/>
        <w:rPr>
          <w:rFonts w:hint="eastAsia"/>
          <w:sz w:val="30"/>
          <w:szCs w:val="30"/>
        </w:rPr>
      </w:pPr>
      <w:r>
        <w:rPr>
          <w:rFonts w:hint="eastAsia"/>
          <w:sz w:val="30"/>
          <w:szCs w:val="30"/>
        </w:rPr>
        <w:t>三、关于马生辉、萍辉公司与</w:t>
      </w:r>
      <w:r>
        <w:rPr>
          <w:rFonts w:hint="eastAsia"/>
          <w:sz w:val="30"/>
          <w:szCs w:val="30"/>
        </w:rPr>
        <w:t>XX</w:t>
      </w:r>
      <w:r>
        <w:rPr>
          <w:rFonts w:hint="eastAsia"/>
          <w:sz w:val="30"/>
          <w:szCs w:val="30"/>
        </w:rPr>
        <w:t>集团公司的合同关系及从</w:t>
      </w:r>
      <w:r>
        <w:rPr>
          <w:rFonts w:hint="eastAsia"/>
          <w:sz w:val="30"/>
          <w:szCs w:val="30"/>
        </w:rPr>
        <w:t>XX</w:t>
      </w:r>
      <w:r>
        <w:rPr>
          <w:rFonts w:hint="eastAsia"/>
          <w:sz w:val="30"/>
          <w:szCs w:val="30"/>
        </w:rPr>
        <w:t>集团公司收取款项的情况。</w:t>
      </w:r>
    </w:p>
    <w:p w:rsidR="00000000" w:rsidRDefault="00B85987">
      <w:pPr>
        <w:spacing w:line="500" w:lineRule="atLeast"/>
        <w:ind w:firstLine="600"/>
        <w:divId w:val="289173411"/>
        <w:rPr>
          <w:rFonts w:hint="eastAsia"/>
          <w:sz w:val="30"/>
          <w:szCs w:val="30"/>
        </w:rPr>
      </w:pPr>
      <w:r>
        <w:rPr>
          <w:rFonts w:hint="eastAsia"/>
          <w:sz w:val="30"/>
          <w:szCs w:val="30"/>
        </w:rPr>
        <w:t>根据最高人民法院再审审查期间陈某提供的证据（由马生辉配合提交）显示：</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日，马生辉作为乙方，案外人</w:t>
      </w:r>
      <w:r>
        <w:rPr>
          <w:rFonts w:hint="eastAsia"/>
          <w:sz w:val="30"/>
          <w:szCs w:val="30"/>
        </w:rPr>
        <w:t>XX</w:t>
      </w:r>
      <w:r>
        <w:rPr>
          <w:rFonts w:hint="eastAsia"/>
          <w:sz w:val="30"/>
          <w:szCs w:val="30"/>
        </w:rPr>
        <w:t>集团公司作为甲方签订了《代理协议书》，内容涉及：甲方委托乙方作为其代理，以便在伊朗伊斯兰共和国获得相应的订单，代理期限自</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日；凡经乙方的渠道获得信息或虽通过其他渠道获得信息但由乙方跟踪而与甲方签订销售合同的（包括甲方与伊朗</w:t>
      </w:r>
      <w:r>
        <w:rPr>
          <w:rFonts w:hint="eastAsia"/>
          <w:sz w:val="30"/>
          <w:szCs w:val="30"/>
        </w:rPr>
        <w:t>OEOC</w:t>
      </w:r>
      <w:r>
        <w:rPr>
          <w:rFonts w:hint="eastAsia"/>
          <w:sz w:val="30"/>
          <w:szCs w:val="30"/>
        </w:rPr>
        <w:t>公司的合作），甲方将按合同销售价的</w:t>
      </w:r>
      <w:r>
        <w:rPr>
          <w:rFonts w:hint="eastAsia"/>
          <w:sz w:val="30"/>
          <w:szCs w:val="30"/>
        </w:rPr>
        <w:t>2.60%</w:t>
      </w:r>
      <w:r>
        <w:rPr>
          <w:rFonts w:hint="eastAsia"/>
          <w:sz w:val="30"/>
          <w:szCs w:val="30"/>
        </w:rPr>
        <w:t>向乙方支付佣金（税前）；乙方本人投资注册的公司成立后，本合同项下的权利义务转移至该公司</w:t>
      </w:r>
      <w:r>
        <w:rPr>
          <w:rFonts w:hint="eastAsia"/>
          <w:sz w:val="30"/>
          <w:szCs w:val="30"/>
        </w:rPr>
        <w:t>，由该公司向甲方出具发票，甲方将佣金支付给该公司，但付款前三方应当签订补充协议等。</w:t>
      </w:r>
    </w:p>
    <w:p w:rsidR="00000000" w:rsidRDefault="00B85987">
      <w:pPr>
        <w:spacing w:line="500" w:lineRule="atLeast"/>
        <w:ind w:firstLine="600"/>
        <w:divId w:val="1939558141"/>
        <w:rPr>
          <w:rFonts w:hint="eastAsia"/>
          <w:sz w:val="30"/>
          <w:szCs w:val="30"/>
        </w:rPr>
      </w:pPr>
      <w:r>
        <w:rPr>
          <w:rFonts w:hint="eastAsia"/>
          <w:sz w:val="30"/>
          <w:szCs w:val="30"/>
        </w:rPr>
        <w:t>萍辉公司系</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日登记设立的一人有限责任公司，股东为马生辉，公司原名为“上海霖辉贸易有限公司”，</w:t>
      </w:r>
      <w:r>
        <w:rPr>
          <w:rFonts w:hint="eastAsia"/>
          <w:sz w:val="30"/>
          <w:szCs w:val="30"/>
        </w:rPr>
        <w:t>2013</w:t>
      </w:r>
      <w:r>
        <w:rPr>
          <w:rFonts w:hint="eastAsia"/>
          <w:sz w:val="30"/>
          <w:szCs w:val="30"/>
        </w:rPr>
        <w:t>年</w:t>
      </w:r>
      <w:r>
        <w:rPr>
          <w:rFonts w:hint="eastAsia"/>
          <w:sz w:val="30"/>
          <w:szCs w:val="30"/>
        </w:rPr>
        <w:t>2</w:t>
      </w:r>
      <w:r>
        <w:rPr>
          <w:rFonts w:hint="eastAsia"/>
          <w:sz w:val="30"/>
          <w:szCs w:val="30"/>
        </w:rPr>
        <w:t>月经核准后变更为现名（为表述方便，以下均使用现名）。</w:t>
      </w:r>
    </w:p>
    <w:p w:rsidR="00000000" w:rsidRDefault="00B85987">
      <w:pPr>
        <w:spacing w:line="500" w:lineRule="atLeast"/>
        <w:ind w:firstLine="600"/>
        <w:divId w:val="1386877701"/>
        <w:rPr>
          <w:rFonts w:hint="eastAsia"/>
          <w:sz w:val="30"/>
          <w:szCs w:val="30"/>
        </w:rPr>
      </w:pPr>
      <w:r>
        <w:rPr>
          <w:rFonts w:hint="eastAsia"/>
          <w:sz w:val="30"/>
          <w:szCs w:val="30"/>
        </w:rPr>
        <w:t>萍辉公司设立后，</w:t>
      </w:r>
      <w:r>
        <w:rPr>
          <w:rFonts w:hint="eastAsia"/>
          <w:sz w:val="30"/>
          <w:szCs w:val="30"/>
        </w:rPr>
        <w:t>XX</w:t>
      </w:r>
      <w:r>
        <w:rPr>
          <w:rFonts w:hint="eastAsia"/>
          <w:sz w:val="30"/>
          <w:szCs w:val="30"/>
        </w:rPr>
        <w:t>集团公司作为甲方，马生辉作为乙方，萍辉公司作为丙方签订了《补充协议书》，内容涉及：根据甲乙双方在</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日签订的《代理协议书》之约定，三方达成补充协议；自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日起，甲乙双方于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日签订的《代理协议书》</w:t>
      </w:r>
      <w:r>
        <w:rPr>
          <w:rFonts w:hint="eastAsia"/>
          <w:sz w:val="30"/>
          <w:szCs w:val="30"/>
        </w:rPr>
        <w:t>中乙方项下的全部权利义务转移至丙方，自签字盖章之日起生效。</w:t>
      </w:r>
    </w:p>
    <w:p w:rsidR="00000000" w:rsidRDefault="00B85987">
      <w:pPr>
        <w:spacing w:line="500" w:lineRule="atLeast"/>
        <w:ind w:firstLine="600"/>
        <w:divId w:val="962148436"/>
        <w:rPr>
          <w:rFonts w:hint="eastAsia"/>
          <w:sz w:val="30"/>
          <w:szCs w:val="30"/>
        </w:rPr>
      </w:pPr>
      <w:r>
        <w:rPr>
          <w:rFonts w:hint="eastAsia"/>
          <w:sz w:val="30"/>
          <w:szCs w:val="30"/>
        </w:rPr>
        <w:t>2008</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月期间，</w:t>
      </w:r>
      <w:r>
        <w:rPr>
          <w:rFonts w:hint="eastAsia"/>
          <w:sz w:val="30"/>
          <w:szCs w:val="30"/>
        </w:rPr>
        <w:t>XX</w:t>
      </w:r>
      <w:r>
        <w:rPr>
          <w:rFonts w:hint="eastAsia"/>
          <w:sz w:val="30"/>
          <w:szCs w:val="30"/>
        </w:rPr>
        <w:t>集团公司共向萍辉公司支付了</w:t>
      </w:r>
      <w:r>
        <w:rPr>
          <w:rFonts w:hint="eastAsia"/>
          <w:sz w:val="30"/>
          <w:szCs w:val="30"/>
        </w:rPr>
        <w:t>1,450</w:t>
      </w:r>
      <w:r>
        <w:rPr>
          <w:rFonts w:hint="eastAsia"/>
          <w:sz w:val="30"/>
          <w:szCs w:val="30"/>
        </w:rPr>
        <w:t>万元。其中</w:t>
      </w:r>
      <w:r>
        <w:rPr>
          <w:rFonts w:hint="eastAsia"/>
          <w:sz w:val="30"/>
          <w:szCs w:val="30"/>
        </w:rPr>
        <w:t>XX</w:t>
      </w:r>
      <w:r>
        <w:rPr>
          <w:rFonts w:hint="eastAsia"/>
          <w:sz w:val="30"/>
          <w:szCs w:val="30"/>
        </w:rPr>
        <w:t>集团公司</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日的付款</w:t>
      </w:r>
      <w:r>
        <w:rPr>
          <w:rFonts w:hint="eastAsia"/>
          <w:sz w:val="30"/>
          <w:szCs w:val="30"/>
        </w:rPr>
        <w:t>100</w:t>
      </w:r>
      <w:r>
        <w:rPr>
          <w:rFonts w:hint="eastAsia"/>
          <w:sz w:val="30"/>
          <w:szCs w:val="30"/>
        </w:rPr>
        <w:t>万元的审批单中注明“支付</w:t>
      </w:r>
      <w:r>
        <w:rPr>
          <w:rFonts w:hint="eastAsia"/>
          <w:sz w:val="30"/>
          <w:szCs w:val="30"/>
        </w:rPr>
        <w:t>OEOC</w:t>
      </w:r>
      <w:r>
        <w:rPr>
          <w:rFonts w:hint="eastAsia"/>
          <w:sz w:val="30"/>
          <w:szCs w:val="30"/>
        </w:rPr>
        <w:t>项目代理费用”。</w:t>
      </w:r>
    </w:p>
    <w:p w:rsidR="00000000" w:rsidRDefault="00B85987">
      <w:pPr>
        <w:spacing w:line="500" w:lineRule="atLeast"/>
        <w:ind w:firstLine="600"/>
        <w:divId w:val="1954821507"/>
        <w:rPr>
          <w:rFonts w:hint="eastAsia"/>
          <w:sz w:val="30"/>
          <w:szCs w:val="30"/>
        </w:rPr>
      </w:pPr>
      <w:r>
        <w:rPr>
          <w:rFonts w:hint="eastAsia"/>
          <w:sz w:val="30"/>
          <w:szCs w:val="30"/>
        </w:rPr>
        <w:t>另外，在本案起诉状、庭前会议及法庭审理中，新月公司均表示其系依据公司法有关“归入权”的规定来主张本案权利。</w:t>
      </w:r>
    </w:p>
    <w:p w:rsidR="00000000" w:rsidRDefault="00B85987">
      <w:pPr>
        <w:spacing w:line="500" w:lineRule="atLeast"/>
        <w:ind w:firstLine="600"/>
        <w:divId w:val="2049377854"/>
        <w:rPr>
          <w:rFonts w:hint="eastAsia"/>
          <w:sz w:val="30"/>
          <w:szCs w:val="30"/>
        </w:rPr>
      </w:pPr>
      <w:r>
        <w:rPr>
          <w:rFonts w:hint="eastAsia"/>
          <w:sz w:val="30"/>
          <w:szCs w:val="30"/>
        </w:rPr>
        <w:t>一审法院认为，本案系一起损害公司利益责任纠纷，应当适用《中华人民共和国公司法》等法律法规处理本案争议。根据法律规定，当事人对自己提出的诉讼请求所依据的事实有责任提</w:t>
      </w:r>
      <w:r>
        <w:rPr>
          <w:rFonts w:hint="eastAsia"/>
          <w:sz w:val="30"/>
          <w:szCs w:val="30"/>
        </w:rPr>
        <w:t>供证据加以证明。没有证据或者证据不足以证明当事人的事实主张的，由负有举证责任的当事人承担不利后果。由于新月公司明确以“归入权”作为其提起本案诉讼的请求权基础，新月公司应对与其请求权基础有关的事实承担举证责任。本案的争议焦点在于：第一，马生辉是否属于新月公司的高级管理人员；第二，新月公司主张归入权是否合理。分述如下：</w:t>
      </w:r>
    </w:p>
    <w:p w:rsidR="00000000" w:rsidRDefault="00B85987">
      <w:pPr>
        <w:spacing w:line="500" w:lineRule="atLeast"/>
        <w:ind w:firstLine="600"/>
        <w:divId w:val="7414844"/>
        <w:rPr>
          <w:rFonts w:hint="eastAsia"/>
          <w:sz w:val="30"/>
          <w:szCs w:val="30"/>
        </w:rPr>
      </w:pPr>
      <w:r>
        <w:rPr>
          <w:rFonts w:hint="eastAsia"/>
          <w:sz w:val="30"/>
          <w:szCs w:val="30"/>
        </w:rPr>
        <w:t>第一，马生辉是否属于新月公司的高级管理人员。</w:t>
      </w:r>
    </w:p>
    <w:p w:rsidR="00000000" w:rsidRDefault="00B85987">
      <w:pPr>
        <w:spacing w:line="500" w:lineRule="atLeast"/>
        <w:ind w:firstLine="600"/>
        <w:divId w:val="341974821"/>
        <w:rPr>
          <w:rFonts w:hint="eastAsia"/>
          <w:sz w:val="30"/>
          <w:szCs w:val="30"/>
        </w:rPr>
      </w:pPr>
      <w:r>
        <w:rPr>
          <w:rFonts w:hint="eastAsia"/>
          <w:sz w:val="30"/>
          <w:szCs w:val="30"/>
        </w:rPr>
        <w:t>我国公司法第</w:t>
      </w:r>
      <w:r>
        <w:rPr>
          <w:rFonts w:hint="eastAsia"/>
          <w:sz w:val="30"/>
          <w:szCs w:val="30"/>
        </w:rPr>
        <w:t>147</w:t>
      </w:r>
      <w:r>
        <w:rPr>
          <w:rFonts w:hint="eastAsia"/>
          <w:sz w:val="30"/>
          <w:szCs w:val="30"/>
        </w:rPr>
        <w:t>条第</w:t>
      </w:r>
      <w:r>
        <w:rPr>
          <w:rFonts w:hint="eastAsia"/>
          <w:sz w:val="30"/>
          <w:szCs w:val="30"/>
        </w:rPr>
        <w:t>1</w:t>
      </w:r>
      <w:r>
        <w:rPr>
          <w:rFonts w:hint="eastAsia"/>
          <w:sz w:val="30"/>
          <w:szCs w:val="30"/>
        </w:rPr>
        <w:t>款规定“董事、监事、高级管理人员应当遵守法律、行政法规和公司章程，对公司负有忠实义务和勤勉义务”。公司法第</w:t>
      </w:r>
      <w:r>
        <w:rPr>
          <w:rFonts w:hint="eastAsia"/>
          <w:sz w:val="30"/>
          <w:szCs w:val="30"/>
        </w:rPr>
        <w:t>148</w:t>
      </w:r>
      <w:r>
        <w:rPr>
          <w:rFonts w:hint="eastAsia"/>
          <w:sz w:val="30"/>
          <w:szCs w:val="30"/>
        </w:rPr>
        <w:t>条规定，董事</w:t>
      </w:r>
      <w:r>
        <w:rPr>
          <w:rFonts w:hint="eastAsia"/>
          <w:sz w:val="30"/>
          <w:szCs w:val="30"/>
        </w:rPr>
        <w:t>、高级管理人员未经股东会或者股东大会同意，利用职务便利为自己或者他人谋取属于公司的商业机会，自营或者为他人经营与所任职公司同类的业务，所得的收入应当归公司所有等。公司法第</w:t>
      </w:r>
      <w:r>
        <w:rPr>
          <w:rFonts w:hint="eastAsia"/>
          <w:sz w:val="30"/>
          <w:szCs w:val="30"/>
        </w:rPr>
        <w:t>216</w:t>
      </w:r>
      <w:r>
        <w:rPr>
          <w:rFonts w:hint="eastAsia"/>
          <w:sz w:val="30"/>
          <w:szCs w:val="30"/>
        </w:rPr>
        <w:t>条规定，“高级管理人员”的含义是指公司的经理、副经理、财务负责人，上市公司董事会秘书和公司章程规定的其他人员。可见，公司法主要是通过“职位”或者“职务”来界定公司高管的范围。根据本案查明的事实，马生辉并非新月公司股东、董事、监事，新月公司与马生辉也均确认马生辉并不具有公司法或新月公司章程规定的高级管理人员职位或职务。因此，从公司法或公</w:t>
      </w:r>
      <w:r>
        <w:rPr>
          <w:rFonts w:hint="eastAsia"/>
          <w:sz w:val="30"/>
          <w:szCs w:val="30"/>
        </w:rPr>
        <w:t>司章程规定的职务角度来看，马生辉并非新月公司的高级管理人员。但是，由于商事主体在市场经营过程中，可能会出现“高管职权”与“高管职务”错位的情况，因此，还需审查马生辉是否实际行使了新月公司高管的职权。新月公司主张马生辉实际是公司经理，并行使了高管职权，对此新月公司应当承担举证责任。新月公司的章程规定“经理由股东会聘任，对股东会负责，行使的职权包括主持公司的生产经营管理工作，组织实施股东会决议，组织实施公司年度经营计划和投资方案，拟订公司内部管理机构设置方案，拟订公司的基本管理制度，制定公司的具体规章，聘任或者</w:t>
      </w:r>
      <w:r>
        <w:rPr>
          <w:rFonts w:hint="eastAsia"/>
          <w:sz w:val="30"/>
          <w:szCs w:val="30"/>
        </w:rPr>
        <w:t>解聘公司副经理、财务负责人，聘任或者解聘应由股东会聘任或者解聘以外的负责管理人员”，而从现有证据来看，马生辉仅仅是“驻伊朗代表处”的总代表、经理，无任何证据证明马生辉曾经行使过上述新月公司经理的职权。根据双方《合作协议》的约定，马生辉应履行本职工作，尽职尽责认真完成新月公司交办的工作，协调与伊朗各部门的友谊和业务事宜，促使合作项目顺利进行，并在开展业务过程中及时向北京总部汇报工作。从上述协议来看，马生辉只是负责伊朗代表处具体工作事务的执行，对公司事务没有管理职权或决定权，且其负责的伊朗代表处的有关工作还需向</w:t>
      </w:r>
      <w:r>
        <w:rPr>
          <w:rFonts w:hint="eastAsia"/>
          <w:sz w:val="30"/>
          <w:szCs w:val="30"/>
        </w:rPr>
        <w:t>北京总部汇报。按照约定，马生辉只是新月公司一个派出机构的负责人，享有按约定收取提成款的权利。因此，马生辉既不具有新月公司高级管理人员的职位，也未行使过新月公司高级管理人员的职权，不属于法律和章程规定的公司高级管理人员，也不属于法律规定的“归入权”义务主体。新月公司以归入权为请求权基础提起的诉讼请求，难以支持。</w:t>
      </w:r>
    </w:p>
    <w:p w:rsidR="00000000" w:rsidRDefault="00B85987">
      <w:pPr>
        <w:spacing w:line="500" w:lineRule="atLeast"/>
        <w:ind w:firstLine="600"/>
        <w:divId w:val="1495991175"/>
        <w:rPr>
          <w:rFonts w:hint="eastAsia"/>
          <w:sz w:val="30"/>
          <w:szCs w:val="30"/>
        </w:rPr>
      </w:pPr>
      <w:r>
        <w:rPr>
          <w:rFonts w:hint="eastAsia"/>
          <w:sz w:val="30"/>
          <w:szCs w:val="30"/>
        </w:rPr>
        <w:t>第二，新月公司主张行使归入权是否合理。</w:t>
      </w:r>
    </w:p>
    <w:p w:rsidR="00000000" w:rsidRDefault="00B85987">
      <w:pPr>
        <w:spacing w:line="500" w:lineRule="atLeast"/>
        <w:ind w:firstLine="600"/>
        <w:divId w:val="1564215961"/>
        <w:rPr>
          <w:rFonts w:hint="eastAsia"/>
          <w:sz w:val="30"/>
          <w:szCs w:val="30"/>
        </w:rPr>
      </w:pPr>
      <w:r>
        <w:rPr>
          <w:rFonts w:hint="eastAsia"/>
          <w:sz w:val="30"/>
          <w:szCs w:val="30"/>
        </w:rPr>
        <w:t>“归入权”就其基础性质而言，也属于侵权损害赔偿。尽管最高人民法院在（</w:t>
      </w:r>
      <w:r>
        <w:rPr>
          <w:rFonts w:hint="eastAsia"/>
          <w:sz w:val="30"/>
          <w:szCs w:val="30"/>
        </w:rPr>
        <w:t>2015</w:t>
      </w:r>
      <w:r>
        <w:rPr>
          <w:rFonts w:hint="eastAsia"/>
          <w:sz w:val="30"/>
          <w:szCs w:val="30"/>
        </w:rPr>
        <w:t>）民申字第</w:t>
      </w:r>
      <w:r>
        <w:rPr>
          <w:rFonts w:hint="eastAsia"/>
          <w:sz w:val="30"/>
          <w:szCs w:val="30"/>
        </w:rPr>
        <w:t>1518</w:t>
      </w:r>
      <w:r>
        <w:rPr>
          <w:rFonts w:hint="eastAsia"/>
          <w:sz w:val="30"/>
          <w:szCs w:val="30"/>
        </w:rPr>
        <w:t>号民事裁定中认为</w:t>
      </w:r>
      <w:r>
        <w:rPr>
          <w:rFonts w:hint="eastAsia"/>
          <w:sz w:val="30"/>
          <w:szCs w:val="30"/>
        </w:rPr>
        <w:t>XX</w:t>
      </w:r>
      <w:r>
        <w:rPr>
          <w:rFonts w:hint="eastAsia"/>
          <w:sz w:val="30"/>
          <w:szCs w:val="30"/>
        </w:rPr>
        <w:t>集团公司还存在利用其便利与新月公司的前雇员联络</w:t>
      </w:r>
      <w:r>
        <w:rPr>
          <w:rFonts w:hint="eastAsia"/>
          <w:sz w:val="30"/>
          <w:szCs w:val="30"/>
        </w:rPr>
        <w:t>的行为，但认为北京市高院的判决并无不当。新月公司在与</w:t>
      </w:r>
      <w:r>
        <w:rPr>
          <w:rFonts w:hint="eastAsia"/>
          <w:sz w:val="30"/>
          <w:szCs w:val="30"/>
        </w:rPr>
        <w:t>XX</w:t>
      </w:r>
      <w:r>
        <w:rPr>
          <w:rFonts w:hint="eastAsia"/>
          <w:sz w:val="30"/>
          <w:szCs w:val="30"/>
        </w:rPr>
        <w:t>集团公司和陈某以及上海</w:t>
      </w:r>
      <w:r>
        <w:rPr>
          <w:rFonts w:hint="eastAsia"/>
          <w:sz w:val="30"/>
          <w:szCs w:val="30"/>
        </w:rPr>
        <w:t>C</w:t>
      </w:r>
      <w:r>
        <w:rPr>
          <w:rFonts w:hint="eastAsia"/>
          <w:sz w:val="30"/>
          <w:szCs w:val="30"/>
        </w:rPr>
        <w:t>公司的诉讼和仲裁过程中，已经通过诉讼和仲裁获得了相应的赔偿，且在新月公司诉</w:t>
      </w:r>
      <w:r>
        <w:rPr>
          <w:rFonts w:hint="eastAsia"/>
          <w:sz w:val="30"/>
          <w:szCs w:val="30"/>
        </w:rPr>
        <w:t>XX</w:t>
      </w:r>
      <w:r>
        <w:rPr>
          <w:rFonts w:hint="eastAsia"/>
          <w:sz w:val="30"/>
          <w:szCs w:val="30"/>
        </w:rPr>
        <w:t>集团公司和陈某侵害其商业秘密的案件中，北京市高院在二审文书中对于损失的金额特意进行了调减，并进行了充分的论证，认为新月公司的损失已经完全可以得到弥补，在此不再赘述。现上述案件已经执行完毕，款项全部执行到位。如果新月公司主张对于本案系争的</w:t>
      </w:r>
      <w:r>
        <w:rPr>
          <w:rFonts w:hint="eastAsia"/>
          <w:sz w:val="30"/>
          <w:szCs w:val="30"/>
        </w:rPr>
        <w:t>1,450</w:t>
      </w:r>
      <w:r>
        <w:rPr>
          <w:rFonts w:hint="eastAsia"/>
          <w:sz w:val="30"/>
          <w:szCs w:val="30"/>
        </w:rPr>
        <w:t>万元行使归入权，将会导致其获得远远超过因合同履行而获得的预期利益。因此，新月公司主张行使归入权也不具有合理性</w:t>
      </w:r>
      <w:r>
        <w:rPr>
          <w:rFonts w:hint="eastAsia"/>
          <w:sz w:val="30"/>
          <w:szCs w:val="30"/>
        </w:rPr>
        <w:t>。</w:t>
      </w:r>
    </w:p>
    <w:p w:rsidR="00000000" w:rsidRDefault="00B85987">
      <w:pPr>
        <w:spacing w:line="500" w:lineRule="atLeast"/>
        <w:ind w:firstLine="600"/>
        <w:divId w:val="519246800"/>
        <w:rPr>
          <w:rFonts w:hint="eastAsia"/>
          <w:sz w:val="30"/>
          <w:szCs w:val="30"/>
        </w:rPr>
      </w:pPr>
      <w:r>
        <w:rPr>
          <w:rFonts w:hint="eastAsia"/>
          <w:sz w:val="30"/>
          <w:szCs w:val="30"/>
        </w:rPr>
        <w:t>一审法院判决：一、驳回新月公司的诉讼请求；二、案件受理费</w:t>
      </w:r>
      <w:r>
        <w:rPr>
          <w:rFonts w:hint="eastAsia"/>
          <w:sz w:val="30"/>
          <w:szCs w:val="30"/>
        </w:rPr>
        <w:t>110,600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115,600</w:t>
      </w:r>
      <w:r>
        <w:rPr>
          <w:rFonts w:hint="eastAsia"/>
          <w:sz w:val="30"/>
          <w:szCs w:val="30"/>
        </w:rPr>
        <w:t>元，由新月公司负担。</w:t>
      </w:r>
    </w:p>
    <w:p w:rsidR="00000000" w:rsidRDefault="00B85987">
      <w:pPr>
        <w:spacing w:line="500" w:lineRule="atLeast"/>
        <w:ind w:firstLine="600"/>
        <w:divId w:val="358821453"/>
        <w:rPr>
          <w:rFonts w:hint="eastAsia"/>
          <w:sz w:val="30"/>
          <w:szCs w:val="30"/>
        </w:rPr>
      </w:pPr>
      <w:r>
        <w:rPr>
          <w:rFonts w:hint="eastAsia"/>
          <w:sz w:val="30"/>
          <w:szCs w:val="30"/>
        </w:rPr>
        <w:t>本院二审期间，新月公司围绕其上诉请求依法提交新证据：</w:t>
      </w:r>
      <w:r>
        <w:rPr>
          <w:rFonts w:hint="eastAsia"/>
          <w:sz w:val="30"/>
          <w:szCs w:val="30"/>
        </w:rPr>
        <w:t>1</w:t>
      </w:r>
      <w:r>
        <w:rPr>
          <w:rFonts w:hint="eastAsia"/>
          <w:sz w:val="30"/>
          <w:szCs w:val="30"/>
        </w:rPr>
        <w:t>、新月公司致伊朗国家议会议员的传真；</w:t>
      </w:r>
      <w:r>
        <w:rPr>
          <w:rFonts w:hint="eastAsia"/>
          <w:sz w:val="30"/>
          <w:szCs w:val="30"/>
        </w:rPr>
        <w:t>2</w:t>
      </w:r>
      <w:r>
        <w:rPr>
          <w:rFonts w:hint="eastAsia"/>
          <w:sz w:val="30"/>
          <w:szCs w:val="30"/>
        </w:rPr>
        <w:t>、伊朗国家议会议员的回复；</w:t>
      </w:r>
      <w:r>
        <w:rPr>
          <w:rFonts w:hint="eastAsia"/>
          <w:sz w:val="30"/>
          <w:szCs w:val="30"/>
        </w:rPr>
        <w:t>3</w:t>
      </w:r>
      <w:r>
        <w:rPr>
          <w:rFonts w:hint="eastAsia"/>
          <w:sz w:val="30"/>
          <w:szCs w:val="30"/>
        </w:rPr>
        <w:t>、伊朗</w:t>
      </w:r>
      <w:r>
        <w:rPr>
          <w:rFonts w:hint="eastAsia"/>
          <w:sz w:val="30"/>
          <w:szCs w:val="30"/>
        </w:rPr>
        <w:t>OEOC</w:t>
      </w:r>
      <w:r>
        <w:rPr>
          <w:rFonts w:hint="eastAsia"/>
          <w:sz w:val="30"/>
          <w:szCs w:val="30"/>
        </w:rPr>
        <w:t>公司致大连</w:t>
      </w:r>
      <w:r>
        <w:rPr>
          <w:rFonts w:hint="eastAsia"/>
          <w:sz w:val="30"/>
          <w:szCs w:val="30"/>
        </w:rPr>
        <w:t>XX</w:t>
      </w:r>
      <w:r>
        <w:rPr>
          <w:rFonts w:hint="eastAsia"/>
          <w:sz w:val="30"/>
          <w:szCs w:val="30"/>
        </w:rPr>
        <w:t>厂的信函；</w:t>
      </w:r>
      <w:r>
        <w:rPr>
          <w:rFonts w:hint="eastAsia"/>
          <w:sz w:val="30"/>
          <w:szCs w:val="30"/>
        </w:rPr>
        <w:t>4</w:t>
      </w:r>
      <w:r>
        <w:rPr>
          <w:rFonts w:hint="eastAsia"/>
          <w:sz w:val="30"/>
          <w:szCs w:val="30"/>
        </w:rPr>
        <w:t>、大连</w:t>
      </w:r>
      <w:r>
        <w:rPr>
          <w:rFonts w:hint="eastAsia"/>
          <w:sz w:val="30"/>
          <w:szCs w:val="30"/>
        </w:rPr>
        <w:t>E</w:t>
      </w:r>
      <w:r>
        <w:rPr>
          <w:rFonts w:hint="eastAsia"/>
          <w:sz w:val="30"/>
          <w:szCs w:val="30"/>
        </w:rPr>
        <w:t>有限公司给新月公司的授权书；</w:t>
      </w:r>
      <w:r>
        <w:rPr>
          <w:rFonts w:hint="eastAsia"/>
          <w:sz w:val="30"/>
          <w:szCs w:val="30"/>
        </w:rPr>
        <w:t>5</w:t>
      </w:r>
      <w:r>
        <w:rPr>
          <w:rFonts w:hint="eastAsia"/>
          <w:sz w:val="30"/>
          <w:szCs w:val="30"/>
        </w:rPr>
        <w:t>、大连</w:t>
      </w:r>
      <w:r>
        <w:rPr>
          <w:rFonts w:hint="eastAsia"/>
          <w:sz w:val="30"/>
          <w:szCs w:val="30"/>
        </w:rPr>
        <w:t>E</w:t>
      </w:r>
      <w:r>
        <w:rPr>
          <w:rFonts w:hint="eastAsia"/>
          <w:sz w:val="30"/>
          <w:szCs w:val="30"/>
        </w:rPr>
        <w:t>有限公司致</w:t>
      </w:r>
      <w:r>
        <w:rPr>
          <w:rFonts w:hint="eastAsia"/>
          <w:sz w:val="30"/>
          <w:szCs w:val="30"/>
        </w:rPr>
        <w:t>Z</w:t>
      </w:r>
      <w:r>
        <w:rPr>
          <w:rFonts w:hint="eastAsia"/>
          <w:sz w:val="30"/>
          <w:szCs w:val="30"/>
        </w:rPr>
        <w:t>公司的传真；</w:t>
      </w:r>
      <w:r>
        <w:rPr>
          <w:rFonts w:hint="eastAsia"/>
          <w:sz w:val="30"/>
          <w:szCs w:val="30"/>
        </w:rPr>
        <w:t>6</w:t>
      </w:r>
      <w:r>
        <w:rPr>
          <w:rFonts w:hint="eastAsia"/>
          <w:sz w:val="30"/>
          <w:szCs w:val="30"/>
        </w:rPr>
        <w:t>、大连</w:t>
      </w:r>
      <w:r>
        <w:rPr>
          <w:rFonts w:hint="eastAsia"/>
          <w:sz w:val="30"/>
          <w:szCs w:val="30"/>
        </w:rPr>
        <w:t>E</w:t>
      </w:r>
      <w:r>
        <w:rPr>
          <w:rFonts w:hint="eastAsia"/>
          <w:sz w:val="30"/>
          <w:szCs w:val="30"/>
        </w:rPr>
        <w:t>有限公司致</w:t>
      </w:r>
      <w:r>
        <w:rPr>
          <w:rFonts w:hint="eastAsia"/>
          <w:sz w:val="30"/>
          <w:szCs w:val="30"/>
        </w:rPr>
        <w:t>Z</w:t>
      </w:r>
      <w:r>
        <w:rPr>
          <w:rFonts w:hint="eastAsia"/>
          <w:sz w:val="30"/>
          <w:szCs w:val="30"/>
        </w:rPr>
        <w:t>公司的工程建议书，以证实马生辉的不忠实导致新月公司另一重要业务落空，损失无法估量。萍辉公司、马生辉质证后认为，对上述证</w:t>
      </w:r>
      <w:r>
        <w:rPr>
          <w:rFonts w:hint="eastAsia"/>
          <w:sz w:val="30"/>
          <w:szCs w:val="30"/>
        </w:rPr>
        <w:t>据的真实性均不予确认，亦与本案及马生辉无关。</w:t>
      </w:r>
    </w:p>
    <w:p w:rsidR="00000000" w:rsidRDefault="00B85987">
      <w:pPr>
        <w:spacing w:line="500" w:lineRule="atLeast"/>
        <w:ind w:firstLine="600"/>
        <w:divId w:val="1422988750"/>
        <w:rPr>
          <w:rFonts w:hint="eastAsia"/>
          <w:sz w:val="30"/>
          <w:szCs w:val="30"/>
        </w:rPr>
      </w:pPr>
      <w:r>
        <w:rPr>
          <w:rFonts w:hint="eastAsia"/>
          <w:sz w:val="30"/>
          <w:szCs w:val="30"/>
        </w:rPr>
        <w:t>二审中，马生辉、萍辉公司没有提交新证据。</w:t>
      </w:r>
    </w:p>
    <w:p w:rsidR="00000000" w:rsidRDefault="00B85987">
      <w:pPr>
        <w:spacing w:line="500" w:lineRule="atLeast"/>
        <w:ind w:firstLine="600"/>
        <w:divId w:val="2075657823"/>
        <w:rPr>
          <w:rFonts w:hint="eastAsia"/>
          <w:sz w:val="30"/>
          <w:szCs w:val="30"/>
        </w:rPr>
      </w:pPr>
      <w:r>
        <w:rPr>
          <w:rFonts w:hint="eastAsia"/>
          <w:sz w:val="30"/>
          <w:szCs w:val="30"/>
        </w:rPr>
        <w:t>二审中，中国</w:t>
      </w:r>
      <w:r>
        <w:rPr>
          <w:rFonts w:hint="eastAsia"/>
          <w:sz w:val="30"/>
          <w:szCs w:val="30"/>
        </w:rPr>
        <w:t>XX</w:t>
      </w:r>
      <w:r>
        <w:rPr>
          <w:rFonts w:hint="eastAsia"/>
          <w:sz w:val="30"/>
          <w:szCs w:val="30"/>
        </w:rPr>
        <w:t>大学法律应用研究中心受新月公司的委托，向本院邮寄了一份《关于北京新月长城投资管理有限公司诉马生辉、上海萍辉石油工程服务有限公司归入权纠纷案专家论证法律意见书》。</w:t>
      </w:r>
    </w:p>
    <w:p w:rsidR="00000000" w:rsidRDefault="00B85987">
      <w:pPr>
        <w:spacing w:line="500" w:lineRule="atLeast"/>
        <w:ind w:firstLine="600"/>
        <w:divId w:val="2136755076"/>
        <w:rPr>
          <w:rFonts w:hint="eastAsia"/>
          <w:sz w:val="30"/>
          <w:szCs w:val="30"/>
        </w:rPr>
      </w:pPr>
      <w:r>
        <w:rPr>
          <w:rFonts w:hint="eastAsia"/>
          <w:sz w:val="30"/>
          <w:szCs w:val="30"/>
        </w:rPr>
        <w:t>一审法院查明的本案事实属实，本院予以确认。</w:t>
      </w:r>
    </w:p>
    <w:p w:rsidR="00000000" w:rsidRDefault="00B85987">
      <w:pPr>
        <w:spacing w:line="500" w:lineRule="atLeast"/>
        <w:ind w:firstLine="600"/>
        <w:divId w:val="848494953"/>
        <w:rPr>
          <w:rFonts w:hint="eastAsia"/>
          <w:sz w:val="30"/>
          <w:szCs w:val="30"/>
        </w:rPr>
      </w:pPr>
      <w:r>
        <w:rPr>
          <w:rFonts w:hint="eastAsia"/>
          <w:sz w:val="30"/>
          <w:szCs w:val="30"/>
        </w:rPr>
        <w:t>本院认为，新月公司作为原审原告，在一、二审期间均明确其请求权基础是《中华人民共和国公司法》第一百四十八条规定的公司归入权。理论上，归入权是法律赋予公司的特别救济权，不以公司对公司内部人违反法定义务所获得</w:t>
      </w:r>
      <w:r>
        <w:rPr>
          <w:rFonts w:hint="eastAsia"/>
          <w:sz w:val="30"/>
          <w:szCs w:val="30"/>
        </w:rPr>
        <w:t>的利益拥有所有权为前提条件；法律上，公司法第一百四十八条将“公司内部的义务人”或者说对公司负有忠实义务的责任主体明确界定为公司的董事、高级管理人员。结合案件的诉辩事实，本案的首要争议就是确定马生辉是否为新月公司的高级管理人员。</w:t>
      </w:r>
    </w:p>
    <w:p w:rsidR="00000000" w:rsidRDefault="00B85987">
      <w:pPr>
        <w:spacing w:line="500" w:lineRule="atLeast"/>
        <w:ind w:firstLine="600"/>
        <w:divId w:val="269557582"/>
        <w:rPr>
          <w:rFonts w:hint="eastAsia"/>
          <w:sz w:val="30"/>
          <w:szCs w:val="30"/>
        </w:rPr>
      </w:pPr>
      <w:r>
        <w:rPr>
          <w:rFonts w:hint="eastAsia"/>
          <w:sz w:val="30"/>
          <w:szCs w:val="30"/>
        </w:rPr>
        <w:t>首先，公司法第二百一十六条规定，“高级管理人员”的含义是指公司的经理、副经理、财务负责人，上市公司董事会秘书和公司章程规定的其他人员。新月公司二审确认，马生辉是新月公司聘任的驻伊朗代表处的总代表、经理，而非新月公司的经理，新月公司的章程及客观上的经理、执行董事为一人，即公司的法定代表</w:t>
      </w:r>
      <w:r>
        <w:rPr>
          <w:rFonts w:hint="eastAsia"/>
          <w:sz w:val="30"/>
          <w:szCs w:val="30"/>
        </w:rPr>
        <w:t>人，但马生辉在口头上及对外称呼上是新月公司的副总经理，享受副总经理的待遇；其次，案件事实反映并经新月公司确认，马生辉与新月公司之间没有正式的劳动合同关系，新月公司出具的《终止、解除劳动合同书》、《解除劳动合同证明》均没有基础事实，仅为用于解除马生辉驻伊朗代表处总代表、经理的职务；再次，马生辉个人与新月公司之间订有《合作协议》，协议约定马生辉应履行本职工作，尽职尽责认真完成新月公司交办的工作，协调与伊朗各部门的友谊和业务事宜，促使合作项目顺利进行，并在开展业务过程中及时向北京总部汇报工作。从上述协议来看，马生</w:t>
      </w:r>
      <w:r>
        <w:rPr>
          <w:rFonts w:hint="eastAsia"/>
          <w:sz w:val="30"/>
          <w:szCs w:val="30"/>
        </w:rPr>
        <w:t>辉的职权范围明确限定于负责、执行伊朗代表处的工作事务，同时依约收取项目的效益佣金和业务提成，对新月公司的整体经营管理不享有任何职权，据此可以确定马生辉只是作为新月公司雇佣的一个驻外机构及特定项目的执行负责人；最后，关于马生辉是否实际行使了新月公司高级管理人员的职权，对此新月公司应当承担必要的举证责任。就新月公司举证的马生辉任职期间的所作所为，包括参与伊朗项目的联络、洽谈、签约等活动，均未超出马生辉作为新月公司驻伊朗代表处总代表、经理的职责范围。伊朗项目是否为公司的核心业务，属于新月公司内部的、某个经营期间的</w:t>
      </w:r>
      <w:r>
        <w:rPr>
          <w:rFonts w:hint="eastAsia"/>
          <w:sz w:val="30"/>
          <w:szCs w:val="30"/>
        </w:rPr>
        <w:t>评估结果，不能以此作为衡量参与项目的负责人即为公司高级管理人员的定性标准。另外，因新月公司的商业秘密被非法侵害，其合法权益已经生效判决获得赔偿，马生辉亦非该案件新月公司起诉并经依法认定的侵害主体之一。</w:t>
      </w:r>
    </w:p>
    <w:p w:rsidR="00000000" w:rsidRDefault="00B85987">
      <w:pPr>
        <w:spacing w:line="500" w:lineRule="atLeast"/>
        <w:ind w:firstLine="600"/>
        <w:divId w:val="106505827"/>
        <w:rPr>
          <w:rFonts w:hint="eastAsia"/>
          <w:sz w:val="30"/>
          <w:szCs w:val="30"/>
        </w:rPr>
      </w:pPr>
      <w:r>
        <w:rPr>
          <w:rFonts w:hint="eastAsia"/>
          <w:sz w:val="30"/>
          <w:szCs w:val="30"/>
        </w:rPr>
        <w:t>综合本案查明的事实，本院认为，马生辉既非新月公司章程确定的股东、董事、监事，同时也不具有公司法或新月公司章程规定的高级管理人员职位或职权，依法不能界定其为新月公司的高级管理人员。因此，依据公司法第一百四十八条之规定，马生辉不是公司归入权的义务人，新月公司以归入权向马生辉提起的诉讼请求，本院不予支持。</w:t>
      </w:r>
    </w:p>
    <w:p w:rsidR="00000000" w:rsidRDefault="00B85987">
      <w:pPr>
        <w:spacing w:line="500" w:lineRule="atLeast"/>
        <w:ind w:firstLine="600"/>
        <w:divId w:val="869686719"/>
        <w:rPr>
          <w:rFonts w:hint="eastAsia"/>
          <w:sz w:val="30"/>
          <w:szCs w:val="30"/>
        </w:rPr>
      </w:pPr>
      <w:r>
        <w:rPr>
          <w:rFonts w:hint="eastAsia"/>
          <w:sz w:val="30"/>
          <w:szCs w:val="30"/>
        </w:rPr>
        <w:t>综上所述</w:t>
      </w:r>
      <w:r>
        <w:rPr>
          <w:rFonts w:hint="eastAsia"/>
          <w:sz w:val="30"/>
          <w:szCs w:val="30"/>
        </w:rPr>
        <w:t>，新月公司的上诉请求不能成立，应予驳回；一审判决认定事实清楚，适用法律基本正确，应予维持。依照《中华人民共和国民事诉讼法》第一百七十条第一款第（一）项、第一百七十五条及第一百一十八条之规定，判决如下：</w:t>
      </w:r>
    </w:p>
    <w:p w:rsidR="00000000" w:rsidRDefault="00B85987">
      <w:pPr>
        <w:spacing w:line="500" w:lineRule="atLeast"/>
        <w:ind w:firstLine="600"/>
        <w:divId w:val="113327431"/>
        <w:rPr>
          <w:rFonts w:hint="eastAsia"/>
          <w:sz w:val="30"/>
          <w:szCs w:val="30"/>
        </w:rPr>
      </w:pPr>
      <w:r>
        <w:rPr>
          <w:rFonts w:hint="eastAsia"/>
          <w:sz w:val="30"/>
          <w:szCs w:val="30"/>
        </w:rPr>
        <w:t>驳回上诉，维持原判。</w:t>
      </w:r>
    </w:p>
    <w:p w:rsidR="00000000" w:rsidRDefault="00B85987">
      <w:pPr>
        <w:spacing w:line="500" w:lineRule="atLeast"/>
        <w:ind w:firstLine="600"/>
        <w:divId w:val="1543009764"/>
        <w:rPr>
          <w:rFonts w:hint="eastAsia"/>
          <w:sz w:val="30"/>
          <w:szCs w:val="30"/>
        </w:rPr>
      </w:pPr>
      <w:r>
        <w:rPr>
          <w:rFonts w:hint="eastAsia"/>
          <w:sz w:val="30"/>
          <w:szCs w:val="30"/>
        </w:rPr>
        <w:t>本案二审案件受理费为人民币</w:t>
      </w:r>
      <w:r>
        <w:rPr>
          <w:rFonts w:hint="eastAsia"/>
          <w:sz w:val="30"/>
          <w:szCs w:val="30"/>
        </w:rPr>
        <w:t>110,600</w:t>
      </w:r>
      <w:r>
        <w:rPr>
          <w:rFonts w:hint="eastAsia"/>
          <w:sz w:val="30"/>
          <w:szCs w:val="30"/>
        </w:rPr>
        <w:t>元，由上诉人北京新月长城投资管理有限公司负担。</w:t>
      </w:r>
    </w:p>
    <w:p w:rsidR="00000000" w:rsidRDefault="00B85987">
      <w:pPr>
        <w:spacing w:line="500" w:lineRule="atLeast"/>
        <w:ind w:firstLine="600"/>
        <w:divId w:val="1749157090"/>
        <w:rPr>
          <w:rFonts w:hint="eastAsia"/>
          <w:sz w:val="30"/>
          <w:szCs w:val="30"/>
        </w:rPr>
      </w:pPr>
      <w:r>
        <w:rPr>
          <w:rFonts w:hint="eastAsia"/>
          <w:sz w:val="30"/>
          <w:szCs w:val="30"/>
        </w:rPr>
        <w:t>本判决为终审判决。</w:t>
      </w:r>
    </w:p>
    <w:p w:rsidR="00000000" w:rsidRDefault="00B85987">
      <w:pPr>
        <w:spacing w:line="500" w:lineRule="atLeast"/>
        <w:jc w:val="right"/>
        <w:divId w:val="1638335709"/>
        <w:rPr>
          <w:rFonts w:hint="eastAsia"/>
          <w:sz w:val="30"/>
          <w:szCs w:val="30"/>
        </w:rPr>
      </w:pPr>
      <w:r>
        <w:rPr>
          <w:rFonts w:hint="eastAsia"/>
          <w:sz w:val="30"/>
          <w:szCs w:val="30"/>
        </w:rPr>
        <w:t>审判长　　严耿斌</w:t>
      </w:r>
    </w:p>
    <w:p w:rsidR="00000000" w:rsidRDefault="00B85987">
      <w:pPr>
        <w:spacing w:line="500" w:lineRule="atLeast"/>
        <w:jc w:val="right"/>
        <w:divId w:val="665288089"/>
        <w:rPr>
          <w:rFonts w:hint="eastAsia"/>
          <w:sz w:val="30"/>
          <w:szCs w:val="30"/>
        </w:rPr>
      </w:pPr>
      <w:r>
        <w:rPr>
          <w:rFonts w:hint="eastAsia"/>
          <w:sz w:val="30"/>
          <w:szCs w:val="30"/>
        </w:rPr>
        <w:t>审判员　　季伟伟</w:t>
      </w:r>
    </w:p>
    <w:p w:rsidR="00000000" w:rsidRDefault="00B85987">
      <w:pPr>
        <w:spacing w:line="500" w:lineRule="atLeast"/>
        <w:jc w:val="right"/>
        <w:divId w:val="1978414304"/>
        <w:rPr>
          <w:rFonts w:hint="eastAsia"/>
          <w:sz w:val="30"/>
          <w:szCs w:val="30"/>
        </w:rPr>
      </w:pPr>
      <w:r>
        <w:rPr>
          <w:rFonts w:hint="eastAsia"/>
          <w:sz w:val="30"/>
          <w:szCs w:val="30"/>
        </w:rPr>
        <w:t>审判员　　刘　雯</w:t>
      </w:r>
    </w:p>
    <w:p w:rsidR="00000000" w:rsidRDefault="00B85987">
      <w:pPr>
        <w:spacing w:line="500" w:lineRule="atLeast"/>
        <w:jc w:val="right"/>
        <w:divId w:val="235092684"/>
        <w:rPr>
          <w:rFonts w:hint="eastAsia"/>
          <w:sz w:val="30"/>
          <w:szCs w:val="30"/>
        </w:rPr>
      </w:pPr>
      <w:r>
        <w:rPr>
          <w:rFonts w:hint="eastAsia"/>
          <w:sz w:val="30"/>
          <w:szCs w:val="30"/>
        </w:rPr>
        <w:t>二〇一八年一月八日</w:t>
      </w:r>
    </w:p>
    <w:p w:rsidR="00000000" w:rsidRDefault="00B85987">
      <w:pPr>
        <w:spacing w:line="500" w:lineRule="atLeast"/>
        <w:jc w:val="right"/>
        <w:divId w:val="904267931"/>
        <w:rPr>
          <w:rFonts w:hint="eastAsia"/>
          <w:sz w:val="30"/>
          <w:szCs w:val="30"/>
        </w:rPr>
      </w:pPr>
      <w:r>
        <w:rPr>
          <w:rFonts w:hint="eastAsia"/>
          <w:sz w:val="30"/>
          <w:szCs w:val="30"/>
        </w:rPr>
        <w:t>书记员　　郑雯晴</w:t>
      </w:r>
    </w:p>
    <w:p w:rsidR="00000000" w:rsidRDefault="00B85987">
      <w:pPr>
        <w:spacing w:line="500" w:lineRule="atLeast"/>
        <w:ind w:firstLine="600"/>
        <w:divId w:val="909265565"/>
        <w:rPr>
          <w:rFonts w:hint="eastAsia"/>
          <w:sz w:val="30"/>
          <w:szCs w:val="30"/>
        </w:rPr>
      </w:pPr>
      <w:r>
        <w:rPr>
          <w:rFonts w:hint="eastAsia"/>
          <w:sz w:val="30"/>
          <w:szCs w:val="30"/>
        </w:rPr>
        <w:t>附：相关法律条文</w:t>
      </w:r>
    </w:p>
    <w:p w:rsidR="00000000" w:rsidRDefault="00B85987">
      <w:pPr>
        <w:spacing w:line="500" w:lineRule="atLeast"/>
        <w:ind w:firstLine="600"/>
        <w:divId w:val="207227325"/>
        <w:rPr>
          <w:rFonts w:hint="eastAsia"/>
          <w:sz w:val="30"/>
          <w:szCs w:val="30"/>
        </w:rPr>
      </w:pPr>
      <w:r>
        <w:rPr>
          <w:rFonts w:hint="eastAsia"/>
          <w:sz w:val="30"/>
          <w:szCs w:val="30"/>
        </w:rPr>
        <w:t>一、《中华人民共和国民事诉讼法》第一百七十条第二审人民法院对上诉案件，经过审理，按照下列情形，分别处理：（一）原判决、裁定认定事实清楚，适用法律正确的，以判决、裁定方式驳回上诉，维持原判决、裁定；……二、《中华人民共和国民事诉讼法》第一百七十五条第二审人民法院的判决、裁定，是终审的判决、裁定。三、《中华人民共和国民事诉讼法》第一百一十八条当事人进行民事诉讼，应当按照规定交纳案件受理费。财产案件除交纳案件受理费外，并按照规定交纳其他诉讼费用。当事人交纳诉讼费用确有困难的，可以按照规定向人民法院申请缓交、减交或</w:t>
      </w:r>
      <w:r>
        <w:rPr>
          <w:rFonts w:hint="eastAsia"/>
          <w:sz w:val="30"/>
          <w:szCs w:val="30"/>
        </w:rPr>
        <w:t>者免交。收取诉讼费用的办法另行制定。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987" w:rsidRDefault="00B85987" w:rsidP="00B85987">
      <w:r>
        <w:separator/>
      </w:r>
    </w:p>
  </w:endnote>
  <w:endnote w:type="continuationSeparator" w:id="0">
    <w:p w:rsidR="00B85987" w:rsidRDefault="00B85987" w:rsidP="00B8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987" w:rsidRDefault="00B85987" w:rsidP="00B85987">
      <w:r>
        <w:separator/>
      </w:r>
    </w:p>
  </w:footnote>
  <w:footnote w:type="continuationSeparator" w:id="0">
    <w:p w:rsidR="00B85987" w:rsidRDefault="00B85987" w:rsidP="00B85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5987"/>
    <w:rsid w:val="00B8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859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5987"/>
    <w:rPr>
      <w:rFonts w:ascii="宋体" w:eastAsia="宋体" w:hAnsi="宋体" w:cs="宋体"/>
      <w:sz w:val="18"/>
      <w:szCs w:val="18"/>
    </w:rPr>
  </w:style>
  <w:style w:type="paragraph" w:styleId="a5">
    <w:name w:val="footer"/>
    <w:basedOn w:val="a"/>
    <w:link w:val="a6"/>
    <w:uiPriority w:val="99"/>
    <w:unhideWhenUsed/>
    <w:rsid w:val="00B85987"/>
    <w:pPr>
      <w:tabs>
        <w:tab w:val="center" w:pos="4153"/>
        <w:tab w:val="right" w:pos="8306"/>
      </w:tabs>
      <w:snapToGrid w:val="0"/>
    </w:pPr>
    <w:rPr>
      <w:sz w:val="18"/>
      <w:szCs w:val="18"/>
    </w:rPr>
  </w:style>
  <w:style w:type="character" w:customStyle="1" w:styleId="a6">
    <w:name w:val="页脚 字符"/>
    <w:basedOn w:val="a0"/>
    <w:link w:val="a5"/>
    <w:uiPriority w:val="99"/>
    <w:rsid w:val="00B8598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44">
      <w:marLeft w:val="0"/>
      <w:marRight w:val="0"/>
      <w:marTop w:val="10"/>
      <w:marBottom w:val="10"/>
      <w:divBdr>
        <w:top w:val="none" w:sz="0" w:space="0" w:color="auto"/>
        <w:left w:val="none" w:sz="0" w:space="0" w:color="auto"/>
        <w:bottom w:val="none" w:sz="0" w:space="0" w:color="auto"/>
        <w:right w:val="none" w:sz="0" w:space="0" w:color="auto"/>
      </w:divBdr>
    </w:div>
    <w:div w:id="15927199">
      <w:marLeft w:val="0"/>
      <w:marRight w:val="0"/>
      <w:marTop w:val="10"/>
      <w:marBottom w:val="10"/>
      <w:divBdr>
        <w:top w:val="none" w:sz="0" w:space="0" w:color="auto"/>
        <w:left w:val="none" w:sz="0" w:space="0" w:color="auto"/>
        <w:bottom w:val="none" w:sz="0" w:space="0" w:color="auto"/>
        <w:right w:val="none" w:sz="0" w:space="0" w:color="auto"/>
      </w:divBdr>
    </w:div>
    <w:div w:id="106505827">
      <w:marLeft w:val="0"/>
      <w:marRight w:val="0"/>
      <w:marTop w:val="10"/>
      <w:marBottom w:val="10"/>
      <w:divBdr>
        <w:top w:val="none" w:sz="0" w:space="0" w:color="auto"/>
        <w:left w:val="none" w:sz="0" w:space="0" w:color="auto"/>
        <w:bottom w:val="none" w:sz="0" w:space="0" w:color="auto"/>
        <w:right w:val="none" w:sz="0" w:space="0" w:color="auto"/>
      </w:divBdr>
    </w:div>
    <w:div w:id="113327431">
      <w:marLeft w:val="0"/>
      <w:marRight w:val="0"/>
      <w:marTop w:val="10"/>
      <w:marBottom w:val="10"/>
      <w:divBdr>
        <w:top w:val="none" w:sz="0" w:space="0" w:color="auto"/>
        <w:left w:val="none" w:sz="0" w:space="0" w:color="auto"/>
        <w:bottom w:val="none" w:sz="0" w:space="0" w:color="auto"/>
        <w:right w:val="none" w:sz="0" w:space="0" w:color="auto"/>
      </w:divBdr>
    </w:div>
    <w:div w:id="207227325">
      <w:marLeft w:val="0"/>
      <w:marRight w:val="0"/>
      <w:marTop w:val="10"/>
      <w:marBottom w:val="10"/>
      <w:divBdr>
        <w:top w:val="none" w:sz="0" w:space="0" w:color="auto"/>
        <w:left w:val="none" w:sz="0" w:space="0" w:color="auto"/>
        <w:bottom w:val="none" w:sz="0" w:space="0" w:color="auto"/>
        <w:right w:val="none" w:sz="0" w:space="0" w:color="auto"/>
      </w:divBdr>
    </w:div>
    <w:div w:id="235092684">
      <w:marLeft w:val="0"/>
      <w:marRight w:val="720"/>
      <w:marTop w:val="10"/>
      <w:marBottom w:val="10"/>
      <w:divBdr>
        <w:top w:val="none" w:sz="0" w:space="0" w:color="auto"/>
        <w:left w:val="none" w:sz="0" w:space="0" w:color="auto"/>
        <w:bottom w:val="none" w:sz="0" w:space="0" w:color="auto"/>
        <w:right w:val="none" w:sz="0" w:space="0" w:color="auto"/>
      </w:divBdr>
    </w:div>
    <w:div w:id="269557582">
      <w:marLeft w:val="0"/>
      <w:marRight w:val="0"/>
      <w:marTop w:val="10"/>
      <w:marBottom w:val="10"/>
      <w:divBdr>
        <w:top w:val="none" w:sz="0" w:space="0" w:color="auto"/>
        <w:left w:val="none" w:sz="0" w:space="0" w:color="auto"/>
        <w:bottom w:val="none" w:sz="0" w:space="0" w:color="auto"/>
        <w:right w:val="none" w:sz="0" w:space="0" w:color="auto"/>
      </w:divBdr>
    </w:div>
    <w:div w:id="282270709">
      <w:marLeft w:val="0"/>
      <w:marRight w:val="0"/>
      <w:marTop w:val="10"/>
      <w:marBottom w:val="10"/>
      <w:divBdr>
        <w:top w:val="none" w:sz="0" w:space="0" w:color="auto"/>
        <w:left w:val="none" w:sz="0" w:space="0" w:color="auto"/>
        <w:bottom w:val="none" w:sz="0" w:space="0" w:color="auto"/>
        <w:right w:val="none" w:sz="0" w:space="0" w:color="auto"/>
      </w:divBdr>
    </w:div>
    <w:div w:id="289173411">
      <w:marLeft w:val="0"/>
      <w:marRight w:val="0"/>
      <w:marTop w:val="10"/>
      <w:marBottom w:val="10"/>
      <w:divBdr>
        <w:top w:val="none" w:sz="0" w:space="0" w:color="auto"/>
        <w:left w:val="none" w:sz="0" w:space="0" w:color="auto"/>
        <w:bottom w:val="none" w:sz="0" w:space="0" w:color="auto"/>
        <w:right w:val="none" w:sz="0" w:space="0" w:color="auto"/>
      </w:divBdr>
    </w:div>
    <w:div w:id="313224720">
      <w:marLeft w:val="0"/>
      <w:marRight w:val="0"/>
      <w:marTop w:val="10"/>
      <w:marBottom w:val="10"/>
      <w:divBdr>
        <w:top w:val="none" w:sz="0" w:space="0" w:color="auto"/>
        <w:left w:val="none" w:sz="0" w:space="0" w:color="auto"/>
        <w:bottom w:val="none" w:sz="0" w:space="0" w:color="auto"/>
        <w:right w:val="none" w:sz="0" w:space="0" w:color="auto"/>
      </w:divBdr>
    </w:div>
    <w:div w:id="331221499">
      <w:marLeft w:val="0"/>
      <w:marRight w:val="0"/>
      <w:marTop w:val="10"/>
      <w:marBottom w:val="10"/>
      <w:divBdr>
        <w:top w:val="none" w:sz="0" w:space="0" w:color="auto"/>
        <w:left w:val="none" w:sz="0" w:space="0" w:color="auto"/>
        <w:bottom w:val="none" w:sz="0" w:space="0" w:color="auto"/>
        <w:right w:val="none" w:sz="0" w:space="0" w:color="auto"/>
      </w:divBdr>
    </w:div>
    <w:div w:id="341974821">
      <w:marLeft w:val="0"/>
      <w:marRight w:val="0"/>
      <w:marTop w:val="10"/>
      <w:marBottom w:val="10"/>
      <w:divBdr>
        <w:top w:val="none" w:sz="0" w:space="0" w:color="auto"/>
        <w:left w:val="none" w:sz="0" w:space="0" w:color="auto"/>
        <w:bottom w:val="none" w:sz="0" w:space="0" w:color="auto"/>
        <w:right w:val="none" w:sz="0" w:space="0" w:color="auto"/>
      </w:divBdr>
    </w:div>
    <w:div w:id="356808425">
      <w:marLeft w:val="0"/>
      <w:marRight w:val="0"/>
      <w:marTop w:val="10"/>
      <w:marBottom w:val="10"/>
      <w:divBdr>
        <w:top w:val="none" w:sz="0" w:space="0" w:color="auto"/>
        <w:left w:val="none" w:sz="0" w:space="0" w:color="auto"/>
        <w:bottom w:val="none" w:sz="0" w:space="0" w:color="auto"/>
        <w:right w:val="none" w:sz="0" w:space="0" w:color="auto"/>
      </w:divBdr>
    </w:div>
    <w:div w:id="358821453">
      <w:marLeft w:val="0"/>
      <w:marRight w:val="0"/>
      <w:marTop w:val="10"/>
      <w:marBottom w:val="10"/>
      <w:divBdr>
        <w:top w:val="none" w:sz="0" w:space="0" w:color="auto"/>
        <w:left w:val="none" w:sz="0" w:space="0" w:color="auto"/>
        <w:bottom w:val="none" w:sz="0" w:space="0" w:color="auto"/>
        <w:right w:val="none" w:sz="0" w:space="0" w:color="auto"/>
      </w:divBdr>
    </w:div>
    <w:div w:id="381248086">
      <w:marLeft w:val="0"/>
      <w:marRight w:val="0"/>
      <w:marTop w:val="10"/>
      <w:marBottom w:val="10"/>
      <w:divBdr>
        <w:top w:val="none" w:sz="0" w:space="0" w:color="auto"/>
        <w:left w:val="none" w:sz="0" w:space="0" w:color="auto"/>
        <w:bottom w:val="none" w:sz="0" w:space="0" w:color="auto"/>
        <w:right w:val="none" w:sz="0" w:space="0" w:color="auto"/>
      </w:divBdr>
    </w:div>
    <w:div w:id="396560448">
      <w:marLeft w:val="0"/>
      <w:marRight w:val="0"/>
      <w:marTop w:val="10"/>
      <w:marBottom w:val="10"/>
      <w:divBdr>
        <w:top w:val="none" w:sz="0" w:space="0" w:color="auto"/>
        <w:left w:val="none" w:sz="0" w:space="0" w:color="auto"/>
        <w:bottom w:val="none" w:sz="0" w:space="0" w:color="auto"/>
        <w:right w:val="none" w:sz="0" w:space="0" w:color="auto"/>
      </w:divBdr>
    </w:div>
    <w:div w:id="406728096">
      <w:marLeft w:val="0"/>
      <w:marRight w:val="0"/>
      <w:marTop w:val="10"/>
      <w:marBottom w:val="10"/>
      <w:divBdr>
        <w:top w:val="none" w:sz="0" w:space="0" w:color="auto"/>
        <w:left w:val="none" w:sz="0" w:space="0" w:color="auto"/>
        <w:bottom w:val="none" w:sz="0" w:space="0" w:color="auto"/>
        <w:right w:val="none" w:sz="0" w:space="0" w:color="auto"/>
      </w:divBdr>
    </w:div>
    <w:div w:id="464666625">
      <w:marLeft w:val="0"/>
      <w:marRight w:val="0"/>
      <w:marTop w:val="10"/>
      <w:marBottom w:val="10"/>
      <w:divBdr>
        <w:top w:val="none" w:sz="0" w:space="0" w:color="auto"/>
        <w:left w:val="none" w:sz="0" w:space="0" w:color="auto"/>
        <w:bottom w:val="none" w:sz="0" w:space="0" w:color="auto"/>
        <w:right w:val="none" w:sz="0" w:space="0" w:color="auto"/>
      </w:divBdr>
    </w:div>
    <w:div w:id="519246800">
      <w:marLeft w:val="0"/>
      <w:marRight w:val="0"/>
      <w:marTop w:val="10"/>
      <w:marBottom w:val="10"/>
      <w:divBdr>
        <w:top w:val="none" w:sz="0" w:space="0" w:color="auto"/>
        <w:left w:val="none" w:sz="0" w:space="0" w:color="auto"/>
        <w:bottom w:val="none" w:sz="0" w:space="0" w:color="auto"/>
        <w:right w:val="none" w:sz="0" w:space="0" w:color="auto"/>
      </w:divBdr>
    </w:div>
    <w:div w:id="551623410">
      <w:marLeft w:val="0"/>
      <w:marRight w:val="0"/>
      <w:marTop w:val="10"/>
      <w:marBottom w:val="10"/>
      <w:divBdr>
        <w:top w:val="none" w:sz="0" w:space="0" w:color="auto"/>
        <w:left w:val="none" w:sz="0" w:space="0" w:color="auto"/>
        <w:bottom w:val="none" w:sz="0" w:space="0" w:color="auto"/>
        <w:right w:val="none" w:sz="0" w:space="0" w:color="auto"/>
      </w:divBdr>
    </w:div>
    <w:div w:id="665288089">
      <w:marLeft w:val="0"/>
      <w:marRight w:val="720"/>
      <w:marTop w:val="10"/>
      <w:marBottom w:val="10"/>
      <w:divBdr>
        <w:top w:val="none" w:sz="0" w:space="0" w:color="auto"/>
        <w:left w:val="none" w:sz="0" w:space="0" w:color="auto"/>
        <w:bottom w:val="none" w:sz="0" w:space="0" w:color="auto"/>
        <w:right w:val="none" w:sz="0" w:space="0" w:color="auto"/>
      </w:divBdr>
    </w:div>
    <w:div w:id="684332553">
      <w:marLeft w:val="0"/>
      <w:marRight w:val="0"/>
      <w:marTop w:val="10"/>
      <w:marBottom w:val="10"/>
      <w:divBdr>
        <w:top w:val="none" w:sz="0" w:space="0" w:color="auto"/>
        <w:left w:val="none" w:sz="0" w:space="0" w:color="auto"/>
        <w:bottom w:val="none" w:sz="0" w:space="0" w:color="auto"/>
        <w:right w:val="none" w:sz="0" w:space="0" w:color="auto"/>
      </w:divBdr>
    </w:div>
    <w:div w:id="848494953">
      <w:marLeft w:val="0"/>
      <w:marRight w:val="0"/>
      <w:marTop w:val="10"/>
      <w:marBottom w:val="10"/>
      <w:divBdr>
        <w:top w:val="none" w:sz="0" w:space="0" w:color="auto"/>
        <w:left w:val="none" w:sz="0" w:space="0" w:color="auto"/>
        <w:bottom w:val="none" w:sz="0" w:space="0" w:color="auto"/>
        <w:right w:val="none" w:sz="0" w:space="0" w:color="auto"/>
      </w:divBdr>
    </w:div>
    <w:div w:id="856891783">
      <w:marLeft w:val="0"/>
      <w:marRight w:val="0"/>
      <w:marTop w:val="10"/>
      <w:marBottom w:val="10"/>
      <w:divBdr>
        <w:top w:val="none" w:sz="0" w:space="0" w:color="auto"/>
        <w:left w:val="none" w:sz="0" w:space="0" w:color="auto"/>
        <w:bottom w:val="none" w:sz="0" w:space="0" w:color="auto"/>
        <w:right w:val="none" w:sz="0" w:space="0" w:color="auto"/>
      </w:divBdr>
    </w:div>
    <w:div w:id="869686719">
      <w:marLeft w:val="0"/>
      <w:marRight w:val="0"/>
      <w:marTop w:val="10"/>
      <w:marBottom w:val="10"/>
      <w:divBdr>
        <w:top w:val="none" w:sz="0" w:space="0" w:color="auto"/>
        <w:left w:val="none" w:sz="0" w:space="0" w:color="auto"/>
        <w:bottom w:val="none" w:sz="0" w:space="0" w:color="auto"/>
        <w:right w:val="none" w:sz="0" w:space="0" w:color="auto"/>
      </w:divBdr>
    </w:div>
    <w:div w:id="904267931">
      <w:marLeft w:val="0"/>
      <w:marRight w:val="720"/>
      <w:marTop w:val="10"/>
      <w:marBottom w:val="10"/>
      <w:divBdr>
        <w:top w:val="none" w:sz="0" w:space="0" w:color="auto"/>
        <w:left w:val="none" w:sz="0" w:space="0" w:color="auto"/>
        <w:bottom w:val="none" w:sz="0" w:space="0" w:color="auto"/>
        <w:right w:val="none" w:sz="0" w:space="0" w:color="auto"/>
      </w:divBdr>
    </w:div>
    <w:div w:id="909265565">
      <w:marLeft w:val="0"/>
      <w:marRight w:val="0"/>
      <w:marTop w:val="10"/>
      <w:marBottom w:val="10"/>
      <w:divBdr>
        <w:top w:val="none" w:sz="0" w:space="0" w:color="auto"/>
        <w:left w:val="none" w:sz="0" w:space="0" w:color="auto"/>
        <w:bottom w:val="none" w:sz="0" w:space="0" w:color="auto"/>
        <w:right w:val="none" w:sz="0" w:space="0" w:color="auto"/>
      </w:divBdr>
    </w:div>
    <w:div w:id="962148436">
      <w:marLeft w:val="0"/>
      <w:marRight w:val="0"/>
      <w:marTop w:val="10"/>
      <w:marBottom w:val="10"/>
      <w:divBdr>
        <w:top w:val="none" w:sz="0" w:space="0" w:color="auto"/>
        <w:left w:val="none" w:sz="0" w:space="0" w:color="auto"/>
        <w:bottom w:val="none" w:sz="0" w:space="0" w:color="auto"/>
        <w:right w:val="none" w:sz="0" w:space="0" w:color="auto"/>
      </w:divBdr>
    </w:div>
    <w:div w:id="976028575">
      <w:marLeft w:val="0"/>
      <w:marRight w:val="0"/>
      <w:marTop w:val="10"/>
      <w:marBottom w:val="10"/>
      <w:divBdr>
        <w:top w:val="none" w:sz="0" w:space="0" w:color="auto"/>
        <w:left w:val="none" w:sz="0" w:space="0" w:color="auto"/>
        <w:bottom w:val="none" w:sz="0" w:space="0" w:color="auto"/>
        <w:right w:val="none" w:sz="0" w:space="0" w:color="auto"/>
      </w:divBdr>
    </w:div>
    <w:div w:id="1045180071">
      <w:marLeft w:val="0"/>
      <w:marRight w:val="0"/>
      <w:marTop w:val="10"/>
      <w:marBottom w:val="10"/>
      <w:divBdr>
        <w:top w:val="none" w:sz="0" w:space="0" w:color="auto"/>
        <w:left w:val="none" w:sz="0" w:space="0" w:color="auto"/>
        <w:bottom w:val="none" w:sz="0" w:space="0" w:color="auto"/>
        <w:right w:val="none" w:sz="0" w:space="0" w:color="auto"/>
      </w:divBdr>
    </w:div>
    <w:div w:id="1159035288">
      <w:marLeft w:val="0"/>
      <w:marRight w:val="0"/>
      <w:marTop w:val="10"/>
      <w:marBottom w:val="10"/>
      <w:divBdr>
        <w:top w:val="none" w:sz="0" w:space="0" w:color="auto"/>
        <w:left w:val="none" w:sz="0" w:space="0" w:color="auto"/>
        <w:bottom w:val="none" w:sz="0" w:space="0" w:color="auto"/>
        <w:right w:val="none" w:sz="0" w:space="0" w:color="auto"/>
      </w:divBdr>
    </w:div>
    <w:div w:id="1217932462">
      <w:marLeft w:val="0"/>
      <w:marRight w:val="0"/>
      <w:marTop w:val="10"/>
      <w:marBottom w:val="10"/>
      <w:divBdr>
        <w:top w:val="none" w:sz="0" w:space="0" w:color="auto"/>
        <w:left w:val="none" w:sz="0" w:space="0" w:color="auto"/>
        <w:bottom w:val="none" w:sz="0" w:space="0" w:color="auto"/>
        <w:right w:val="none" w:sz="0" w:space="0" w:color="auto"/>
      </w:divBdr>
    </w:div>
    <w:div w:id="1326662982">
      <w:marLeft w:val="0"/>
      <w:marRight w:val="0"/>
      <w:marTop w:val="10"/>
      <w:marBottom w:val="10"/>
      <w:divBdr>
        <w:top w:val="none" w:sz="0" w:space="0" w:color="auto"/>
        <w:left w:val="none" w:sz="0" w:space="0" w:color="auto"/>
        <w:bottom w:val="none" w:sz="0" w:space="0" w:color="auto"/>
        <w:right w:val="none" w:sz="0" w:space="0" w:color="auto"/>
      </w:divBdr>
    </w:div>
    <w:div w:id="1386877701">
      <w:marLeft w:val="0"/>
      <w:marRight w:val="0"/>
      <w:marTop w:val="10"/>
      <w:marBottom w:val="10"/>
      <w:divBdr>
        <w:top w:val="none" w:sz="0" w:space="0" w:color="auto"/>
        <w:left w:val="none" w:sz="0" w:space="0" w:color="auto"/>
        <w:bottom w:val="none" w:sz="0" w:space="0" w:color="auto"/>
        <w:right w:val="none" w:sz="0" w:space="0" w:color="auto"/>
      </w:divBdr>
    </w:div>
    <w:div w:id="1413117047">
      <w:marLeft w:val="0"/>
      <w:marRight w:val="0"/>
      <w:marTop w:val="10"/>
      <w:marBottom w:val="10"/>
      <w:divBdr>
        <w:top w:val="none" w:sz="0" w:space="0" w:color="auto"/>
        <w:left w:val="none" w:sz="0" w:space="0" w:color="auto"/>
        <w:bottom w:val="none" w:sz="0" w:space="0" w:color="auto"/>
        <w:right w:val="none" w:sz="0" w:space="0" w:color="auto"/>
      </w:divBdr>
    </w:div>
    <w:div w:id="1422988750">
      <w:marLeft w:val="0"/>
      <w:marRight w:val="0"/>
      <w:marTop w:val="10"/>
      <w:marBottom w:val="10"/>
      <w:divBdr>
        <w:top w:val="none" w:sz="0" w:space="0" w:color="auto"/>
        <w:left w:val="none" w:sz="0" w:space="0" w:color="auto"/>
        <w:bottom w:val="none" w:sz="0" w:space="0" w:color="auto"/>
        <w:right w:val="none" w:sz="0" w:space="0" w:color="auto"/>
      </w:divBdr>
    </w:div>
    <w:div w:id="1495991175">
      <w:marLeft w:val="0"/>
      <w:marRight w:val="0"/>
      <w:marTop w:val="10"/>
      <w:marBottom w:val="10"/>
      <w:divBdr>
        <w:top w:val="none" w:sz="0" w:space="0" w:color="auto"/>
        <w:left w:val="none" w:sz="0" w:space="0" w:color="auto"/>
        <w:bottom w:val="none" w:sz="0" w:space="0" w:color="auto"/>
        <w:right w:val="none" w:sz="0" w:space="0" w:color="auto"/>
      </w:divBdr>
    </w:div>
    <w:div w:id="1543009764">
      <w:marLeft w:val="0"/>
      <w:marRight w:val="0"/>
      <w:marTop w:val="10"/>
      <w:marBottom w:val="10"/>
      <w:divBdr>
        <w:top w:val="none" w:sz="0" w:space="0" w:color="auto"/>
        <w:left w:val="none" w:sz="0" w:space="0" w:color="auto"/>
        <w:bottom w:val="none" w:sz="0" w:space="0" w:color="auto"/>
        <w:right w:val="none" w:sz="0" w:space="0" w:color="auto"/>
      </w:divBdr>
    </w:div>
    <w:div w:id="1564215961">
      <w:marLeft w:val="0"/>
      <w:marRight w:val="0"/>
      <w:marTop w:val="10"/>
      <w:marBottom w:val="10"/>
      <w:divBdr>
        <w:top w:val="none" w:sz="0" w:space="0" w:color="auto"/>
        <w:left w:val="none" w:sz="0" w:space="0" w:color="auto"/>
        <w:bottom w:val="none" w:sz="0" w:space="0" w:color="auto"/>
        <w:right w:val="none" w:sz="0" w:space="0" w:color="auto"/>
      </w:divBdr>
    </w:div>
    <w:div w:id="1638335709">
      <w:marLeft w:val="0"/>
      <w:marRight w:val="720"/>
      <w:marTop w:val="10"/>
      <w:marBottom w:val="10"/>
      <w:divBdr>
        <w:top w:val="none" w:sz="0" w:space="0" w:color="auto"/>
        <w:left w:val="none" w:sz="0" w:space="0" w:color="auto"/>
        <w:bottom w:val="none" w:sz="0" w:space="0" w:color="auto"/>
        <w:right w:val="none" w:sz="0" w:space="0" w:color="auto"/>
      </w:divBdr>
    </w:div>
    <w:div w:id="1663194752">
      <w:marLeft w:val="0"/>
      <w:marRight w:val="0"/>
      <w:marTop w:val="10"/>
      <w:marBottom w:val="10"/>
      <w:divBdr>
        <w:top w:val="none" w:sz="0" w:space="0" w:color="auto"/>
        <w:left w:val="none" w:sz="0" w:space="0" w:color="auto"/>
        <w:bottom w:val="none" w:sz="0" w:space="0" w:color="auto"/>
        <w:right w:val="none" w:sz="0" w:space="0" w:color="auto"/>
      </w:divBdr>
    </w:div>
    <w:div w:id="1676230761">
      <w:marLeft w:val="0"/>
      <w:marRight w:val="0"/>
      <w:marTop w:val="10"/>
      <w:marBottom w:val="10"/>
      <w:divBdr>
        <w:top w:val="none" w:sz="0" w:space="0" w:color="auto"/>
        <w:left w:val="none" w:sz="0" w:space="0" w:color="auto"/>
        <w:bottom w:val="none" w:sz="0" w:space="0" w:color="auto"/>
        <w:right w:val="none" w:sz="0" w:space="0" w:color="auto"/>
      </w:divBdr>
    </w:div>
    <w:div w:id="1749157090">
      <w:marLeft w:val="0"/>
      <w:marRight w:val="0"/>
      <w:marTop w:val="10"/>
      <w:marBottom w:val="10"/>
      <w:divBdr>
        <w:top w:val="none" w:sz="0" w:space="0" w:color="auto"/>
        <w:left w:val="none" w:sz="0" w:space="0" w:color="auto"/>
        <w:bottom w:val="none" w:sz="0" w:space="0" w:color="auto"/>
        <w:right w:val="none" w:sz="0" w:space="0" w:color="auto"/>
      </w:divBdr>
    </w:div>
    <w:div w:id="1797790431">
      <w:marLeft w:val="0"/>
      <w:marRight w:val="0"/>
      <w:marTop w:val="10"/>
      <w:marBottom w:val="10"/>
      <w:divBdr>
        <w:top w:val="none" w:sz="0" w:space="0" w:color="auto"/>
        <w:left w:val="none" w:sz="0" w:space="0" w:color="auto"/>
        <w:bottom w:val="none" w:sz="0" w:space="0" w:color="auto"/>
        <w:right w:val="none" w:sz="0" w:space="0" w:color="auto"/>
      </w:divBdr>
    </w:div>
    <w:div w:id="1801604905">
      <w:marLeft w:val="0"/>
      <w:marRight w:val="0"/>
      <w:marTop w:val="10"/>
      <w:marBottom w:val="10"/>
      <w:divBdr>
        <w:top w:val="none" w:sz="0" w:space="0" w:color="auto"/>
        <w:left w:val="none" w:sz="0" w:space="0" w:color="auto"/>
        <w:bottom w:val="none" w:sz="0" w:space="0" w:color="auto"/>
        <w:right w:val="none" w:sz="0" w:space="0" w:color="auto"/>
      </w:divBdr>
    </w:div>
    <w:div w:id="1814713660">
      <w:marLeft w:val="0"/>
      <w:marRight w:val="0"/>
      <w:marTop w:val="10"/>
      <w:marBottom w:val="10"/>
      <w:divBdr>
        <w:top w:val="none" w:sz="0" w:space="0" w:color="auto"/>
        <w:left w:val="none" w:sz="0" w:space="0" w:color="auto"/>
        <w:bottom w:val="none" w:sz="0" w:space="0" w:color="auto"/>
        <w:right w:val="none" w:sz="0" w:space="0" w:color="auto"/>
      </w:divBdr>
    </w:div>
    <w:div w:id="1818569905">
      <w:marLeft w:val="0"/>
      <w:marRight w:val="0"/>
      <w:marTop w:val="10"/>
      <w:marBottom w:val="10"/>
      <w:divBdr>
        <w:top w:val="none" w:sz="0" w:space="0" w:color="auto"/>
        <w:left w:val="none" w:sz="0" w:space="0" w:color="auto"/>
        <w:bottom w:val="none" w:sz="0" w:space="0" w:color="auto"/>
        <w:right w:val="none" w:sz="0" w:space="0" w:color="auto"/>
      </w:divBdr>
    </w:div>
    <w:div w:id="1939558141">
      <w:marLeft w:val="0"/>
      <w:marRight w:val="0"/>
      <w:marTop w:val="10"/>
      <w:marBottom w:val="10"/>
      <w:divBdr>
        <w:top w:val="none" w:sz="0" w:space="0" w:color="auto"/>
        <w:left w:val="none" w:sz="0" w:space="0" w:color="auto"/>
        <w:bottom w:val="none" w:sz="0" w:space="0" w:color="auto"/>
        <w:right w:val="none" w:sz="0" w:space="0" w:color="auto"/>
      </w:divBdr>
    </w:div>
    <w:div w:id="1954821507">
      <w:marLeft w:val="0"/>
      <w:marRight w:val="0"/>
      <w:marTop w:val="10"/>
      <w:marBottom w:val="10"/>
      <w:divBdr>
        <w:top w:val="none" w:sz="0" w:space="0" w:color="auto"/>
        <w:left w:val="none" w:sz="0" w:space="0" w:color="auto"/>
        <w:bottom w:val="none" w:sz="0" w:space="0" w:color="auto"/>
        <w:right w:val="none" w:sz="0" w:space="0" w:color="auto"/>
      </w:divBdr>
    </w:div>
    <w:div w:id="1978414304">
      <w:marLeft w:val="0"/>
      <w:marRight w:val="720"/>
      <w:marTop w:val="10"/>
      <w:marBottom w:val="10"/>
      <w:divBdr>
        <w:top w:val="none" w:sz="0" w:space="0" w:color="auto"/>
        <w:left w:val="none" w:sz="0" w:space="0" w:color="auto"/>
        <w:bottom w:val="none" w:sz="0" w:space="0" w:color="auto"/>
        <w:right w:val="none" w:sz="0" w:space="0" w:color="auto"/>
      </w:divBdr>
    </w:div>
    <w:div w:id="1985162611">
      <w:marLeft w:val="0"/>
      <w:marRight w:val="0"/>
      <w:marTop w:val="10"/>
      <w:marBottom w:val="10"/>
      <w:divBdr>
        <w:top w:val="none" w:sz="0" w:space="0" w:color="auto"/>
        <w:left w:val="none" w:sz="0" w:space="0" w:color="auto"/>
        <w:bottom w:val="none" w:sz="0" w:space="0" w:color="auto"/>
        <w:right w:val="none" w:sz="0" w:space="0" w:color="auto"/>
      </w:divBdr>
    </w:div>
    <w:div w:id="2026859616">
      <w:marLeft w:val="0"/>
      <w:marRight w:val="0"/>
      <w:marTop w:val="10"/>
      <w:marBottom w:val="10"/>
      <w:divBdr>
        <w:top w:val="none" w:sz="0" w:space="0" w:color="auto"/>
        <w:left w:val="none" w:sz="0" w:space="0" w:color="auto"/>
        <w:bottom w:val="none" w:sz="0" w:space="0" w:color="auto"/>
        <w:right w:val="none" w:sz="0" w:space="0" w:color="auto"/>
      </w:divBdr>
    </w:div>
    <w:div w:id="2030712610">
      <w:marLeft w:val="0"/>
      <w:marRight w:val="0"/>
      <w:marTop w:val="10"/>
      <w:marBottom w:val="10"/>
      <w:divBdr>
        <w:top w:val="none" w:sz="0" w:space="0" w:color="auto"/>
        <w:left w:val="none" w:sz="0" w:space="0" w:color="auto"/>
        <w:bottom w:val="none" w:sz="0" w:space="0" w:color="auto"/>
        <w:right w:val="none" w:sz="0" w:space="0" w:color="auto"/>
      </w:divBdr>
    </w:div>
    <w:div w:id="2049377854">
      <w:marLeft w:val="0"/>
      <w:marRight w:val="0"/>
      <w:marTop w:val="10"/>
      <w:marBottom w:val="10"/>
      <w:divBdr>
        <w:top w:val="none" w:sz="0" w:space="0" w:color="auto"/>
        <w:left w:val="none" w:sz="0" w:space="0" w:color="auto"/>
        <w:bottom w:val="none" w:sz="0" w:space="0" w:color="auto"/>
        <w:right w:val="none" w:sz="0" w:space="0" w:color="auto"/>
      </w:divBdr>
    </w:div>
    <w:div w:id="2075657823">
      <w:marLeft w:val="0"/>
      <w:marRight w:val="0"/>
      <w:marTop w:val="10"/>
      <w:marBottom w:val="10"/>
      <w:divBdr>
        <w:top w:val="none" w:sz="0" w:space="0" w:color="auto"/>
        <w:left w:val="none" w:sz="0" w:space="0" w:color="auto"/>
        <w:bottom w:val="none" w:sz="0" w:space="0" w:color="auto"/>
        <w:right w:val="none" w:sz="0" w:space="0" w:color="auto"/>
      </w:divBdr>
    </w:div>
    <w:div w:id="21367550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