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75E1">
      <w:pPr>
        <w:spacing w:line="500" w:lineRule="atLeast"/>
        <w:jc w:val="center"/>
        <w:divId w:val="2086293095"/>
        <w:rPr>
          <w:rFonts w:ascii="黑体" w:eastAsia="黑体" w:hAnsi="黑体"/>
          <w:sz w:val="36"/>
          <w:szCs w:val="36"/>
        </w:rPr>
      </w:pPr>
      <w:bookmarkStart w:id="0" w:name="_GoBack"/>
      <w:bookmarkEnd w:id="0"/>
      <w:r>
        <w:rPr>
          <w:rFonts w:ascii="黑体" w:eastAsia="黑体" w:hAnsi="黑体" w:hint="eastAsia"/>
          <w:sz w:val="36"/>
          <w:szCs w:val="36"/>
        </w:rPr>
        <w:t>北京市东城区人民法院</w:t>
      </w:r>
    </w:p>
    <w:p w:rsidR="00000000" w:rsidRDefault="005875E1">
      <w:pPr>
        <w:spacing w:line="500" w:lineRule="atLeast"/>
        <w:jc w:val="center"/>
        <w:divId w:val="17888867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875E1">
      <w:pPr>
        <w:spacing w:line="500" w:lineRule="atLeast"/>
        <w:jc w:val="right"/>
        <w:divId w:val="929118391"/>
        <w:rPr>
          <w:rFonts w:hint="eastAsia"/>
          <w:sz w:val="30"/>
          <w:szCs w:val="30"/>
        </w:rPr>
      </w:pPr>
      <w:r>
        <w:rPr>
          <w:rFonts w:hint="eastAsia"/>
          <w:sz w:val="30"/>
          <w:szCs w:val="30"/>
        </w:rPr>
        <w:t>（</w:t>
      </w:r>
      <w:r>
        <w:rPr>
          <w:rFonts w:hint="eastAsia"/>
          <w:sz w:val="30"/>
          <w:szCs w:val="30"/>
        </w:rPr>
        <w:t>2020</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9576</w:t>
      </w:r>
      <w:r>
        <w:rPr>
          <w:rFonts w:hint="eastAsia"/>
          <w:sz w:val="30"/>
          <w:szCs w:val="30"/>
        </w:rPr>
        <w:t>号</w:t>
      </w:r>
    </w:p>
    <w:p w:rsidR="00000000" w:rsidRDefault="005875E1">
      <w:pPr>
        <w:spacing w:line="500" w:lineRule="atLeast"/>
        <w:ind w:firstLine="600"/>
        <w:divId w:val="1606041551"/>
        <w:rPr>
          <w:rFonts w:hint="eastAsia"/>
          <w:sz w:val="30"/>
          <w:szCs w:val="30"/>
        </w:rPr>
      </w:pPr>
      <w:r>
        <w:rPr>
          <w:rFonts w:hint="eastAsia"/>
          <w:sz w:val="30"/>
          <w:szCs w:val="30"/>
        </w:rPr>
        <w:t>原告：国心高科（北京）软件系统有限公司，住所地北京市西城区。</w:t>
      </w:r>
    </w:p>
    <w:p w:rsidR="00000000" w:rsidRDefault="005875E1">
      <w:pPr>
        <w:spacing w:line="500" w:lineRule="atLeast"/>
        <w:ind w:firstLine="600"/>
        <w:divId w:val="109399415"/>
        <w:rPr>
          <w:rFonts w:hint="eastAsia"/>
          <w:sz w:val="30"/>
          <w:szCs w:val="30"/>
        </w:rPr>
      </w:pPr>
      <w:r>
        <w:rPr>
          <w:rFonts w:hint="eastAsia"/>
          <w:sz w:val="30"/>
          <w:szCs w:val="30"/>
        </w:rPr>
        <w:t>法定代表人：姚宝军，该公司经理。</w:t>
      </w:r>
    </w:p>
    <w:p w:rsidR="00000000" w:rsidRDefault="005875E1">
      <w:pPr>
        <w:spacing w:line="500" w:lineRule="atLeast"/>
        <w:ind w:firstLine="600"/>
        <w:divId w:val="2062702297"/>
        <w:rPr>
          <w:rFonts w:hint="eastAsia"/>
          <w:sz w:val="30"/>
          <w:szCs w:val="30"/>
        </w:rPr>
      </w:pPr>
      <w:r>
        <w:rPr>
          <w:rFonts w:hint="eastAsia"/>
          <w:sz w:val="30"/>
          <w:szCs w:val="30"/>
        </w:rPr>
        <w:t>委托诉讼代理人：戴嘉鹏，北京市浩天信和律师事务所律师。</w:t>
      </w:r>
    </w:p>
    <w:p w:rsidR="00000000" w:rsidRDefault="005875E1">
      <w:pPr>
        <w:spacing w:line="500" w:lineRule="atLeast"/>
        <w:ind w:firstLine="600"/>
        <w:divId w:val="1708679490"/>
        <w:rPr>
          <w:rFonts w:hint="eastAsia"/>
          <w:sz w:val="30"/>
          <w:szCs w:val="30"/>
        </w:rPr>
      </w:pPr>
      <w:r>
        <w:rPr>
          <w:rFonts w:hint="eastAsia"/>
          <w:sz w:val="30"/>
          <w:szCs w:val="30"/>
        </w:rPr>
        <w:t>委托诉讼代理人：高诗晨，北京市浩天信和律师事务所实习律师。</w:t>
      </w:r>
    </w:p>
    <w:p w:rsidR="00000000" w:rsidRDefault="005875E1">
      <w:pPr>
        <w:spacing w:line="500" w:lineRule="atLeast"/>
        <w:ind w:firstLine="600"/>
        <w:divId w:val="1374960233"/>
        <w:rPr>
          <w:rFonts w:hint="eastAsia"/>
          <w:sz w:val="30"/>
          <w:szCs w:val="30"/>
        </w:rPr>
      </w:pPr>
      <w:r>
        <w:rPr>
          <w:rFonts w:hint="eastAsia"/>
          <w:sz w:val="30"/>
          <w:szCs w:val="30"/>
        </w:rPr>
        <w:t>被告：安泱，男，</w:t>
      </w:r>
      <w:r>
        <w:rPr>
          <w:rFonts w:hint="eastAsia"/>
          <w:sz w:val="30"/>
          <w:szCs w:val="30"/>
        </w:rPr>
        <w:t>1973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日出生，汉族，住北京市东城区。</w:t>
      </w:r>
    </w:p>
    <w:p w:rsidR="00000000" w:rsidRDefault="005875E1">
      <w:pPr>
        <w:spacing w:line="500" w:lineRule="atLeast"/>
        <w:ind w:firstLine="600"/>
        <w:divId w:val="1658073841"/>
        <w:rPr>
          <w:rFonts w:hint="eastAsia"/>
          <w:sz w:val="30"/>
          <w:szCs w:val="30"/>
        </w:rPr>
      </w:pPr>
      <w:r>
        <w:rPr>
          <w:rFonts w:hint="eastAsia"/>
          <w:sz w:val="30"/>
          <w:szCs w:val="30"/>
        </w:rPr>
        <w:t>原告国心高科（北京）软件系统有限公司与被告安泱损害公司利益责任纠纷一案，本院于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立案受理后，依据《全国人民代表大会常务委员会关于授权最高人民法院在部分地区开展民事诉讼程序繁简分流改革试点工作的决定》的相关规定，本案依法适用普通程序独任审理。原告的委托诉讼代理人戴嘉鹏、高诗晨与被告安泱到庭参加诉讼。本案现已审理终结。</w:t>
      </w:r>
    </w:p>
    <w:p w:rsidR="00000000" w:rsidRDefault="005875E1">
      <w:pPr>
        <w:spacing w:line="500" w:lineRule="atLeast"/>
        <w:ind w:firstLine="600"/>
        <w:divId w:val="1606844072"/>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判令被告赔偿经济损失</w:t>
      </w:r>
      <w:r>
        <w:rPr>
          <w:rFonts w:hint="eastAsia"/>
          <w:sz w:val="30"/>
          <w:szCs w:val="30"/>
        </w:rPr>
        <w:t>254</w:t>
      </w:r>
      <w:r>
        <w:rPr>
          <w:rFonts w:hint="eastAsia"/>
          <w:sz w:val="30"/>
          <w:szCs w:val="30"/>
        </w:rPr>
        <w:t>万元；</w:t>
      </w:r>
      <w:r>
        <w:rPr>
          <w:rFonts w:hint="eastAsia"/>
          <w:sz w:val="30"/>
          <w:szCs w:val="30"/>
        </w:rPr>
        <w:t>2.</w:t>
      </w:r>
      <w:r>
        <w:rPr>
          <w:rFonts w:hint="eastAsia"/>
          <w:sz w:val="30"/>
          <w:szCs w:val="30"/>
        </w:rPr>
        <w:t>判令将被告在北京原点操作系统科技有限公司的股权转让溢价款</w:t>
      </w:r>
      <w:r>
        <w:rPr>
          <w:rFonts w:hint="eastAsia"/>
          <w:sz w:val="30"/>
          <w:szCs w:val="30"/>
        </w:rPr>
        <w:t>30</w:t>
      </w:r>
      <w:r>
        <w:rPr>
          <w:rFonts w:hint="eastAsia"/>
          <w:sz w:val="30"/>
          <w:szCs w:val="30"/>
        </w:rPr>
        <w:t>万元以及任职期间收益</w:t>
      </w:r>
      <w:r>
        <w:rPr>
          <w:rFonts w:hint="eastAsia"/>
          <w:sz w:val="30"/>
          <w:szCs w:val="30"/>
        </w:rPr>
        <w:t>28</w:t>
      </w:r>
      <w:r>
        <w:rPr>
          <w:rFonts w:hint="eastAsia"/>
          <w:sz w:val="30"/>
          <w:szCs w:val="30"/>
        </w:rPr>
        <w:t>万元归入原告。事实与理由：原告</w:t>
      </w:r>
      <w:r>
        <w:rPr>
          <w:rFonts w:hint="eastAsia"/>
          <w:sz w:val="30"/>
          <w:szCs w:val="30"/>
        </w:rPr>
        <w:t>系一家以国产操作系统开发为主营业务的高科技企业，被告系原告公司的董事兼技术总监，全面负责原告公司的核心国产操作系统的研发工作。在任职期间，被告擅自离职，违反了董事忠实义务，致使原告公司开发项目、合作项目陷入困境，给原告造成重大经济损失。被告在担任原告董事期</w:t>
      </w:r>
      <w:r>
        <w:rPr>
          <w:rFonts w:hint="eastAsia"/>
          <w:sz w:val="30"/>
          <w:szCs w:val="30"/>
        </w:rPr>
        <w:lastRenderedPageBreak/>
        <w:t>间，设立北京原点操作系统科技有限公司，担任股东及董事，并利用从原告公司擅自带走的技术秘密，经营与原告公司同类的业务，严重违反董事忠实义务和竞业禁止义务。综上所述，为了维护原告公司的合法权益，依据公司法第</w:t>
      </w:r>
      <w:r>
        <w:rPr>
          <w:rFonts w:hint="eastAsia"/>
          <w:sz w:val="30"/>
          <w:szCs w:val="30"/>
        </w:rPr>
        <w:t>147</w:t>
      </w:r>
      <w:r>
        <w:rPr>
          <w:rFonts w:hint="eastAsia"/>
          <w:sz w:val="30"/>
          <w:szCs w:val="30"/>
        </w:rPr>
        <w:t>条、第</w:t>
      </w:r>
      <w:r>
        <w:rPr>
          <w:rFonts w:hint="eastAsia"/>
          <w:sz w:val="30"/>
          <w:szCs w:val="30"/>
        </w:rPr>
        <w:t>148</w:t>
      </w:r>
      <w:r>
        <w:rPr>
          <w:rFonts w:hint="eastAsia"/>
          <w:sz w:val="30"/>
          <w:szCs w:val="30"/>
        </w:rPr>
        <w:t>条与第</w:t>
      </w:r>
      <w:r>
        <w:rPr>
          <w:rFonts w:hint="eastAsia"/>
          <w:sz w:val="30"/>
          <w:szCs w:val="30"/>
        </w:rPr>
        <w:t>149</w:t>
      </w:r>
      <w:r>
        <w:rPr>
          <w:rFonts w:hint="eastAsia"/>
          <w:sz w:val="30"/>
          <w:szCs w:val="30"/>
        </w:rPr>
        <w:t>条之规定，提起本诉。</w:t>
      </w:r>
    </w:p>
    <w:p w:rsidR="00000000" w:rsidRDefault="005875E1">
      <w:pPr>
        <w:spacing w:line="500" w:lineRule="atLeast"/>
        <w:ind w:firstLine="600"/>
        <w:divId w:val="309360419"/>
        <w:rPr>
          <w:rFonts w:hint="eastAsia"/>
          <w:sz w:val="30"/>
          <w:szCs w:val="30"/>
        </w:rPr>
      </w:pPr>
      <w:r>
        <w:rPr>
          <w:rFonts w:hint="eastAsia"/>
          <w:sz w:val="30"/>
          <w:szCs w:val="30"/>
        </w:rPr>
        <w:t>被</w:t>
      </w:r>
      <w:r>
        <w:rPr>
          <w:rFonts w:hint="eastAsia"/>
          <w:sz w:val="30"/>
          <w:szCs w:val="30"/>
        </w:rPr>
        <w:t>告辩称，因原告公司欠薪，被告于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日提出书面离职申请，并进行工作交接，被告及绝大多数员工于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起完成工作交接并离职，由于欠薪导致员工离职，是原告经营不善造成的，被告在这个过程中未唆使他人离职；原告研发国产操作系统，系基于开源软件，产品全部组件均由开源软件组成，原告并不拥有这些开源软件的知识产权；由于开源软件发展迅速，截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月，原告操作系统的开源软件基线产品已经达到生命周期终结，再无商业价值；被告未散布和销售原告任何操作系统相关软件，从未从中获取任何商业利益；被告虽是原</w:t>
      </w:r>
      <w:r>
        <w:rPr>
          <w:rFonts w:hint="eastAsia"/>
          <w:sz w:val="30"/>
          <w:szCs w:val="30"/>
        </w:rPr>
        <w:t>告的研发管理者，但并不单独从事软件开发工作，也不单独保留任何特殊的软件资产，不存在擅自带离并侵占原告资产拒不归还的事实；被告未与原告签署任何竞业禁止协议，亦未领取竞业禁止补偿，对原告没有竞业禁止义务。综上所述，不同意原告的全部诉讼请求。</w:t>
      </w:r>
    </w:p>
    <w:p w:rsidR="00000000" w:rsidRDefault="005875E1">
      <w:pPr>
        <w:spacing w:line="500" w:lineRule="atLeast"/>
        <w:ind w:firstLine="600"/>
        <w:divId w:val="802388183"/>
        <w:rPr>
          <w:rFonts w:hint="eastAsia"/>
          <w:sz w:val="30"/>
          <w:szCs w:val="30"/>
        </w:rPr>
      </w:pPr>
      <w:r>
        <w:rPr>
          <w:rFonts w:hint="eastAsia"/>
          <w:sz w:val="30"/>
          <w:szCs w:val="30"/>
        </w:rPr>
        <w:t>当事人围绕诉讼请求依法提交了证据，本院组织当事人进行了交换和质证。根据审查确认的证据与双方当事人的陈述，本院认定如下事实：</w:t>
      </w:r>
    </w:p>
    <w:p w:rsidR="00000000" w:rsidRDefault="005875E1">
      <w:pPr>
        <w:spacing w:line="500" w:lineRule="atLeast"/>
        <w:ind w:firstLine="600"/>
        <w:divId w:val="154298223"/>
        <w:rPr>
          <w:rFonts w:hint="eastAsia"/>
          <w:sz w:val="30"/>
          <w:szCs w:val="30"/>
        </w:rPr>
      </w:pPr>
      <w:r>
        <w:rPr>
          <w:rFonts w:hint="eastAsia"/>
          <w:sz w:val="30"/>
          <w:szCs w:val="30"/>
        </w:rPr>
        <w:t>一、原告公司相关情况</w:t>
      </w:r>
    </w:p>
    <w:p w:rsidR="00000000" w:rsidRDefault="005875E1">
      <w:pPr>
        <w:spacing w:line="500" w:lineRule="atLeast"/>
        <w:ind w:firstLine="600"/>
        <w:divId w:val="625699819"/>
        <w:rPr>
          <w:rFonts w:hint="eastAsia"/>
          <w:sz w:val="30"/>
          <w:szCs w:val="30"/>
        </w:rPr>
      </w:pPr>
      <w:r>
        <w:rPr>
          <w:rFonts w:hint="eastAsia"/>
          <w:sz w:val="30"/>
          <w:szCs w:val="30"/>
        </w:rPr>
        <w:t>原告成立于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日，注册资本</w:t>
      </w:r>
      <w:r>
        <w:rPr>
          <w:rFonts w:hint="eastAsia"/>
          <w:sz w:val="30"/>
          <w:szCs w:val="30"/>
        </w:rPr>
        <w:t>3000</w:t>
      </w:r>
      <w:r>
        <w:rPr>
          <w:rFonts w:hint="eastAsia"/>
          <w:sz w:val="30"/>
          <w:szCs w:val="30"/>
        </w:rPr>
        <w:t>万元，其原为自然人投资或控股的有限责任公司，</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日变更为自然人独资</w:t>
      </w:r>
      <w:r>
        <w:rPr>
          <w:rFonts w:hint="eastAsia"/>
          <w:sz w:val="30"/>
          <w:szCs w:val="30"/>
        </w:rPr>
        <w:t>的有限责任公司，其登记的经营范围为：技术开发、技术转让、技术咨询、技术推广、技术服务；计算机技术</w:t>
      </w:r>
      <w:r>
        <w:rPr>
          <w:rFonts w:hint="eastAsia"/>
          <w:sz w:val="30"/>
          <w:szCs w:val="30"/>
        </w:rPr>
        <w:lastRenderedPageBreak/>
        <w:t>培训；设备维修；经济贸易咨询；家庭劳务服务；承办展览展示；组织文化艺术交流活动；计算机系统服务；数据处理；基础软件服务；应用软件服务；软件开发；软件咨询；产品设计；模型设计；工艺美术设计；企业管理；企业管理咨询；企业策划；租赁计算机、通讯设备；销售计算机、软件及辅助设备、通讯设备、文化用品、机械设备、电子产品、化工产品、办公用品等。</w:t>
      </w:r>
    </w:p>
    <w:p w:rsidR="00000000" w:rsidRDefault="005875E1">
      <w:pPr>
        <w:spacing w:line="500" w:lineRule="atLeast"/>
        <w:ind w:firstLine="600"/>
        <w:divId w:val="823014958"/>
        <w:rPr>
          <w:rFonts w:hint="eastAsia"/>
          <w:sz w:val="30"/>
          <w:szCs w:val="30"/>
        </w:rPr>
      </w:pPr>
      <w:r>
        <w:rPr>
          <w:rFonts w:hint="eastAsia"/>
          <w:sz w:val="30"/>
          <w:szCs w:val="30"/>
        </w:rPr>
        <w:t>二、被告安泱董事身份相关情况</w:t>
      </w:r>
    </w:p>
    <w:p w:rsidR="00000000" w:rsidRDefault="005875E1">
      <w:pPr>
        <w:spacing w:line="500" w:lineRule="atLeast"/>
        <w:ind w:firstLine="600"/>
        <w:divId w:val="721291576"/>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日通过股权转让，安泱成为原告公</w:t>
      </w:r>
      <w:r>
        <w:rPr>
          <w:rFonts w:hint="eastAsia"/>
          <w:sz w:val="30"/>
          <w:szCs w:val="30"/>
        </w:rPr>
        <w:t>司股东，认缴出资额</w:t>
      </w:r>
      <w:r>
        <w:rPr>
          <w:rFonts w:hint="eastAsia"/>
          <w:sz w:val="30"/>
          <w:szCs w:val="30"/>
        </w:rPr>
        <w:t>300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日完成股权变更登记。</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日，原告公司召开第二届第一次股东会会议，并作出决议，选举安泱为董事。</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日，原告公司召开股东会，作出决议同意安泱将</w:t>
      </w:r>
      <w:r>
        <w:rPr>
          <w:rFonts w:hint="eastAsia"/>
          <w:sz w:val="30"/>
          <w:szCs w:val="30"/>
        </w:rPr>
        <w:t>300</w:t>
      </w:r>
      <w:r>
        <w:rPr>
          <w:rFonts w:hint="eastAsia"/>
          <w:sz w:val="30"/>
          <w:szCs w:val="30"/>
        </w:rPr>
        <w:t>万元出资转让给张春媛，同意免去安泱的董事职务。</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日，完成相关董事变更登记。</w:t>
      </w:r>
    </w:p>
    <w:p w:rsidR="00000000" w:rsidRDefault="005875E1">
      <w:pPr>
        <w:spacing w:line="500" w:lineRule="atLeast"/>
        <w:ind w:firstLine="600"/>
        <w:divId w:val="1171065246"/>
        <w:rPr>
          <w:rFonts w:hint="eastAsia"/>
          <w:sz w:val="30"/>
          <w:szCs w:val="30"/>
        </w:rPr>
      </w:pPr>
      <w:r>
        <w:rPr>
          <w:rFonts w:hint="eastAsia"/>
          <w:sz w:val="30"/>
          <w:szCs w:val="30"/>
        </w:rPr>
        <w:t>庭审中，安泱述称，</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日，原告公司召开股东会，同意免去其董事职务，其辞去董事的时间应该以此为准，即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日辞去原告公司董事职务。</w:t>
      </w:r>
    </w:p>
    <w:p w:rsidR="00000000" w:rsidRDefault="005875E1">
      <w:pPr>
        <w:spacing w:line="500" w:lineRule="atLeast"/>
        <w:ind w:firstLine="600"/>
        <w:divId w:val="200359055"/>
        <w:rPr>
          <w:rFonts w:hint="eastAsia"/>
          <w:sz w:val="30"/>
          <w:szCs w:val="30"/>
        </w:rPr>
      </w:pPr>
      <w:r>
        <w:rPr>
          <w:rFonts w:hint="eastAsia"/>
          <w:sz w:val="30"/>
          <w:szCs w:val="30"/>
        </w:rPr>
        <w:t>另，</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日北京市西城区劳动人事争议仲</w:t>
      </w:r>
      <w:r>
        <w:rPr>
          <w:rFonts w:hint="eastAsia"/>
          <w:sz w:val="30"/>
          <w:szCs w:val="30"/>
        </w:rPr>
        <w:t>裁委员会作出的第</w:t>
      </w:r>
      <w:r>
        <w:rPr>
          <w:rFonts w:hint="eastAsia"/>
          <w:sz w:val="30"/>
          <w:szCs w:val="30"/>
        </w:rPr>
        <w:t>4495</w:t>
      </w:r>
      <w:r>
        <w:rPr>
          <w:rFonts w:hint="eastAsia"/>
          <w:sz w:val="30"/>
          <w:szCs w:val="30"/>
        </w:rPr>
        <w:t>号裁决书认定，安泱于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到国心高科（北京）软件系统有限公司工作，担任研发总监、副总经理，并经国心高科（北京）软件系统有限公司同意，安泱在工作期间同时向泰山国心计算机系统有限公司提供劳动。泰山国心计算机系统有限公司系原告的子公司。</w:t>
      </w:r>
    </w:p>
    <w:p w:rsidR="00000000" w:rsidRDefault="005875E1">
      <w:pPr>
        <w:spacing w:line="500" w:lineRule="atLeast"/>
        <w:ind w:firstLine="600"/>
        <w:divId w:val="1264532794"/>
        <w:rPr>
          <w:rFonts w:hint="eastAsia"/>
          <w:sz w:val="30"/>
          <w:szCs w:val="30"/>
        </w:rPr>
      </w:pPr>
      <w:r>
        <w:rPr>
          <w:rFonts w:hint="eastAsia"/>
          <w:sz w:val="30"/>
          <w:szCs w:val="30"/>
        </w:rPr>
        <w:t>三、原告主张被告损害公司利益的具体行为与事实</w:t>
      </w:r>
    </w:p>
    <w:p w:rsidR="00000000" w:rsidRDefault="005875E1">
      <w:pPr>
        <w:spacing w:line="500" w:lineRule="atLeast"/>
        <w:ind w:firstLine="600"/>
        <w:divId w:val="27798203"/>
        <w:rPr>
          <w:rFonts w:hint="eastAsia"/>
          <w:sz w:val="30"/>
          <w:szCs w:val="30"/>
        </w:rPr>
      </w:pPr>
      <w:r>
        <w:rPr>
          <w:rFonts w:hint="eastAsia"/>
          <w:sz w:val="30"/>
          <w:szCs w:val="30"/>
        </w:rPr>
        <w:t>1.</w:t>
      </w:r>
      <w:r>
        <w:rPr>
          <w:rFonts w:hint="eastAsia"/>
          <w:sz w:val="30"/>
          <w:szCs w:val="30"/>
        </w:rPr>
        <w:t>被告在董事任职期间旷工不上班，不履行董事义务，导致原告与泰安政府的合作项目被迫终止。</w:t>
      </w:r>
    </w:p>
    <w:p w:rsidR="00000000" w:rsidRDefault="005875E1">
      <w:pPr>
        <w:spacing w:line="500" w:lineRule="atLeast"/>
        <w:ind w:firstLine="600"/>
        <w:divId w:val="1831017884"/>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日泰安大众网泰安新闻报道称，山东众志电子有限公司携手原告进军国产操作系统，双方在北京举行合</w:t>
      </w:r>
      <w:r>
        <w:rPr>
          <w:rFonts w:hint="eastAsia"/>
          <w:sz w:val="30"/>
          <w:szCs w:val="30"/>
        </w:rPr>
        <w:t>作签约仪式，原告董事长任强、技术总监安泱等参加仪式。</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原告与泰安高新技术产业开发区管理委员会、山东众志电子有限公司签订《战略合作协议》，约定三方共同推动泰安市信息产业未来……重点以国产自主可控操作系统应用生态建设为驱动力，孵化发展行业融合的国产操作系统生态体系。原告与山东众志电子有限公司共同出资设立泰山国心计算机系统有限公司。同时还对各方权利义务进行了约定。</w:t>
      </w:r>
    </w:p>
    <w:p w:rsidR="00000000" w:rsidRDefault="005875E1">
      <w:pPr>
        <w:spacing w:line="500" w:lineRule="atLeast"/>
        <w:ind w:firstLine="600"/>
        <w:divId w:val="1739784195"/>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月，泰山国心计算机系统有限公司与北京天润凯旋投资有限公司签订《投资意向书》，约定北京天润凯旋投资有限公司将收购原告所持有</w:t>
      </w:r>
      <w:r>
        <w:rPr>
          <w:rFonts w:hint="eastAsia"/>
          <w:sz w:val="30"/>
          <w:szCs w:val="30"/>
        </w:rPr>
        <w:t>的泰山国心计算机系统有限公司</w:t>
      </w:r>
      <w:r>
        <w:rPr>
          <w:rFonts w:hint="eastAsia"/>
          <w:sz w:val="30"/>
          <w:szCs w:val="30"/>
        </w:rPr>
        <w:t>23%</w:t>
      </w:r>
      <w:r>
        <w:rPr>
          <w:rFonts w:hint="eastAsia"/>
          <w:sz w:val="30"/>
          <w:szCs w:val="30"/>
        </w:rPr>
        <w:t>的股权，交易步骤为</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日前出资</w:t>
      </w:r>
      <w:r>
        <w:rPr>
          <w:rFonts w:hint="eastAsia"/>
          <w:sz w:val="30"/>
          <w:szCs w:val="30"/>
        </w:rPr>
        <w:t>100</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日前出资</w:t>
      </w:r>
      <w:r>
        <w:rPr>
          <w:rFonts w:hint="eastAsia"/>
          <w:sz w:val="30"/>
          <w:szCs w:val="30"/>
        </w:rPr>
        <w:t>100</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日前出资</w:t>
      </w:r>
      <w:r>
        <w:rPr>
          <w:rFonts w:hint="eastAsia"/>
          <w:sz w:val="30"/>
          <w:szCs w:val="30"/>
        </w:rPr>
        <w:t>400</w:t>
      </w:r>
      <w:r>
        <w:rPr>
          <w:rFonts w:hint="eastAsia"/>
          <w:sz w:val="30"/>
          <w:szCs w:val="30"/>
        </w:rPr>
        <w:t>万元。原告承诺将上述</w:t>
      </w:r>
      <w:r>
        <w:rPr>
          <w:rFonts w:hint="eastAsia"/>
          <w:sz w:val="30"/>
          <w:szCs w:val="30"/>
        </w:rPr>
        <w:t>600</w:t>
      </w:r>
      <w:r>
        <w:rPr>
          <w:rFonts w:hint="eastAsia"/>
          <w:sz w:val="30"/>
          <w:szCs w:val="30"/>
        </w:rPr>
        <w:t>万元出资专款专用，用于向山东众志电子有限公司收购其持有的泰山国心计算机系统有限公司</w:t>
      </w:r>
      <w:r>
        <w:rPr>
          <w:rFonts w:hint="eastAsia"/>
          <w:sz w:val="30"/>
          <w:szCs w:val="30"/>
        </w:rPr>
        <w:t>24%</w:t>
      </w:r>
      <w:r>
        <w:rPr>
          <w:rFonts w:hint="eastAsia"/>
          <w:sz w:val="30"/>
          <w:szCs w:val="30"/>
        </w:rPr>
        <w:t>的股权。</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日北京天润凯旋投资有限公司向原告公司账户转入</w:t>
      </w:r>
      <w:r>
        <w:rPr>
          <w:rFonts w:hint="eastAsia"/>
          <w:sz w:val="30"/>
          <w:szCs w:val="30"/>
        </w:rPr>
        <w:t>100</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日，北京天润凯旋投资有限公司向原告发出告知函，称《投资意向书》约定的交割条件中，核心管理人员及核心技术人员在协议签订之日起一年内不得离任，</w:t>
      </w:r>
      <w:r>
        <w:rPr>
          <w:rFonts w:hint="eastAsia"/>
          <w:sz w:val="30"/>
          <w:szCs w:val="30"/>
        </w:rPr>
        <w:t>离任后一年内不得在同业公司内任职。在尽职调查中发现贵司唯一技术股东、董事、副总经理、技术总监（同时也是北京、泰安两地公司唯一的技术负责人）安泱擅自离职，并带领大部分技术团队成员加入同业公司，鉴于上述事实，我司决定停止对贵司的注资，终止《投资意向书》约定的投资行为。</w:t>
      </w:r>
    </w:p>
    <w:p w:rsidR="00000000" w:rsidRDefault="005875E1">
      <w:pPr>
        <w:spacing w:line="500" w:lineRule="atLeast"/>
        <w:ind w:firstLine="600"/>
        <w:divId w:val="2067026459"/>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原告与山东众志电子有限公司签订《和解协议》。该《和解协议》载明，山东众志电子有限公司与国心高科（北京）软件系统有限公司就泰山国心计算机系统有限公司股权转让纠纷一事，已经在泰安高新技术开发区法院立案，现双方达成以下和解协议：</w:t>
      </w:r>
      <w:r>
        <w:rPr>
          <w:rFonts w:hint="eastAsia"/>
          <w:sz w:val="30"/>
          <w:szCs w:val="30"/>
        </w:rPr>
        <w:t>一、</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山东众志电子有限公司与国心高科（北京）软件系统有限公司签订了《股权转让协议》，因国心高科（北京）软件系统有限公司明确表示无法继续履行股权转让合同，双方同意解除该协议……二、双方同意对泰山国心计算机系统有限公司的持股比例进行变更，变更后山东众志电子公司持泰山国心计算机系统有限公司</w:t>
      </w:r>
      <w:r>
        <w:rPr>
          <w:rFonts w:hint="eastAsia"/>
          <w:sz w:val="30"/>
          <w:szCs w:val="30"/>
        </w:rPr>
        <w:t>100%</w:t>
      </w:r>
      <w:r>
        <w:rPr>
          <w:rFonts w:hint="eastAsia"/>
          <w:sz w:val="30"/>
          <w:szCs w:val="30"/>
        </w:rPr>
        <w:t>的股权……国心高科（北京）软件系统有限公司将其所持泰山国心计算机系统有限公司</w:t>
      </w:r>
      <w:r>
        <w:rPr>
          <w:rFonts w:hint="eastAsia"/>
          <w:sz w:val="30"/>
          <w:szCs w:val="30"/>
        </w:rPr>
        <w:t>66%</w:t>
      </w:r>
      <w:r>
        <w:rPr>
          <w:rFonts w:hint="eastAsia"/>
          <w:sz w:val="30"/>
          <w:szCs w:val="30"/>
        </w:rPr>
        <w:t>的股权以</w:t>
      </w:r>
      <w:r>
        <w:rPr>
          <w:rFonts w:hint="eastAsia"/>
          <w:sz w:val="30"/>
          <w:szCs w:val="30"/>
        </w:rPr>
        <w:t>1</w:t>
      </w:r>
      <w:r>
        <w:rPr>
          <w:rFonts w:hint="eastAsia"/>
          <w:sz w:val="30"/>
          <w:szCs w:val="30"/>
        </w:rPr>
        <w:t>元的对价转让给山东众志电子有限公司。同时，该《和解协议》还就泰山国心计算机系统有限公司交接、债务承担等进行了约</w:t>
      </w:r>
      <w:r>
        <w:rPr>
          <w:rFonts w:hint="eastAsia"/>
          <w:sz w:val="30"/>
          <w:szCs w:val="30"/>
        </w:rPr>
        <w:t>定。</w:t>
      </w:r>
    </w:p>
    <w:p w:rsidR="00000000" w:rsidRDefault="005875E1">
      <w:pPr>
        <w:spacing w:line="500" w:lineRule="atLeast"/>
        <w:ind w:firstLine="600"/>
        <w:divId w:val="1723749977"/>
        <w:rPr>
          <w:rFonts w:hint="eastAsia"/>
          <w:sz w:val="30"/>
          <w:szCs w:val="30"/>
        </w:rPr>
      </w:pPr>
      <w:r>
        <w:rPr>
          <w:rFonts w:hint="eastAsia"/>
          <w:sz w:val="30"/>
          <w:szCs w:val="30"/>
        </w:rPr>
        <w:t>原告认为，因被告的恶意离职，导致原告以及原告出资成立的泰山国心计算机系统有限公司失去北京天润凯旋投资有限公司剩余的</w:t>
      </w:r>
      <w:r>
        <w:rPr>
          <w:rFonts w:hint="eastAsia"/>
          <w:sz w:val="30"/>
          <w:szCs w:val="30"/>
        </w:rPr>
        <w:t>500</w:t>
      </w:r>
      <w:r>
        <w:rPr>
          <w:rFonts w:hint="eastAsia"/>
          <w:sz w:val="30"/>
          <w:szCs w:val="30"/>
        </w:rPr>
        <w:t>万元投资机会，并导致原告无法履行与山东众志电子有限公司的股权转让合同，最终达成和解，丧失了所持泰山国心计算机系统有限公司的全部股权，负担了</w:t>
      </w:r>
      <w:r>
        <w:rPr>
          <w:rFonts w:hint="eastAsia"/>
          <w:sz w:val="30"/>
          <w:szCs w:val="30"/>
        </w:rPr>
        <w:t>1481247.38</w:t>
      </w:r>
      <w:r>
        <w:rPr>
          <w:rFonts w:hint="eastAsia"/>
          <w:sz w:val="30"/>
          <w:szCs w:val="30"/>
        </w:rPr>
        <w:t>元的债务，故原告要求被告赔偿其经济损失</w:t>
      </w:r>
      <w:r>
        <w:rPr>
          <w:rFonts w:hint="eastAsia"/>
          <w:sz w:val="30"/>
          <w:szCs w:val="30"/>
        </w:rPr>
        <w:t>254</w:t>
      </w:r>
      <w:r>
        <w:rPr>
          <w:rFonts w:hint="eastAsia"/>
          <w:sz w:val="30"/>
          <w:szCs w:val="30"/>
        </w:rPr>
        <w:t>万元。原告另称，该</w:t>
      </w:r>
      <w:r>
        <w:rPr>
          <w:rFonts w:hint="eastAsia"/>
          <w:sz w:val="30"/>
          <w:szCs w:val="30"/>
        </w:rPr>
        <w:t>254</w:t>
      </w:r>
      <w:r>
        <w:rPr>
          <w:rFonts w:hint="eastAsia"/>
          <w:sz w:val="30"/>
          <w:szCs w:val="30"/>
        </w:rPr>
        <w:t>万元的赔偿数额是其估算的，没有具体的构成，没有具体的证据支持。被告述称，对《投资意向书》约定的投资事项以及原告与山东众志电子有限公司的《和解协议》均不知情，从未</w:t>
      </w:r>
      <w:r>
        <w:rPr>
          <w:rFonts w:hint="eastAsia"/>
          <w:sz w:val="30"/>
          <w:szCs w:val="30"/>
        </w:rPr>
        <w:t>在股东会或者董事会上披露或讨论过。</w:t>
      </w:r>
    </w:p>
    <w:p w:rsidR="00000000" w:rsidRDefault="005875E1">
      <w:pPr>
        <w:spacing w:line="500" w:lineRule="atLeast"/>
        <w:ind w:firstLine="600"/>
        <w:divId w:val="1012997064"/>
        <w:rPr>
          <w:rFonts w:hint="eastAsia"/>
          <w:sz w:val="30"/>
          <w:szCs w:val="30"/>
        </w:rPr>
      </w:pPr>
      <w:r>
        <w:rPr>
          <w:rFonts w:hint="eastAsia"/>
          <w:sz w:val="30"/>
          <w:szCs w:val="30"/>
        </w:rPr>
        <w:t>2.</w:t>
      </w:r>
      <w:r>
        <w:rPr>
          <w:rFonts w:hint="eastAsia"/>
          <w:sz w:val="30"/>
          <w:szCs w:val="30"/>
        </w:rPr>
        <w:t>被告违反竞业禁止义务，在任原告公司董事期间设立北京原点操作系统科技有限公司并任职。</w:t>
      </w:r>
    </w:p>
    <w:p w:rsidR="00000000" w:rsidRDefault="005875E1">
      <w:pPr>
        <w:spacing w:line="500" w:lineRule="atLeast"/>
        <w:ind w:firstLine="600"/>
        <w:divId w:val="1507818936"/>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日，安泱等</w:t>
      </w:r>
      <w:r>
        <w:rPr>
          <w:rFonts w:hint="eastAsia"/>
          <w:sz w:val="30"/>
          <w:szCs w:val="30"/>
        </w:rPr>
        <w:t>4</w:t>
      </w:r>
      <w:r>
        <w:rPr>
          <w:rFonts w:hint="eastAsia"/>
          <w:sz w:val="30"/>
          <w:szCs w:val="30"/>
        </w:rPr>
        <w:t>人作为发起人共同出资设立北京原点操作系统科技有限公司，初始注册资本</w:t>
      </w:r>
      <w:r>
        <w:rPr>
          <w:rFonts w:hint="eastAsia"/>
          <w:sz w:val="30"/>
          <w:szCs w:val="30"/>
        </w:rPr>
        <w:t>100</w:t>
      </w:r>
      <w:r>
        <w:rPr>
          <w:rFonts w:hint="eastAsia"/>
          <w:sz w:val="30"/>
          <w:szCs w:val="30"/>
        </w:rPr>
        <w:t>万元，安泱认缴并已实际缴纳出资</w:t>
      </w:r>
      <w:r>
        <w:rPr>
          <w:rFonts w:hint="eastAsia"/>
          <w:sz w:val="30"/>
          <w:szCs w:val="30"/>
        </w:rPr>
        <w:t>30</w:t>
      </w:r>
      <w:r>
        <w:rPr>
          <w:rFonts w:hint="eastAsia"/>
          <w:sz w:val="30"/>
          <w:szCs w:val="30"/>
        </w:rPr>
        <w:t>万元，安泱任董事。北京原点操作系统科技有限公司登记的经营范围包括：技术开发、技术推广、技术转让、技术咨询、技术服务、销售自行开发的产品、计算机系统服务、基础软件服务、应用软件服务、软件开发、软件咨询、产品设计、数据处理等。</w:t>
      </w:r>
    </w:p>
    <w:p w:rsidR="00000000" w:rsidRDefault="005875E1">
      <w:pPr>
        <w:spacing w:line="500" w:lineRule="atLeast"/>
        <w:ind w:firstLine="600"/>
        <w:divId w:val="709108795"/>
        <w:rPr>
          <w:rFonts w:hint="eastAsia"/>
          <w:sz w:val="30"/>
          <w:szCs w:val="30"/>
        </w:rPr>
      </w:pP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日，安泱与北京万</w:t>
      </w:r>
      <w:r>
        <w:rPr>
          <w:rFonts w:hint="eastAsia"/>
          <w:sz w:val="30"/>
          <w:szCs w:val="30"/>
        </w:rPr>
        <w:t>**</w:t>
      </w:r>
      <w:r>
        <w:rPr>
          <w:rFonts w:hint="eastAsia"/>
          <w:sz w:val="30"/>
          <w:szCs w:val="30"/>
        </w:rPr>
        <w:t>红科技股份有限公司签订《股权转让协议》，约定将其所持北京原点操作系统科技有限公司</w:t>
      </w:r>
      <w:r>
        <w:rPr>
          <w:rFonts w:hint="eastAsia"/>
          <w:sz w:val="30"/>
          <w:szCs w:val="30"/>
        </w:rPr>
        <w:t>30%</w:t>
      </w:r>
      <w:r>
        <w:rPr>
          <w:rFonts w:hint="eastAsia"/>
          <w:sz w:val="30"/>
          <w:szCs w:val="30"/>
        </w:rPr>
        <w:t>的股权转让给北京万</w:t>
      </w:r>
      <w:r>
        <w:rPr>
          <w:rFonts w:hint="eastAsia"/>
          <w:sz w:val="30"/>
          <w:szCs w:val="30"/>
        </w:rPr>
        <w:t>**</w:t>
      </w:r>
      <w:r>
        <w:rPr>
          <w:rFonts w:hint="eastAsia"/>
          <w:sz w:val="30"/>
          <w:szCs w:val="30"/>
        </w:rPr>
        <w:t>红科技股份有限公司，转让价款为</w:t>
      </w:r>
      <w:r>
        <w:rPr>
          <w:rFonts w:hint="eastAsia"/>
          <w:sz w:val="30"/>
          <w:szCs w:val="30"/>
        </w:rPr>
        <w:t>60</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日，北京原点操作系统科技有限公司召开股东会，免去安泱的董事职务。</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日，完成股东变更登记。</w:t>
      </w:r>
    </w:p>
    <w:p w:rsidR="00000000" w:rsidRDefault="005875E1">
      <w:pPr>
        <w:spacing w:line="500" w:lineRule="atLeast"/>
        <w:ind w:firstLine="600"/>
        <w:divId w:val="1864400438"/>
        <w:rPr>
          <w:rFonts w:hint="eastAsia"/>
          <w:sz w:val="30"/>
          <w:szCs w:val="30"/>
        </w:rPr>
      </w:pPr>
      <w:r>
        <w:rPr>
          <w:rFonts w:hint="eastAsia"/>
          <w:sz w:val="30"/>
          <w:szCs w:val="30"/>
        </w:rPr>
        <w:t>庭审中，被告安泱述称，其设立了北京原点操作系统科技有限公司，是该公司的股东、副总、技术总监，后其将所持北京原点操作系统科技有限公司的股权以</w:t>
      </w:r>
      <w:r>
        <w:rPr>
          <w:rFonts w:hint="eastAsia"/>
          <w:sz w:val="30"/>
          <w:szCs w:val="30"/>
        </w:rPr>
        <w:t>60</w:t>
      </w:r>
      <w:r>
        <w:rPr>
          <w:rFonts w:hint="eastAsia"/>
          <w:sz w:val="30"/>
          <w:szCs w:val="30"/>
        </w:rPr>
        <w:t>万元的价格转让给北京万</w:t>
      </w:r>
      <w:r>
        <w:rPr>
          <w:rFonts w:hint="eastAsia"/>
          <w:sz w:val="30"/>
          <w:szCs w:val="30"/>
        </w:rPr>
        <w:t>**</w:t>
      </w:r>
      <w:r>
        <w:rPr>
          <w:rFonts w:hint="eastAsia"/>
          <w:sz w:val="30"/>
          <w:szCs w:val="30"/>
        </w:rPr>
        <w:t>红科技股份有限公司，股权转让款</w:t>
      </w:r>
      <w:r>
        <w:rPr>
          <w:rFonts w:hint="eastAsia"/>
          <w:sz w:val="30"/>
          <w:szCs w:val="30"/>
        </w:rPr>
        <w:t>60</w:t>
      </w:r>
      <w:r>
        <w:rPr>
          <w:rFonts w:hint="eastAsia"/>
          <w:sz w:val="30"/>
          <w:szCs w:val="30"/>
        </w:rPr>
        <w:t>万</w:t>
      </w:r>
      <w:r>
        <w:rPr>
          <w:rFonts w:hint="eastAsia"/>
          <w:sz w:val="30"/>
          <w:szCs w:val="30"/>
        </w:rPr>
        <w:t>元已经收到，股权转出后与该公司再无任何关系，在北京原点操作系统科技有限公司任职期间，共有三笔工资收入，分别是</w:t>
      </w:r>
      <w:r>
        <w:rPr>
          <w:rFonts w:hint="eastAsia"/>
          <w:sz w:val="30"/>
          <w:szCs w:val="30"/>
        </w:rPr>
        <w:t>19550</w:t>
      </w:r>
      <w:r>
        <w:rPr>
          <w:rFonts w:hint="eastAsia"/>
          <w:sz w:val="30"/>
          <w:szCs w:val="30"/>
        </w:rPr>
        <w:t>元、</w:t>
      </w:r>
      <w:r>
        <w:rPr>
          <w:rFonts w:hint="eastAsia"/>
          <w:sz w:val="30"/>
          <w:szCs w:val="30"/>
        </w:rPr>
        <w:t>9850</w:t>
      </w:r>
      <w:r>
        <w:rPr>
          <w:rFonts w:hint="eastAsia"/>
          <w:sz w:val="30"/>
          <w:szCs w:val="30"/>
        </w:rPr>
        <w:t>元与</w:t>
      </w:r>
      <w:r>
        <w:rPr>
          <w:rFonts w:hint="eastAsia"/>
          <w:sz w:val="30"/>
          <w:szCs w:val="30"/>
        </w:rPr>
        <w:t>37620</w:t>
      </w:r>
      <w:r>
        <w:rPr>
          <w:rFonts w:hint="eastAsia"/>
          <w:sz w:val="30"/>
          <w:szCs w:val="30"/>
        </w:rPr>
        <w:t>元。原告对被告的上述陈述均予以认可。</w:t>
      </w:r>
    </w:p>
    <w:p w:rsidR="00000000" w:rsidRDefault="005875E1">
      <w:pPr>
        <w:spacing w:line="500" w:lineRule="atLeast"/>
        <w:ind w:firstLine="600"/>
        <w:divId w:val="2092920913"/>
        <w:rPr>
          <w:rFonts w:hint="eastAsia"/>
          <w:sz w:val="30"/>
          <w:szCs w:val="30"/>
        </w:rPr>
      </w:pPr>
      <w:r>
        <w:rPr>
          <w:rFonts w:hint="eastAsia"/>
          <w:sz w:val="30"/>
          <w:szCs w:val="30"/>
        </w:rPr>
        <w:t>上述事实，有国心高科（北京）软件系统有限公司工商登记信息、北京原点操作系统科技有限公司工商登记信息、北京市西城区劳动争议仲裁委员会裁决书、战略合作协议、投资意向书、和解协议等证据以及原被告双方当事人的当庭陈述在案佐证。</w:t>
      </w:r>
    </w:p>
    <w:p w:rsidR="00000000" w:rsidRDefault="005875E1">
      <w:pPr>
        <w:spacing w:line="500" w:lineRule="atLeast"/>
        <w:ind w:firstLine="600"/>
        <w:divId w:val="53432749"/>
        <w:rPr>
          <w:rFonts w:hint="eastAsia"/>
          <w:sz w:val="30"/>
          <w:szCs w:val="30"/>
        </w:rPr>
      </w:pPr>
      <w:r>
        <w:rPr>
          <w:rFonts w:hint="eastAsia"/>
          <w:sz w:val="30"/>
          <w:szCs w:val="30"/>
        </w:rPr>
        <w:t>本院认为，《中华人民共和国公司法》第一百四十七条规定，董事、监事、高级管理人员应当遵守法律、行政法规和公司章程</w:t>
      </w:r>
      <w:r>
        <w:rPr>
          <w:rFonts w:hint="eastAsia"/>
          <w:sz w:val="30"/>
          <w:szCs w:val="30"/>
        </w:rPr>
        <w:t>，对公司负有忠实义务和勤勉义务。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w:t>
      </w:r>
      <w:r>
        <w:rPr>
          <w:rFonts w:hint="eastAsia"/>
          <w:sz w:val="30"/>
          <w:szCs w:val="30"/>
        </w:rPr>
        <w:t>的佣金归为己有；（七）擅自披露公司秘密；（八）违反对公司忠实义务的其他行为。董事、高级管理人员违反前款规定所得的收入应当归公司所有。本案中，原告公司与北京原点操作系统科技有限公司登记的经营范围中，均包含“技术开发、计算机系统服务、软件开发、数据处理”等项目，二者属于经营同类业务的公司。被告安泱在任原告公司董事期间，未经股东会或者股东大会同意，作为发起人股东设立北京原点操作系统科技有限公司，并任董事、副总、技术总监，自营或为他人经营北京原点操作系统科技有限公司，其行为已经违反了董事对公司所负有的忠实义务，依法</w:t>
      </w:r>
      <w:r>
        <w:rPr>
          <w:rFonts w:hint="eastAsia"/>
          <w:sz w:val="30"/>
          <w:szCs w:val="30"/>
        </w:rPr>
        <w:t>应当承担相应的法律责任。原告要求对安泱转让北京原点操作系统科技有限公司股权产生的溢价款与其任职期间的工资收入行使归入权的诉讼请求，依据充分，应予支持。</w:t>
      </w:r>
    </w:p>
    <w:p w:rsidR="00000000" w:rsidRDefault="005875E1">
      <w:pPr>
        <w:spacing w:line="500" w:lineRule="atLeast"/>
        <w:ind w:firstLine="600"/>
        <w:divId w:val="1920868540"/>
        <w:rPr>
          <w:rFonts w:hint="eastAsia"/>
          <w:sz w:val="30"/>
          <w:szCs w:val="30"/>
        </w:rPr>
      </w:pPr>
      <w:r>
        <w:rPr>
          <w:rFonts w:hint="eastAsia"/>
          <w:sz w:val="30"/>
          <w:szCs w:val="30"/>
        </w:rPr>
        <w:t>关于原告要求被告安泱赔偿损失</w:t>
      </w:r>
      <w:r>
        <w:rPr>
          <w:rFonts w:hint="eastAsia"/>
          <w:sz w:val="30"/>
          <w:szCs w:val="30"/>
        </w:rPr>
        <w:t>254</w:t>
      </w:r>
      <w:r>
        <w:rPr>
          <w:rFonts w:hint="eastAsia"/>
          <w:sz w:val="30"/>
          <w:szCs w:val="30"/>
        </w:rPr>
        <w:t>万元的主张，鉴于原告未能提出证据证明存在该损失以及该损失与安泱之间具有因果关系，故本院不予支持。</w:t>
      </w:r>
    </w:p>
    <w:p w:rsidR="00000000" w:rsidRDefault="005875E1">
      <w:pPr>
        <w:spacing w:line="500" w:lineRule="atLeast"/>
        <w:ind w:firstLine="600"/>
        <w:divId w:val="1853178207"/>
        <w:rPr>
          <w:rFonts w:hint="eastAsia"/>
          <w:sz w:val="30"/>
          <w:szCs w:val="30"/>
        </w:rPr>
      </w:pPr>
      <w:r>
        <w:rPr>
          <w:rFonts w:hint="eastAsia"/>
          <w:sz w:val="30"/>
          <w:szCs w:val="30"/>
        </w:rPr>
        <w:t>综上所述，根据《中华人民共和国公司法》第一百四十七条、第一百四十八条与《中华人民共和国民事诉讼法》第六十四条第一款之规定，判决如下：</w:t>
      </w:r>
    </w:p>
    <w:p w:rsidR="00000000" w:rsidRDefault="005875E1">
      <w:pPr>
        <w:spacing w:line="500" w:lineRule="atLeast"/>
        <w:ind w:firstLine="600"/>
        <w:divId w:val="1961958384"/>
        <w:rPr>
          <w:rFonts w:hint="eastAsia"/>
          <w:sz w:val="30"/>
          <w:szCs w:val="30"/>
        </w:rPr>
      </w:pPr>
      <w:r>
        <w:rPr>
          <w:rFonts w:hint="eastAsia"/>
          <w:sz w:val="30"/>
          <w:szCs w:val="30"/>
        </w:rPr>
        <w:t>一、被告安泱于本判决生效之日起十日内支付原告国心高科（北京）软件系统有限公司</w:t>
      </w:r>
      <w:r>
        <w:rPr>
          <w:rFonts w:hint="eastAsia"/>
          <w:sz w:val="30"/>
          <w:szCs w:val="30"/>
        </w:rPr>
        <w:t>367020</w:t>
      </w:r>
      <w:r>
        <w:rPr>
          <w:rFonts w:hint="eastAsia"/>
          <w:sz w:val="30"/>
          <w:szCs w:val="30"/>
        </w:rPr>
        <w:t>元；</w:t>
      </w:r>
    </w:p>
    <w:p w:rsidR="00000000" w:rsidRDefault="005875E1">
      <w:pPr>
        <w:spacing w:line="500" w:lineRule="atLeast"/>
        <w:ind w:firstLine="600"/>
        <w:divId w:val="1207794082"/>
        <w:rPr>
          <w:rFonts w:hint="eastAsia"/>
          <w:sz w:val="30"/>
          <w:szCs w:val="30"/>
        </w:rPr>
      </w:pPr>
      <w:r>
        <w:rPr>
          <w:rFonts w:hint="eastAsia"/>
          <w:sz w:val="30"/>
          <w:szCs w:val="30"/>
        </w:rPr>
        <w:t>二、驳回原告国心高科（北京）软件系统有限公司的其他诉讼请求。</w:t>
      </w:r>
    </w:p>
    <w:p w:rsidR="00000000" w:rsidRDefault="005875E1">
      <w:pPr>
        <w:spacing w:line="500" w:lineRule="atLeast"/>
        <w:ind w:firstLine="600"/>
        <w:divId w:val="150405566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5875E1">
      <w:pPr>
        <w:spacing w:line="500" w:lineRule="atLeast"/>
        <w:ind w:firstLine="600"/>
        <w:divId w:val="1718775072"/>
        <w:rPr>
          <w:rFonts w:hint="eastAsia"/>
          <w:sz w:val="30"/>
          <w:szCs w:val="30"/>
        </w:rPr>
      </w:pPr>
      <w:r>
        <w:rPr>
          <w:rFonts w:hint="eastAsia"/>
          <w:sz w:val="30"/>
          <w:szCs w:val="30"/>
        </w:rPr>
        <w:t>案件受理费</w:t>
      </w:r>
      <w:r>
        <w:rPr>
          <w:rFonts w:hint="eastAsia"/>
          <w:sz w:val="30"/>
          <w:szCs w:val="30"/>
        </w:rPr>
        <w:t>30056</w:t>
      </w:r>
      <w:r>
        <w:rPr>
          <w:rFonts w:hint="eastAsia"/>
          <w:sz w:val="30"/>
          <w:szCs w:val="30"/>
        </w:rPr>
        <w:t>元，由原告国心高科（北京）软件系统有限公司负担</w:t>
      </w:r>
      <w:r>
        <w:rPr>
          <w:rFonts w:hint="eastAsia"/>
          <w:sz w:val="30"/>
          <w:szCs w:val="30"/>
        </w:rPr>
        <w:t>23000</w:t>
      </w:r>
      <w:r>
        <w:rPr>
          <w:rFonts w:hint="eastAsia"/>
          <w:sz w:val="30"/>
          <w:szCs w:val="30"/>
        </w:rPr>
        <w:t>元，由被告安泱负担</w:t>
      </w:r>
      <w:r>
        <w:rPr>
          <w:rFonts w:hint="eastAsia"/>
          <w:sz w:val="30"/>
          <w:szCs w:val="30"/>
        </w:rPr>
        <w:t>7056</w:t>
      </w:r>
      <w:r>
        <w:rPr>
          <w:rFonts w:hint="eastAsia"/>
          <w:sz w:val="30"/>
          <w:szCs w:val="30"/>
        </w:rPr>
        <w:t>元（于本判决生效之日起七日内交纳）。</w:t>
      </w:r>
    </w:p>
    <w:p w:rsidR="00000000" w:rsidRDefault="005875E1">
      <w:pPr>
        <w:spacing w:line="500" w:lineRule="atLeast"/>
        <w:ind w:firstLine="600"/>
        <w:divId w:val="415638573"/>
        <w:rPr>
          <w:rFonts w:hint="eastAsia"/>
          <w:sz w:val="30"/>
          <w:szCs w:val="30"/>
        </w:rPr>
      </w:pPr>
      <w:r>
        <w:rPr>
          <w:rFonts w:hint="eastAsia"/>
          <w:sz w:val="30"/>
          <w:szCs w:val="30"/>
        </w:rPr>
        <w:t>如不服本判决，可以在判决书送达之日起十五日内，向本院递交上诉状，并按照对方当事人或者代表人的人数提出副本，上诉于北京市第二中级人民法院。</w:t>
      </w:r>
    </w:p>
    <w:p w:rsidR="00000000" w:rsidRDefault="005875E1">
      <w:pPr>
        <w:spacing w:line="500" w:lineRule="atLeast"/>
        <w:jc w:val="right"/>
        <w:divId w:val="1542596193"/>
        <w:rPr>
          <w:rFonts w:hint="eastAsia"/>
          <w:sz w:val="30"/>
          <w:szCs w:val="30"/>
        </w:rPr>
      </w:pPr>
      <w:r>
        <w:rPr>
          <w:rFonts w:hint="eastAsia"/>
          <w:sz w:val="30"/>
          <w:szCs w:val="30"/>
        </w:rPr>
        <w:t>审判员　冯　宁</w:t>
      </w:r>
    </w:p>
    <w:p w:rsidR="00000000" w:rsidRDefault="005875E1">
      <w:pPr>
        <w:spacing w:line="500" w:lineRule="atLeast"/>
        <w:jc w:val="right"/>
        <w:divId w:val="1561405826"/>
        <w:rPr>
          <w:rFonts w:hint="eastAsia"/>
          <w:sz w:val="30"/>
          <w:szCs w:val="30"/>
        </w:rPr>
      </w:pPr>
      <w:r>
        <w:rPr>
          <w:rFonts w:hint="eastAsia"/>
          <w:sz w:val="30"/>
          <w:szCs w:val="30"/>
        </w:rPr>
        <w:t>二〇二一年一月二十五日</w:t>
      </w:r>
    </w:p>
    <w:p w:rsidR="00000000" w:rsidRDefault="005875E1">
      <w:pPr>
        <w:spacing w:line="500" w:lineRule="atLeast"/>
        <w:jc w:val="right"/>
        <w:divId w:val="1902983556"/>
        <w:rPr>
          <w:rFonts w:hint="eastAsia"/>
          <w:sz w:val="30"/>
          <w:szCs w:val="30"/>
        </w:rPr>
      </w:pPr>
      <w:r>
        <w:rPr>
          <w:rFonts w:hint="eastAsia"/>
          <w:sz w:val="30"/>
          <w:szCs w:val="30"/>
        </w:rPr>
        <w:t>书记员　宋丽萍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5E1" w:rsidRDefault="005875E1" w:rsidP="005875E1">
      <w:r>
        <w:separator/>
      </w:r>
    </w:p>
  </w:endnote>
  <w:endnote w:type="continuationSeparator" w:id="0">
    <w:p w:rsidR="005875E1" w:rsidRDefault="005875E1" w:rsidP="0058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5E1" w:rsidRDefault="005875E1" w:rsidP="005875E1">
      <w:r>
        <w:separator/>
      </w:r>
    </w:p>
  </w:footnote>
  <w:footnote w:type="continuationSeparator" w:id="0">
    <w:p w:rsidR="005875E1" w:rsidRDefault="005875E1" w:rsidP="00587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75E1"/>
    <w:rsid w:val="0058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875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5E1"/>
    <w:rPr>
      <w:rFonts w:ascii="宋体" w:eastAsia="宋体" w:hAnsi="宋体" w:cs="宋体"/>
      <w:sz w:val="18"/>
      <w:szCs w:val="18"/>
    </w:rPr>
  </w:style>
  <w:style w:type="paragraph" w:styleId="a5">
    <w:name w:val="footer"/>
    <w:basedOn w:val="a"/>
    <w:link w:val="a6"/>
    <w:uiPriority w:val="99"/>
    <w:unhideWhenUsed/>
    <w:rsid w:val="005875E1"/>
    <w:pPr>
      <w:tabs>
        <w:tab w:val="center" w:pos="4153"/>
        <w:tab w:val="right" w:pos="8306"/>
      </w:tabs>
      <w:snapToGrid w:val="0"/>
    </w:pPr>
    <w:rPr>
      <w:sz w:val="18"/>
      <w:szCs w:val="18"/>
    </w:rPr>
  </w:style>
  <w:style w:type="character" w:customStyle="1" w:styleId="a6">
    <w:name w:val="页脚 字符"/>
    <w:basedOn w:val="a0"/>
    <w:link w:val="a5"/>
    <w:uiPriority w:val="99"/>
    <w:rsid w:val="005875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8203">
      <w:marLeft w:val="0"/>
      <w:marRight w:val="0"/>
      <w:marTop w:val="10"/>
      <w:marBottom w:val="10"/>
      <w:divBdr>
        <w:top w:val="none" w:sz="0" w:space="0" w:color="auto"/>
        <w:left w:val="none" w:sz="0" w:space="0" w:color="auto"/>
        <w:bottom w:val="none" w:sz="0" w:space="0" w:color="auto"/>
        <w:right w:val="none" w:sz="0" w:space="0" w:color="auto"/>
      </w:divBdr>
    </w:div>
    <w:div w:id="53432749">
      <w:marLeft w:val="0"/>
      <w:marRight w:val="0"/>
      <w:marTop w:val="10"/>
      <w:marBottom w:val="10"/>
      <w:divBdr>
        <w:top w:val="none" w:sz="0" w:space="0" w:color="auto"/>
        <w:left w:val="none" w:sz="0" w:space="0" w:color="auto"/>
        <w:bottom w:val="none" w:sz="0" w:space="0" w:color="auto"/>
        <w:right w:val="none" w:sz="0" w:space="0" w:color="auto"/>
      </w:divBdr>
    </w:div>
    <w:div w:id="109399415">
      <w:marLeft w:val="0"/>
      <w:marRight w:val="0"/>
      <w:marTop w:val="10"/>
      <w:marBottom w:val="10"/>
      <w:divBdr>
        <w:top w:val="none" w:sz="0" w:space="0" w:color="auto"/>
        <w:left w:val="none" w:sz="0" w:space="0" w:color="auto"/>
        <w:bottom w:val="none" w:sz="0" w:space="0" w:color="auto"/>
        <w:right w:val="none" w:sz="0" w:space="0" w:color="auto"/>
      </w:divBdr>
    </w:div>
    <w:div w:id="154298223">
      <w:marLeft w:val="0"/>
      <w:marRight w:val="0"/>
      <w:marTop w:val="10"/>
      <w:marBottom w:val="10"/>
      <w:divBdr>
        <w:top w:val="none" w:sz="0" w:space="0" w:color="auto"/>
        <w:left w:val="none" w:sz="0" w:space="0" w:color="auto"/>
        <w:bottom w:val="none" w:sz="0" w:space="0" w:color="auto"/>
        <w:right w:val="none" w:sz="0" w:space="0" w:color="auto"/>
      </w:divBdr>
    </w:div>
    <w:div w:id="200359055">
      <w:marLeft w:val="0"/>
      <w:marRight w:val="0"/>
      <w:marTop w:val="10"/>
      <w:marBottom w:val="10"/>
      <w:divBdr>
        <w:top w:val="none" w:sz="0" w:space="0" w:color="auto"/>
        <w:left w:val="none" w:sz="0" w:space="0" w:color="auto"/>
        <w:bottom w:val="none" w:sz="0" w:space="0" w:color="auto"/>
        <w:right w:val="none" w:sz="0" w:space="0" w:color="auto"/>
      </w:divBdr>
    </w:div>
    <w:div w:id="309360419">
      <w:marLeft w:val="0"/>
      <w:marRight w:val="0"/>
      <w:marTop w:val="10"/>
      <w:marBottom w:val="10"/>
      <w:divBdr>
        <w:top w:val="none" w:sz="0" w:space="0" w:color="auto"/>
        <w:left w:val="none" w:sz="0" w:space="0" w:color="auto"/>
        <w:bottom w:val="none" w:sz="0" w:space="0" w:color="auto"/>
        <w:right w:val="none" w:sz="0" w:space="0" w:color="auto"/>
      </w:divBdr>
    </w:div>
    <w:div w:id="415638573">
      <w:marLeft w:val="0"/>
      <w:marRight w:val="0"/>
      <w:marTop w:val="10"/>
      <w:marBottom w:val="10"/>
      <w:divBdr>
        <w:top w:val="none" w:sz="0" w:space="0" w:color="auto"/>
        <w:left w:val="none" w:sz="0" w:space="0" w:color="auto"/>
        <w:bottom w:val="none" w:sz="0" w:space="0" w:color="auto"/>
        <w:right w:val="none" w:sz="0" w:space="0" w:color="auto"/>
      </w:divBdr>
    </w:div>
    <w:div w:id="625699819">
      <w:marLeft w:val="0"/>
      <w:marRight w:val="0"/>
      <w:marTop w:val="10"/>
      <w:marBottom w:val="10"/>
      <w:divBdr>
        <w:top w:val="none" w:sz="0" w:space="0" w:color="auto"/>
        <w:left w:val="none" w:sz="0" w:space="0" w:color="auto"/>
        <w:bottom w:val="none" w:sz="0" w:space="0" w:color="auto"/>
        <w:right w:val="none" w:sz="0" w:space="0" w:color="auto"/>
      </w:divBdr>
    </w:div>
    <w:div w:id="709108795">
      <w:marLeft w:val="0"/>
      <w:marRight w:val="0"/>
      <w:marTop w:val="10"/>
      <w:marBottom w:val="10"/>
      <w:divBdr>
        <w:top w:val="none" w:sz="0" w:space="0" w:color="auto"/>
        <w:left w:val="none" w:sz="0" w:space="0" w:color="auto"/>
        <w:bottom w:val="none" w:sz="0" w:space="0" w:color="auto"/>
        <w:right w:val="none" w:sz="0" w:space="0" w:color="auto"/>
      </w:divBdr>
    </w:div>
    <w:div w:id="721291576">
      <w:marLeft w:val="0"/>
      <w:marRight w:val="0"/>
      <w:marTop w:val="10"/>
      <w:marBottom w:val="10"/>
      <w:divBdr>
        <w:top w:val="none" w:sz="0" w:space="0" w:color="auto"/>
        <w:left w:val="none" w:sz="0" w:space="0" w:color="auto"/>
        <w:bottom w:val="none" w:sz="0" w:space="0" w:color="auto"/>
        <w:right w:val="none" w:sz="0" w:space="0" w:color="auto"/>
      </w:divBdr>
    </w:div>
    <w:div w:id="802388183">
      <w:marLeft w:val="0"/>
      <w:marRight w:val="0"/>
      <w:marTop w:val="10"/>
      <w:marBottom w:val="10"/>
      <w:divBdr>
        <w:top w:val="none" w:sz="0" w:space="0" w:color="auto"/>
        <w:left w:val="none" w:sz="0" w:space="0" w:color="auto"/>
        <w:bottom w:val="none" w:sz="0" w:space="0" w:color="auto"/>
        <w:right w:val="none" w:sz="0" w:space="0" w:color="auto"/>
      </w:divBdr>
    </w:div>
    <w:div w:id="823014958">
      <w:marLeft w:val="0"/>
      <w:marRight w:val="0"/>
      <w:marTop w:val="10"/>
      <w:marBottom w:val="10"/>
      <w:divBdr>
        <w:top w:val="none" w:sz="0" w:space="0" w:color="auto"/>
        <w:left w:val="none" w:sz="0" w:space="0" w:color="auto"/>
        <w:bottom w:val="none" w:sz="0" w:space="0" w:color="auto"/>
        <w:right w:val="none" w:sz="0" w:space="0" w:color="auto"/>
      </w:divBdr>
    </w:div>
    <w:div w:id="929118391">
      <w:marLeft w:val="0"/>
      <w:marRight w:val="0"/>
      <w:marTop w:val="10"/>
      <w:marBottom w:val="10"/>
      <w:divBdr>
        <w:top w:val="none" w:sz="0" w:space="0" w:color="auto"/>
        <w:left w:val="none" w:sz="0" w:space="0" w:color="auto"/>
        <w:bottom w:val="none" w:sz="0" w:space="0" w:color="auto"/>
        <w:right w:val="none" w:sz="0" w:space="0" w:color="auto"/>
      </w:divBdr>
    </w:div>
    <w:div w:id="1012997064">
      <w:marLeft w:val="0"/>
      <w:marRight w:val="0"/>
      <w:marTop w:val="10"/>
      <w:marBottom w:val="10"/>
      <w:divBdr>
        <w:top w:val="none" w:sz="0" w:space="0" w:color="auto"/>
        <w:left w:val="none" w:sz="0" w:space="0" w:color="auto"/>
        <w:bottom w:val="none" w:sz="0" w:space="0" w:color="auto"/>
        <w:right w:val="none" w:sz="0" w:space="0" w:color="auto"/>
      </w:divBdr>
    </w:div>
    <w:div w:id="1171065246">
      <w:marLeft w:val="0"/>
      <w:marRight w:val="0"/>
      <w:marTop w:val="10"/>
      <w:marBottom w:val="10"/>
      <w:divBdr>
        <w:top w:val="none" w:sz="0" w:space="0" w:color="auto"/>
        <w:left w:val="none" w:sz="0" w:space="0" w:color="auto"/>
        <w:bottom w:val="none" w:sz="0" w:space="0" w:color="auto"/>
        <w:right w:val="none" w:sz="0" w:space="0" w:color="auto"/>
      </w:divBdr>
    </w:div>
    <w:div w:id="1207794082">
      <w:marLeft w:val="0"/>
      <w:marRight w:val="0"/>
      <w:marTop w:val="10"/>
      <w:marBottom w:val="10"/>
      <w:divBdr>
        <w:top w:val="none" w:sz="0" w:space="0" w:color="auto"/>
        <w:left w:val="none" w:sz="0" w:space="0" w:color="auto"/>
        <w:bottom w:val="none" w:sz="0" w:space="0" w:color="auto"/>
        <w:right w:val="none" w:sz="0" w:space="0" w:color="auto"/>
      </w:divBdr>
    </w:div>
    <w:div w:id="1264532794">
      <w:marLeft w:val="0"/>
      <w:marRight w:val="0"/>
      <w:marTop w:val="10"/>
      <w:marBottom w:val="10"/>
      <w:divBdr>
        <w:top w:val="none" w:sz="0" w:space="0" w:color="auto"/>
        <w:left w:val="none" w:sz="0" w:space="0" w:color="auto"/>
        <w:bottom w:val="none" w:sz="0" w:space="0" w:color="auto"/>
        <w:right w:val="none" w:sz="0" w:space="0" w:color="auto"/>
      </w:divBdr>
    </w:div>
    <w:div w:id="1374960233">
      <w:marLeft w:val="0"/>
      <w:marRight w:val="0"/>
      <w:marTop w:val="10"/>
      <w:marBottom w:val="10"/>
      <w:divBdr>
        <w:top w:val="none" w:sz="0" w:space="0" w:color="auto"/>
        <w:left w:val="none" w:sz="0" w:space="0" w:color="auto"/>
        <w:bottom w:val="none" w:sz="0" w:space="0" w:color="auto"/>
        <w:right w:val="none" w:sz="0" w:space="0" w:color="auto"/>
      </w:divBdr>
    </w:div>
    <w:div w:id="1504055660">
      <w:marLeft w:val="0"/>
      <w:marRight w:val="0"/>
      <w:marTop w:val="10"/>
      <w:marBottom w:val="10"/>
      <w:divBdr>
        <w:top w:val="none" w:sz="0" w:space="0" w:color="auto"/>
        <w:left w:val="none" w:sz="0" w:space="0" w:color="auto"/>
        <w:bottom w:val="none" w:sz="0" w:space="0" w:color="auto"/>
        <w:right w:val="none" w:sz="0" w:space="0" w:color="auto"/>
      </w:divBdr>
    </w:div>
    <w:div w:id="1507818936">
      <w:marLeft w:val="0"/>
      <w:marRight w:val="0"/>
      <w:marTop w:val="10"/>
      <w:marBottom w:val="10"/>
      <w:divBdr>
        <w:top w:val="none" w:sz="0" w:space="0" w:color="auto"/>
        <w:left w:val="none" w:sz="0" w:space="0" w:color="auto"/>
        <w:bottom w:val="none" w:sz="0" w:space="0" w:color="auto"/>
        <w:right w:val="none" w:sz="0" w:space="0" w:color="auto"/>
      </w:divBdr>
    </w:div>
    <w:div w:id="1542596193">
      <w:marLeft w:val="0"/>
      <w:marRight w:val="720"/>
      <w:marTop w:val="10"/>
      <w:marBottom w:val="10"/>
      <w:divBdr>
        <w:top w:val="none" w:sz="0" w:space="0" w:color="auto"/>
        <w:left w:val="none" w:sz="0" w:space="0" w:color="auto"/>
        <w:bottom w:val="none" w:sz="0" w:space="0" w:color="auto"/>
        <w:right w:val="none" w:sz="0" w:space="0" w:color="auto"/>
      </w:divBdr>
    </w:div>
    <w:div w:id="1561405826">
      <w:marLeft w:val="0"/>
      <w:marRight w:val="720"/>
      <w:marTop w:val="10"/>
      <w:marBottom w:val="10"/>
      <w:divBdr>
        <w:top w:val="none" w:sz="0" w:space="0" w:color="auto"/>
        <w:left w:val="none" w:sz="0" w:space="0" w:color="auto"/>
        <w:bottom w:val="none" w:sz="0" w:space="0" w:color="auto"/>
        <w:right w:val="none" w:sz="0" w:space="0" w:color="auto"/>
      </w:divBdr>
    </w:div>
    <w:div w:id="1606041551">
      <w:marLeft w:val="0"/>
      <w:marRight w:val="0"/>
      <w:marTop w:val="10"/>
      <w:marBottom w:val="10"/>
      <w:divBdr>
        <w:top w:val="none" w:sz="0" w:space="0" w:color="auto"/>
        <w:left w:val="none" w:sz="0" w:space="0" w:color="auto"/>
        <w:bottom w:val="none" w:sz="0" w:space="0" w:color="auto"/>
        <w:right w:val="none" w:sz="0" w:space="0" w:color="auto"/>
      </w:divBdr>
    </w:div>
    <w:div w:id="1606844072">
      <w:marLeft w:val="0"/>
      <w:marRight w:val="0"/>
      <w:marTop w:val="10"/>
      <w:marBottom w:val="10"/>
      <w:divBdr>
        <w:top w:val="none" w:sz="0" w:space="0" w:color="auto"/>
        <w:left w:val="none" w:sz="0" w:space="0" w:color="auto"/>
        <w:bottom w:val="none" w:sz="0" w:space="0" w:color="auto"/>
        <w:right w:val="none" w:sz="0" w:space="0" w:color="auto"/>
      </w:divBdr>
    </w:div>
    <w:div w:id="1658073841">
      <w:marLeft w:val="0"/>
      <w:marRight w:val="0"/>
      <w:marTop w:val="10"/>
      <w:marBottom w:val="10"/>
      <w:divBdr>
        <w:top w:val="none" w:sz="0" w:space="0" w:color="auto"/>
        <w:left w:val="none" w:sz="0" w:space="0" w:color="auto"/>
        <w:bottom w:val="none" w:sz="0" w:space="0" w:color="auto"/>
        <w:right w:val="none" w:sz="0" w:space="0" w:color="auto"/>
      </w:divBdr>
    </w:div>
    <w:div w:id="1708679490">
      <w:marLeft w:val="0"/>
      <w:marRight w:val="0"/>
      <w:marTop w:val="10"/>
      <w:marBottom w:val="10"/>
      <w:divBdr>
        <w:top w:val="none" w:sz="0" w:space="0" w:color="auto"/>
        <w:left w:val="none" w:sz="0" w:space="0" w:color="auto"/>
        <w:bottom w:val="none" w:sz="0" w:space="0" w:color="auto"/>
        <w:right w:val="none" w:sz="0" w:space="0" w:color="auto"/>
      </w:divBdr>
    </w:div>
    <w:div w:id="1718775072">
      <w:marLeft w:val="0"/>
      <w:marRight w:val="0"/>
      <w:marTop w:val="10"/>
      <w:marBottom w:val="10"/>
      <w:divBdr>
        <w:top w:val="none" w:sz="0" w:space="0" w:color="auto"/>
        <w:left w:val="none" w:sz="0" w:space="0" w:color="auto"/>
        <w:bottom w:val="none" w:sz="0" w:space="0" w:color="auto"/>
        <w:right w:val="none" w:sz="0" w:space="0" w:color="auto"/>
      </w:divBdr>
    </w:div>
    <w:div w:id="1723749977">
      <w:marLeft w:val="0"/>
      <w:marRight w:val="0"/>
      <w:marTop w:val="10"/>
      <w:marBottom w:val="10"/>
      <w:divBdr>
        <w:top w:val="none" w:sz="0" w:space="0" w:color="auto"/>
        <w:left w:val="none" w:sz="0" w:space="0" w:color="auto"/>
        <w:bottom w:val="none" w:sz="0" w:space="0" w:color="auto"/>
        <w:right w:val="none" w:sz="0" w:space="0" w:color="auto"/>
      </w:divBdr>
    </w:div>
    <w:div w:id="1739784195">
      <w:marLeft w:val="0"/>
      <w:marRight w:val="0"/>
      <w:marTop w:val="10"/>
      <w:marBottom w:val="10"/>
      <w:divBdr>
        <w:top w:val="none" w:sz="0" w:space="0" w:color="auto"/>
        <w:left w:val="none" w:sz="0" w:space="0" w:color="auto"/>
        <w:bottom w:val="none" w:sz="0" w:space="0" w:color="auto"/>
        <w:right w:val="none" w:sz="0" w:space="0" w:color="auto"/>
      </w:divBdr>
    </w:div>
    <w:div w:id="1788886775">
      <w:marLeft w:val="0"/>
      <w:marRight w:val="0"/>
      <w:marTop w:val="10"/>
      <w:marBottom w:val="10"/>
      <w:divBdr>
        <w:top w:val="none" w:sz="0" w:space="0" w:color="auto"/>
        <w:left w:val="none" w:sz="0" w:space="0" w:color="auto"/>
        <w:bottom w:val="none" w:sz="0" w:space="0" w:color="auto"/>
        <w:right w:val="none" w:sz="0" w:space="0" w:color="auto"/>
      </w:divBdr>
    </w:div>
    <w:div w:id="1831017884">
      <w:marLeft w:val="0"/>
      <w:marRight w:val="0"/>
      <w:marTop w:val="10"/>
      <w:marBottom w:val="10"/>
      <w:divBdr>
        <w:top w:val="none" w:sz="0" w:space="0" w:color="auto"/>
        <w:left w:val="none" w:sz="0" w:space="0" w:color="auto"/>
        <w:bottom w:val="none" w:sz="0" w:space="0" w:color="auto"/>
        <w:right w:val="none" w:sz="0" w:space="0" w:color="auto"/>
      </w:divBdr>
    </w:div>
    <w:div w:id="1853178207">
      <w:marLeft w:val="0"/>
      <w:marRight w:val="0"/>
      <w:marTop w:val="10"/>
      <w:marBottom w:val="10"/>
      <w:divBdr>
        <w:top w:val="none" w:sz="0" w:space="0" w:color="auto"/>
        <w:left w:val="none" w:sz="0" w:space="0" w:color="auto"/>
        <w:bottom w:val="none" w:sz="0" w:space="0" w:color="auto"/>
        <w:right w:val="none" w:sz="0" w:space="0" w:color="auto"/>
      </w:divBdr>
    </w:div>
    <w:div w:id="1864400438">
      <w:marLeft w:val="0"/>
      <w:marRight w:val="0"/>
      <w:marTop w:val="10"/>
      <w:marBottom w:val="10"/>
      <w:divBdr>
        <w:top w:val="none" w:sz="0" w:space="0" w:color="auto"/>
        <w:left w:val="none" w:sz="0" w:space="0" w:color="auto"/>
        <w:bottom w:val="none" w:sz="0" w:space="0" w:color="auto"/>
        <w:right w:val="none" w:sz="0" w:space="0" w:color="auto"/>
      </w:divBdr>
    </w:div>
    <w:div w:id="1902983556">
      <w:marLeft w:val="0"/>
      <w:marRight w:val="720"/>
      <w:marTop w:val="10"/>
      <w:marBottom w:val="10"/>
      <w:divBdr>
        <w:top w:val="none" w:sz="0" w:space="0" w:color="auto"/>
        <w:left w:val="none" w:sz="0" w:space="0" w:color="auto"/>
        <w:bottom w:val="none" w:sz="0" w:space="0" w:color="auto"/>
        <w:right w:val="none" w:sz="0" w:space="0" w:color="auto"/>
      </w:divBdr>
    </w:div>
    <w:div w:id="1920868540">
      <w:marLeft w:val="0"/>
      <w:marRight w:val="0"/>
      <w:marTop w:val="10"/>
      <w:marBottom w:val="10"/>
      <w:divBdr>
        <w:top w:val="none" w:sz="0" w:space="0" w:color="auto"/>
        <w:left w:val="none" w:sz="0" w:space="0" w:color="auto"/>
        <w:bottom w:val="none" w:sz="0" w:space="0" w:color="auto"/>
        <w:right w:val="none" w:sz="0" w:space="0" w:color="auto"/>
      </w:divBdr>
    </w:div>
    <w:div w:id="1961958384">
      <w:marLeft w:val="0"/>
      <w:marRight w:val="0"/>
      <w:marTop w:val="10"/>
      <w:marBottom w:val="10"/>
      <w:divBdr>
        <w:top w:val="none" w:sz="0" w:space="0" w:color="auto"/>
        <w:left w:val="none" w:sz="0" w:space="0" w:color="auto"/>
        <w:bottom w:val="none" w:sz="0" w:space="0" w:color="auto"/>
        <w:right w:val="none" w:sz="0" w:space="0" w:color="auto"/>
      </w:divBdr>
    </w:div>
    <w:div w:id="2062702297">
      <w:marLeft w:val="0"/>
      <w:marRight w:val="0"/>
      <w:marTop w:val="10"/>
      <w:marBottom w:val="10"/>
      <w:divBdr>
        <w:top w:val="none" w:sz="0" w:space="0" w:color="auto"/>
        <w:left w:val="none" w:sz="0" w:space="0" w:color="auto"/>
        <w:bottom w:val="none" w:sz="0" w:space="0" w:color="auto"/>
        <w:right w:val="none" w:sz="0" w:space="0" w:color="auto"/>
      </w:divBdr>
    </w:div>
    <w:div w:id="2067026459">
      <w:marLeft w:val="0"/>
      <w:marRight w:val="0"/>
      <w:marTop w:val="10"/>
      <w:marBottom w:val="10"/>
      <w:divBdr>
        <w:top w:val="none" w:sz="0" w:space="0" w:color="auto"/>
        <w:left w:val="none" w:sz="0" w:space="0" w:color="auto"/>
        <w:bottom w:val="none" w:sz="0" w:space="0" w:color="auto"/>
        <w:right w:val="none" w:sz="0" w:space="0" w:color="auto"/>
      </w:divBdr>
    </w:div>
    <w:div w:id="2086293095">
      <w:marLeft w:val="0"/>
      <w:marRight w:val="0"/>
      <w:marTop w:val="10"/>
      <w:marBottom w:val="10"/>
      <w:divBdr>
        <w:top w:val="none" w:sz="0" w:space="0" w:color="auto"/>
        <w:left w:val="none" w:sz="0" w:space="0" w:color="auto"/>
        <w:bottom w:val="none" w:sz="0" w:space="0" w:color="auto"/>
        <w:right w:val="none" w:sz="0" w:space="0" w:color="auto"/>
      </w:divBdr>
    </w:div>
    <w:div w:id="20929209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