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4683E">
      <w:pPr>
        <w:spacing w:line="500" w:lineRule="atLeast"/>
        <w:jc w:val="center"/>
        <w:divId w:val="52042159"/>
        <w:rPr>
          <w:rFonts w:ascii="黑体" w:eastAsia="黑体" w:hAnsi="黑体"/>
          <w:sz w:val="36"/>
          <w:szCs w:val="36"/>
        </w:rPr>
      </w:pPr>
      <w:bookmarkStart w:id="0" w:name="_GoBack"/>
      <w:bookmarkEnd w:id="0"/>
      <w:r>
        <w:rPr>
          <w:rFonts w:ascii="黑体" w:eastAsia="黑体" w:hAnsi="黑体" w:hint="eastAsia"/>
          <w:sz w:val="36"/>
          <w:szCs w:val="36"/>
        </w:rPr>
        <w:t>天津市高级人民法院</w:t>
      </w:r>
    </w:p>
    <w:p w:rsidR="00000000" w:rsidRDefault="0004683E">
      <w:pPr>
        <w:spacing w:line="500" w:lineRule="atLeast"/>
        <w:jc w:val="center"/>
        <w:divId w:val="135804407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4683E">
      <w:pPr>
        <w:spacing w:line="500" w:lineRule="atLeast"/>
        <w:jc w:val="right"/>
        <w:divId w:val="696926826"/>
        <w:rPr>
          <w:rFonts w:hint="eastAsia"/>
          <w:sz w:val="30"/>
          <w:szCs w:val="30"/>
        </w:rPr>
      </w:pPr>
      <w:r>
        <w:rPr>
          <w:rFonts w:hint="eastAsia"/>
          <w:sz w:val="30"/>
          <w:szCs w:val="30"/>
        </w:rPr>
        <w:t>（</w:t>
      </w:r>
      <w:r>
        <w:rPr>
          <w:rFonts w:hint="eastAsia"/>
          <w:sz w:val="30"/>
          <w:szCs w:val="30"/>
        </w:rPr>
        <w:t>2014</w:t>
      </w:r>
      <w:r>
        <w:rPr>
          <w:rFonts w:hint="eastAsia"/>
          <w:sz w:val="30"/>
          <w:szCs w:val="30"/>
        </w:rPr>
        <w:t>）津高民二终字第</w:t>
      </w:r>
      <w:r>
        <w:rPr>
          <w:rFonts w:hint="eastAsia"/>
          <w:sz w:val="30"/>
          <w:szCs w:val="30"/>
        </w:rPr>
        <w:t>0043</w:t>
      </w:r>
      <w:r>
        <w:rPr>
          <w:rFonts w:hint="eastAsia"/>
          <w:sz w:val="30"/>
          <w:szCs w:val="30"/>
        </w:rPr>
        <w:t>号</w:t>
      </w:r>
    </w:p>
    <w:p w:rsidR="00000000" w:rsidRDefault="0004683E">
      <w:pPr>
        <w:spacing w:line="500" w:lineRule="atLeast"/>
        <w:ind w:firstLine="600"/>
        <w:divId w:val="2035230998"/>
        <w:rPr>
          <w:rFonts w:hint="eastAsia"/>
          <w:sz w:val="30"/>
          <w:szCs w:val="30"/>
        </w:rPr>
      </w:pPr>
      <w:r>
        <w:rPr>
          <w:rFonts w:hint="eastAsia"/>
          <w:sz w:val="30"/>
          <w:szCs w:val="30"/>
        </w:rPr>
        <w:t>上诉人（原审原告）图尔克（天津）传感器有限公司，住所地天津西青经济开发区。</w:t>
      </w:r>
    </w:p>
    <w:p w:rsidR="00000000" w:rsidRDefault="0004683E">
      <w:pPr>
        <w:spacing w:line="500" w:lineRule="atLeast"/>
        <w:ind w:firstLine="600"/>
        <w:divId w:val="1039209040"/>
        <w:rPr>
          <w:rFonts w:hint="eastAsia"/>
          <w:sz w:val="30"/>
          <w:szCs w:val="30"/>
        </w:rPr>
      </w:pPr>
      <w:r>
        <w:rPr>
          <w:rFonts w:hint="eastAsia"/>
          <w:sz w:val="30"/>
          <w:szCs w:val="30"/>
        </w:rPr>
        <w:t>法定代表人</w:t>
      </w:r>
      <w:r>
        <w:rPr>
          <w:rFonts w:hint="eastAsia"/>
          <w:sz w:val="30"/>
          <w:szCs w:val="30"/>
        </w:rPr>
        <w:t>ChristianWolf</w:t>
      </w:r>
      <w:r>
        <w:rPr>
          <w:rFonts w:hint="eastAsia"/>
          <w:sz w:val="30"/>
          <w:szCs w:val="30"/>
        </w:rPr>
        <w:t>，董事长。</w:t>
      </w:r>
    </w:p>
    <w:p w:rsidR="00000000" w:rsidRDefault="0004683E">
      <w:pPr>
        <w:spacing w:line="500" w:lineRule="atLeast"/>
        <w:ind w:firstLine="600"/>
        <w:divId w:val="98988253"/>
        <w:rPr>
          <w:rFonts w:hint="eastAsia"/>
          <w:sz w:val="30"/>
          <w:szCs w:val="30"/>
        </w:rPr>
      </w:pPr>
      <w:r>
        <w:rPr>
          <w:rFonts w:hint="eastAsia"/>
          <w:sz w:val="30"/>
          <w:szCs w:val="30"/>
        </w:rPr>
        <w:t>委托代理人李娜，天津天允律师事务所律师。</w:t>
      </w:r>
    </w:p>
    <w:p w:rsidR="00000000" w:rsidRDefault="0004683E">
      <w:pPr>
        <w:spacing w:line="500" w:lineRule="atLeast"/>
        <w:ind w:firstLine="600"/>
        <w:divId w:val="25495502"/>
        <w:rPr>
          <w:rFonts w:hint="eastAsia"/>
          <w:sz w:val="30"/>
          <w:szCs w:val="30"/>
        </w:rPr>
      </w:pPr>
      <w:r>
        <w:rPr>
          <w:rFonts w:hint="eastAsia"/>
          <w:sz w:val="30"/>
          <w:szCs w:val="30"/>
        </w:rPr>
        <w:t>委托代理人郭瑞雯，天津天允律师事务所律师。</w:t>
      </w:r>
    </w:p>
    <w:p w:rsidR="00000000" w:rsidRDefault="0004683E">
      <w:pPr>
        <w:spacing w:line="500" w:lineRule="atLeast"/>
        <w:ind w:firstLine="600"/>
        <w:divId w:val="63837778"/>
        <w:rPr>
          <w:rFonts w:hint="eastAsia"/>
          <w:sz w:val="30"/>
          <w:szCs w:val="30"/>
        </w:rPr>
      </w:pPr>
      <w:r>
        <w:rPr>
          <w:rFonts w:hint="eastAsia"/>
          <w:sz w:val="30"/>
          <w:szCs w:val="30"/>
        </w:rPr>
        <w:t>被上诉人（原审被告）马利祥，男，</w:t>
      </w:r>
      <w:r>
        <w:rPr>
          <w:rFonts w:hint="eastAsia"/>
          <w:sz w:val="30"/>
          <w:szCs w:val="30"/>
        </w:rPr>
        <w:t>1973</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日出生，汉族，住天津市滨海新区大港。</w:t>
      </w:r>
    </w:p>
    <w:p w:rsidR="00000000" w:rsidRDefault="0004683E">
      <w:pPr>
        <w:spacing w:line="500" w:lineRule="atLeast"/>
        <w:ind w:firstLine="600"/>
        <w:divId w:val="1747652897"/>
        <w:rPr>
          <w:rFonts w:hint="eastAsia"/>
          <w:sz w:val="30"/>
          <w:szCs w:val="30"/>
        </w:rPr>
      </w:pPr>
      <w:r>
        <w:rPr>
          <w:rFonts w:hint="eastAsia"/>
          <w:sz w:val="30"/>
          <w:szCs w:val="30"/>
        </w:rPr>
        <w:t>委托代理人周长虎，天津四恒律师事务所律师。</w:t>
      </w:r>
    </w:p>
    <w:p w:rsidR="00000000" w:rsidRDefault="0004683E">
      <w:pPr>
        <w:spacing w:line="500" w:lineRule="atLeast"/>
        <w:ind w:firstLine="600"/>
        <w:divId w:val="1020543475"/>
        <w:rPr>
          <w:rFonts w:hint="eastAsia"/>
          <w:sz w:val="30"/>
          <w:szCs w:val="30"/>
        </w:rPr>
      </w:pPr>
      <w:r>
        <w:rPr>
          <w:rFonts w:hint="eastAsia"/>
          <w:sz w:val="30"/>
          <w:szCs w:val="30"/>
        </w:rPr>
        <w:t>原审被告天津德明福自动化技术有限公司，住所地天津市津南区。</w:t>
      </w:r>
    </w:p>
    <w:p w:rsidR="00000000" w:rsidRDefault="0004683E">
      <w:pPr>
        <w:spacing w:line="500" w:lineRule="atLeast"/>
        <w:ind w:firstLine="600"/>
        <w:divId w:val="828598910"/>
        <w:rPr>
          <w:rFonts w:hint="eastAsia"/>
          <w:sz w:val="30"/>
          <w:szCs w:val="30"/>
        </w:rPr>
      </w:pPr>
      <w:r>
        <w:rPr>
          <w:rFonts w:hint="eastAsia"/>
          <w:sz w:val="30"/>
          <w:szCs w:val="30"/>
        </w:rPr>
        <w:t>法定代表人马利祥，总经理。</w:t>
      </w:r>
    </w:p>
    <w:p w:rsidR="00000000" w:rsidRDefault="0004683E">
      <w:pPr>
        <w:spacing w:line="500" w:lineRule="atLeast"/>
        <w:ind w:firstLine="600"/>
        <w:divId w:val="478889338"/>
        <w:rPr>
          <w:rFonts w:hint="eastAsia"/>
          <w:sz w:val="30"/>
          <w:szCs w:val="30"/>
        </w:rPr>
      </w:pPr>
      <w:r>
        <w:rPr>
          <w:rFonts w:hint="eastAsia"/>
          <w:sz w:val="30"/>
          <w:szCs w:val="30"/>
        </w:rPr>
        <w:t>委托代理人周长虎，天津四恒律师事务所律师。</w:t>
      </w:r>
    </w:p>
    <w:p w:rsidR="00000000" w:rsidRDefault="0004683E">
      <w:pPr>
        <w:spacing w:line="500" w:lineRule="atLeast"/>
        <w:ind w:firstLine="600"/>
        <w:divId w:val="1938829930"/>
        <w:rPr>
          <w:rFonts w:hint="eastAsia"/>
          <w:sz w:val="30"/>
          <w:szCs w:val="30"/>
        </w:rPr>
      </w:pPr>
      <w:r>
        <w:rPr>
          <w:rFonts w:hint="eastAsia"/>
          <w:sz w:val="30"/>
          <w:szCs w:val="30"/>
        </w:rPr>
        <w:t>上诉人图尔克（天津）传感器有限公司（以下简称图尔克公司）因与被上诉人马利祥、天津德明福自动化技术有限公司（以下简称德明福公司）损害公司利益责任纠纷一案，不服天津市第二中级人民法院（</w:t>
      </w:r>
      <w:r>
        <w:rPr>
          <w:rFonts w:hint="eastAsia"/>
          <w:sz w:val="30"/>
          <w:szCs w:val="30"/>
        </w:rPr>
        <w:t>2013</w:t>
      </w:r>
      <w:r>
        <w:rPr>
          <w:rFonts w:hint="eastAsia"/>
          <w:sz w:val="30"/>
          <w:szCs w:val="30"/>
        </w:rPr>
        <w:t>）二中民二初字第</w:t>
      </w:r>
      <w:r>
        <w:rPr>
          <w:rFonts w:hint="eastAsia"/>
          <w:sz w:val="30"/>
          <w:szCs w:val="30"/>
        </w:rPr>
        <w:t>252</w:t>
      </w:r>
      <w:r>
        <w:rPr>
          <w:rFonts w:hint="eastAsia"/>
          <w:sz w:val="30"/>
          <w:szCs w:val="30"/>
        </w:rPr>
        <w:t>号民事判决，向本院提起上诉。本院受理后，依法组成合议庭，公开开庭进行了审理。上诉人图尔克公司的委托代理人李娜，被上诉人马利祥、德明福公司共同的委托代理人周长虎到庭参加诉讼，本案现已审理终结。</w:t>
      </w:r>
    </w:p>
    <w:p w:rsidR="00000000" w:rsidRDefault="0004683E">
      <w:pPr>
        <w:spacing w:line="500" w:lineRule="atLeast"/>
        <w:ind w:firstLine="600"/>
        <w:divId w:val="385111347"/>
        <w:rPr>
          <w:rFonts w:hint="eastAsia"/>
          <w:sz w:val="30"/>
          <w:szCs w:val="30"/>
        </w:rPr>
      </w:pPr>
      <w:r>
        <w:rPr>
          <w:rFonts w:hint="eastAsia"/>
          <w:sz w:val="30"/>
          <w:szCs w:val="30"/>
        </w:rPr>
        <w:t>原审法院审理查明，图尔克公司系由在德国注册的图尔克集团公司于</w:t>
      </w:r>
      <w:r>
        <w:rPr>
          <w:rFonts w:hint="eastAsia"/>
          <w:sz w:val="30"/>
          <w:szCs w:val="30"/>
        </w:rPr>
        <w:t>199</w:t>
      </w:r>
      <w:r>
        <w:rPr>
          <w:rFonts w:hint="eastAsia"/>
          <w:sz w:val="30"/>
          <w:szCs w:val="30"/>
        </w:rPr>
        <w:t>4</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日在天津投资设立的外商独资企业，该公司的经营范围为：传感器及相关的自动化技术产品、接插件、塑料零部件、导线设备的生产、加工、销售；相关工程项</w:t>
      </w:r>
      <w:r>
        <w:rPr>
          <w:rFonts w:hint="eastAsia"/>
          <w:sz w:val="30"/>
          <w:szCs w:val="30"/>
        </w:rPr>
        <w:lastRenderedPageBreak/>
        <w:t>目所用机电设备的设计、制造、安装及维护并提供与此相关的服务。图尔克公司</w:t>
      </w:r>
      <w:r>
        <w:rPr>
          <w:rFonts w:hint="eastAsia"/>
          <w:sz w:val="30"/>
          <w:szCs w:val="30"/>
        </w:rPr>
        <w:t>2009</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的公司章程董事会一章载明：董事会决定聘任或者解聘公司总经理及其报酬事项，并根据总经理的提名决定聘任或者解聘公司副总经理、财务负责人及其报酬事项。章程经营管理机构一章载明：经营管理机构可设若干部门经理，分别负责企业各部门的工作，办理总经理和副总经理交办的事项，并对总经理和副</w:t>
      </w:r>
      <w:r>
        <w:rPr>
          <w:rFonts w:hint="eastAsia"/>
          <w:sz w:val="30"/>
          <w:szCs w:val="30"/>
        </w:rPr>
        <w:t>总经理负责。总经理、副总经理以及其他所有经理均应认真履行其职责，不得兼任其他公司的经理或其他形式的雇员。总经理、副总经理有营私舞弊或严重失职的，经董事会会议决议可随时撤换。高级管理人员有营私舞弊或者严重失职的，董事会随时解聘。图尔克公司在总经理、副总经理下设生产部、物流部、财务部、电脑部、人力资源部、行政部、公用事业部等部门。</w:t>
      </w:r>
    </w:p>
    <w:p w:rsidR="00000000" w:rsidRDefault="0004683E">
      <w:pPr>
        <w:spacing w:line="500" w:lineRule="atLeast"/>
        <w:ind w:firstLine="600"/>
        <w:divId w:val="457451478"/>
        <w:rPr>
          <w:rFonts w:hint="eastAsia"/>
          <w:sz w:val="30"/>
          <w:szCs w:val="30"/>
        </w:rPr>
      </w:pPr>
      <w:r>
        <w:rPr>
          <w:rFonts w:hint="eastAsia"/>
          <w:sz w:val="30"/>
          <w:szCs w:val="30"/>
        </w:rPr>
        <w:t>马利祥</w:t>
      </w:r>
      <w:r>
        <w:rPr>
          <w:rFonts w:hint="eastAsia"/>
          <w:sz w:val="30"/>
          <w:szCs w:val="30"/>
        </w:rPr>
        <w:t>2002</w:t>
      </w:r>
      <w:r>
        <w:rPr>
          <w:rFonts w:hint="eastAsia"/>
          <w:sz w:val="30"/>
          <w:szCs w:val="30"/>
        </w:rPr>
        <w:t>年入职图尔克公司，</w:t>
      </w:r>
      <w:r>
        <w:rPr>
          <w:rFonts w:hint="eastAsia"/>
          <w:sz w:val="30"/>
          <w:szCs w:val="30"/>
        </w:rPr>
        <w:t>2008</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日与图尔克公司签订劳动合同，担任图尔克公司公用事业部经理一职，并于</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日因申请辞职与图尔克公司解除劳动关系。</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日德明福公司成立，马利祥系德明福公司股东及法定代表人、经理，持股</w:t>
      </w:r>
      <w:r>
        <w:rPr>
          <w:rFonts w:hint="eastAsia"/>
          <w:sz w:val="30"/>
          <w:szCs w:val="30"/>
        </w:rPr>
        <w:t>60%</w:t>
      </w:r>
      <w:r>
        <w:rPr>
          <w:rFonts w:hint="eastAsia"/>
          <w:sz w:val="30"/>
          <w:szCs w:val="30"/>
        </w:rPr>
        <w:t>，并于</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与德明福公司签订了劳动合同。德明福公司经营范围为自动化技术研发、转让、咨询服务；机电一体化设备研发、制造、安装；信息管理系统软件开发；电器及自动化系统工程；仪器仪表批发兼零售。德明福公司财务报表显示</w:t>
      </w:r>
      <w:r>
        <w:rPr>
          <w:rFonts w:hint="eastAsia"/>
          <w:sz w:val="30"/>
          <w:szCs w:val="30"/>
        </w:rPr>
        <w:t>2010</w:t>
      </w:r>
      <w:r>
        <w:rPr>
          <w:rFonts w:hint="eastAsia"/>
          <w:sz w:val="30"/>
          <w:szCs w:val="30"/>
        </w:rPr>
        <w:t>年度未分配利润为</w:t>
      </w:r>
      <w:r>
        <w:rPr>
          <w:rFonts w:hint="eastAsia"/>
          <w:sz w:val="30"/>
          <w:szCs w:val="30"/>
        </w:rPr>
        <w:t>67.72</w:t>
      </w:r>
      <w:r>
        <w:rPr>
          <w:rFonts w:hint="eastAsia"/>
          <w:sz w:val="30"/>
          <w:szCs w:val="30"/>
        </w:rPr>
        <w:t>元。</w:t>
      </w:r>
    </w:p>
    <w:p w:rsidR="00000000" w:rsidRDefault="0004683E">
      <w:pPr>
        <w:spacing w:line="500" w:lineRule="atLeast"/>
        <w:ind w:firstLine="600"/>
        <w:divId w:val="1555196354"/>
        <w:rPr>
          <w:rFonts w:hint="eastAsia"/>
          <w:sz w:val="30"/>
          <w:szCs w:val="30"/>
        </w:rPr>
      </w:pPr>
      <w:r>
        <w:rPr>
          <w:rFonts w:hint="eastAsia"/>
          <w:sz w:val="30"/>
          <w:szCs w:val="30"/>
        </w:rPr>
        <w:t>另查明，天水锻压机床有限公司、扬州亚联钢管有限公司、飞利浦公司、康明斯公司曾经与图尔克公司有合同业务关系。马利祥是图尔克公司与扬州亚联钢管有限公司合同的签订代表人及主要</w:t>
      </w:r>
      <w:r>
        <w:rPr>
          <w:rFonts w:hint="eastAsia"/>
          <w:sz w:val="30"/>
          <w:szCs w:val="30"/>
        </w:rPr>
        <w:t>技术负责人。马利祥亦曾作为事业部经理经办过</w:t>
      </w:r>
      <w:r>
        <w:rPr>
          <w:rFonts w:hint="eastAsia"/>
          <w:sz w:val="30"/>
          <w:szCs w:val="30"/>
        </w:rPr>
        <w:lastRenderedPageBreak/>
        <w:t>图尔克公司与飞利浦公司、康明斯公司的业务。图尔克公司提供的证据显示，</w:t>
      </w:r>
      <w:r>
        <w:rPr>
          <w:rFonts w:hint="eastAsia"/>
          <w:sz w:val="30"/>
          <w:szCs w:val="30"/>
        </w:rPr>
        <w:t>2012</w:t>
      </w:r>
      <w:r>
        <w:rPr>
          <w:rFonts w:hint="eastAsia"/>
          <w:sz w:val="30"/>
          <w:szCs w:val="30"/>
        </w:rPr>
        <w:t>年后德明福公司与飞利浦公司建立业务关系。</w:t>
      </w:r>
    </w:p>
    <w:p w:rsidR="00000000" w:rsidRDefault="0004683E">
      <w:pPr>
        <w:spacing w:line="500" w:lineRule="atLeast"/>
        <w:ind w:firstLine="600"/>
        <w:divId w:val="1743141932"/>
        <w:rPr>
          <w:rFonts w:hint="eastAsia"/>
          <w:sz w:val="30"/>
          <w:szCs w:val="30"/>
        </w:rPr>
      </w:pPr>
      <w:r>
        <w:rPr>
          <w:rFonts w:hint="eastAsia"/>
          <w:sz w:val="30"/>
          <w:szCs w:val="30"/>
        </w:rPr>
        <w:t>再查，图尔克公司要求马利祥赔偿</w:t>
      </w:r>
      <w:r>
        <w:rPr>
          <w:rFonts w:hint="eastAsia"/>
          <w:sz w:val="30"/>
          <w:szCs w:val="30"/>
        </w:rPr>
        <w:t>800</w:t>
      </w:r>
      <w:r>
        <w:rPr>
          <w:rFonts w:hint="eastAsia"/>
          <w:sz w:val="30"/>
          <w:szCs w:val="30"/>
        </w:rPr>
        <w:t>万元的诉讼请求，由三部分组成：第一部分是德明福公司的经营收入；第二部分是马利祥在德明福公司的工资收入；第三部分是因马利祥成立了德明福公司，致使图尔克公司的客户流失到德明福公司，给图尔克公司造成的损失。各部分未明确具体数额，但三部分总计</w:t>
      </w:r>
      <w:r>
        <w:rPr>
          <w:rFonts w:hint="eastAsia"/>
          <w:sz w:val="30"/>
          <w:szCs w:val="30"/>
        </w:rPr>
        <w:t>800</w:t>
      </w:r>
      <w:r>
        <w:rPr>
          <w:rFonts w:hint="eastAsia"/>
          <w:sz w:val="30"/>
          <w:szCs w:val="30"/>
        </w:rPr>
        <w:t>万元。</w:t>
      </w:r>
    </w:p>
    <w:p w:rsidR="00000000" w:rsidRDefault="0004683E">
      <w:pPr>
        <w:spacing w:line="500" w:lineRule="atLeast"/>
        <w:ind w:firstLine="600"/>
        <w:divId w:val="65887370"/>
        <w:rPr>
          <w:rFonts w:hint="eastAsia"/>
          <w:sz w:val="30"/>
          <w:szCs w:val="30"/>
        </w:rPr>
      </w:pPr>
      <w:r>
        <w:rPr>
          <w:rFonts w:hint="eastAsia"/>
          <w:sz w:val="30"/>
          <w:szCs w:val="30"/>
        </w:rPr>
        <w:t>原审法院认为，第一，关于马利祥是否是图尔克公司高级管理人员的问题。《</w:t>
      </w:r>
      <w:r>
        <w:rPr>
          <w:rFonts w:hint="eastAsia"/>
          <w:sz w:val="30"/>
          <w:szCs w:val="30"/>
        </w:rPr>
        <w:t>中华人民共和国公司法》第</w:t>
      </w:r>
      <w:r>
        <w:rPr>
          <w:rFonts w:hint="eastAsia"/>
          <w:sz w:val="30"/>
          <w:szCs w:val="30"/>
        </w:rPr>
        <w:t>217</w:t>
      </w:r>
      <w:r>
        <w:rPr>
          <w:rFonts w:hint="eastAsia"/>
          <w:sz w:val="30"/>
          <w:szCs w:val="30"/>
        </w:rPr>
        <w:t>条规定，高级管理人员，是指公司的经理、副经理、财务负责人，上市公司董事会秘书和公司章程规定的其他人员。图尔克公司主张马利祥属于公司章程规定的其他人员。原审法院认为，首先，图尔克公司的公司章程经营管理机构一章将总经理、副总经理、部门经理并列规定为图尔克公司的经营管理机构；并对总经理、副总经理、部门经理一并作出了不得兼任其他公司的经理或其他形式的雇员的要求；特别是在经营管理机构一节最后，写明“高级管理人员有营私舞弊或者严重失职的，董事会随时解聘”，从行文体例上看系对前面经营管理机构</w:t>
      </w:r>
      <w:r>
        <w:rPr>
          <w:rFonts w:hint="eastAsia"/>
          <w:sz w:val="30"/>
          <w:szCs w:val="30"/>
        </w:rPr>
        <w:t>中列明的高级管理人员的总体性要求。因此，从公司章程的表述上看，应认定马利祥为图尔克公司高级管理人员。其次，从马利祥在公司的职务内容看，图尔克公司提供的证据证明马利祥在图尔克公司承担着与经理、副经理、财务负责人等高级管理人员相近的重要责任，履行了高级管理人员的权力。因此，原审法院依法确认马利祥是图尔克公司的高级管理人员。第二，马利祥是否应承担相关责任的问题。马利祥在图尔克公司任高级管理人员期间成立了德明福公司，并担任该公司股东及法定代表人、经理，而德明福公司的经营范围与图尔克公司的经营范围部分相同，按照《中华</w:t>
      </w:r>
      <w:r>
        <w:rPr>
          <w:rFonts w:hint="eastAsia"/>
          <w:sz w:val="30"/>
          <w:szCs w:val="30"/>
        </w:rPr>
        <w:t>人民共和国公司法》第</w:t>
      </w:r>
      <w:r>
        <w:rPr>
          <w:rFonts w:hint="eastAsia"/>
          <w:sz w:val="30"/>
          <w:szCs w:val="30"/>
        </w:rPr>
        <w:t>148</w:t>
      </w:r>
      <w:r>
        <w:rPr>
          <w:rFonts w:hint="eastAsia"/>
          <w:sz w:val="30"/>
          <w:szCs w:val="30"/>
        </w:rPr>
        <w:t>条“董事、监事、高级管理人员应当遵守法律、行政法规和公司章程，对公司负有忠实义务和勤勉义务。”，第</w:t>
      </w:r>
      <w:r>
        <w:rPr>
          <w:rFonts w:hint="eastAsia"/>
          <w:sz w:val="30"/>
          <w:szCs w:val="30"/>
        </w:rPr>
        <w:t>149</w:t>
      </w:r>
      <w:r>
        <w:rPr>
          <w:rFonts w:hint="eastAsia"/>
          <w:sz w:val="30"/>
          <w:szCs w:val="30"/>
        </w:rPr>
        <w:t>条“（五）未经股东会或者股东大会同意，利用职务便利为自己或者他人谋取属于公司的商业机会，自营或者为他人经营与所任职公司同类的业务”的规定，马利祥的行为违反了对公司的忠实义务和勤勉义务。按照《中华人民共和国公司法》第</w:t>
      </w:r>
      <w:r>
        <w:rPr>
          <w:rFonts w:hint="eastAsia"/>
          <w:sz w:val="30"/>
          <w:szCs w:val="30"/>
        </w:rPr>
        <w:t>149</w:t>
      </w:r>
      <w:r>
        <w:rPr>
          <w:rFonts w:hint="eastAsia"/>
          <w:sz w:val="30"/>
          <w:szCs w:val="30"/>
        </w:rPr>
        <w:t>条“董事、高级管理人员违反前款规定所得的收入应当归公司所有”，马利祥所得的收入应当归图尔克公司所有。关于图尔克公司要求马利祥赔偿</w:t>
      </w:r>
      <w:r>
        <w:rPr>
          <w:rFonts w:hint="eastAsia"/>
          <w:sz w:val="30"/>
          <w:szCs w:val="30"/>
        </w:rPr>
        <w:t>800</w:t>
      </w:r>
      <w:r>
        <w:rPr>
          <w:rFonts w:hint="eastAsia"/>
          <w:sz w:val="30"/>
          <w:szCs w:val="30"/>
        </w:rPr>
        <w:t>万元的主张。第一，马利祥在德</w:t>
      </w:r>
      <w:r>
        <w:rPr>
          <w:rFonts w:hint="eastAsia"/>
          <w:sz w:val="30"/>
          <w:szCs w:val="30"/>
        </w:rPr>
        <w:t>明福公司的工资收入。图尔克公司未能提供证据证实马利祥在</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日至</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日期间在德明福公司取得了工资收入。第二，德明福公司的经营收入。图尔克公司未能提供证据证实德明福公司的同业竞争业务发生在马利祥任职图尔克公司期间，而其提供的德明福公司财务报表显示</w:t>
      </w:r>
      <w:r>
        <w:rPr>
          <w:rFonts w:hint="eastAsia"/>
          <w:sz w:val="30"/>
          <w:szCs w:val="30"/>
        </w:rPr>
        <w:t>2010</w:t>
      </w:r>
      <w:r>
        <w:rPr>
          <w:rFonts w:hint="eastAsia"/>
          <w:sz w:val="30"/>
          <w:szCs w:val="30"/>
        </w:rPr>
        <w:t>年度利润仅为</w:t>
      </w:r>
      <w:r>
        <w:rPr>
          <w:rFonts w:hint="eastAsia"/>
          <w:sz w:val="30"/>
          <w:szCs w:val="30"/>
        </w:rPr>
        <w:t>67.72</w:t>
      </w:r>
      <w:r>
        <w:rPr>
          <w:rFonts w:hint="eastAsia"/>
          <w:sz w:val="30"/>
          <w:szCs w:val="30"/>
        </w:rPr>
        <w:t>元，且并未进行分配。另其也未能提供其他证据证明在马利祥任职图尔克公司期间，德明福公司同业竞争业务尚有其他利润未分配。第三，关于图尔克公司主张因马利祥成立了德明福公司，致使图尔克公司的客户流失到德明福公司，给图尔克</w:t>
      </w:r>
      <w:r>
        <w:rPr>
          <w:rFonts w:hint="eastAsia"/>
          <w:sz w:val="30"/>
          <w:szCs w:val="30"/>
        </w:rPr>
        <w:t>公司造成损失一节。首先，图尔克公司并未提供损失的证据。其次，图尔克公司明确表示该项主张的法律依据是《中华人民共和国公司法》第</w:t>
      </w:r>
      <w:r>
        <w:rPr>
          <w:rFonts w:hint="eastAsia"/>
          <w:sz w:val="30"/>
          <w:szCs w:val="30"/>
        </w:rPr>
        <w:t>150</w:t>
      </w:r>
      <w:r>
        <w:rPr>
          <w:rFonts w:hint="eastAsia"/>
          <w:sz w:val="30"/>
          <w:szCs w:val="30"/>
        </w:rPr>
        <w:t>条“董事、监事、高级管理人员执行公司职务时违反法律、行政法规或者公司章程的规定，给公司造成损失的，应当承担赔偿责任”，但本案并不符合此规定，故图尔克公司请求判令马利祥赔偿人民币</w:t>
      </w:r>
      <w:r>
        <w:rPr>
          <w:rFonts w:hint="eastAsia"/>
          <w:sz w:val="30"/>
          <w:szCs w:val="30"/>
        </w:rPr>
        <w:t>800</w:t>
      </w:r>
      <w:r>
        <w:rPr>
          <w:rFonts w:hint="eastAsia"/>
          <w:sz w:val="30"/>
          <w:szCs w:val="30"/>
        </w:rPr>
        <w:t>万元，依据不足，不予支持。关于图尔克公司要求德明福公司连带赔偿</w:t>
      </w:r>
      <w:r>
        <w:rPr>
          <w:rFonts w:hint="eastAsia"/>
          <w:sz w:val="30"/>
          <w:szCs w:val="30"/>
        </w:rPr>
        <w:t>800</w:t>
      </w:r>
      <w:r>
        <w:rPr>
          <w:rFonts w:hint="eastAsia"/>
          <w:sz w:val="30"/>
          <w:szCs w:val="30"/>
        </w:rPr>
        <w:t>万元的主张，因图尔克公司是以公司高级管理人员损害公司利益为由提起的本案诉讼，而德明福公司并非图尔克公司行使归入权的适格主体，故图尔克</w:t>
      </w:r>
      <w:r>
        <w:rPr>
          <w:rFonts w:hint="eastAsia"/>
          <w:sz w:val="30"/>
          <w:szCs w:val="30"/>
        </w:rPr>
        <w:t>公司以损害公司利益为由，要求德明福公司承担连带赔偿责任，没有法律依据，不予支持。综上，依据《中华人民共和国公司法》第一百四十八条第一款、第一百四十九条第一款第五项、第一百四十九条第二款、第一百五十条、第二百一十七条第一款第一项，《中华人民共和国民事诉讼法》第六十四条第一款的规定，判决如下：驳回图尔克公司的诉讼请求。案件受理费</w:t>
      </w:r>
      <w:r>
        <w:rPr>
          <w:rFonts w:hint="eastAsia"/>
          <w:sz w:val="30"/>
          <w:szCs w:val="30"/>
        </w:rPr>
        <w:t>67800</w:t>
      </w:r>
      <w:r>
        <w:rPr>
          <w:rFonts w:hint="eastAsia"/>
          <w:sz w:val="30"/>
          <w:szCs w:val="30"/>
        </w:rPr>
        <w:t>元，由图尔克公司。</w:t>
      </w:r>
    </w:p>
    <w:p w:rsidR="00000000" w:rsidRDefault="0004683E">
      <w:pPr>
        <w:spacing w:line="500" w:lineRule="atLeast"/>
        <w:ind w:firstLine="600"/>
        <w:divId w:val="853306706"/>
        <w:rPr>
          <w:rFonts w:hint="eastAsia"/>
          <w:sz w:val="30"/>
          <w:szCs w:val="30"/>
        </w:rPr>
      </w:pPr>
      <w:r>
        <w:rPr>
          <w:rFonts w:hint="eastAsia"/>
          <w:sz w:val="30"/>
          <w:szCs w:val="30"/>
        </w:rPr>
        <w:t>图尔克公司不服一审判决，向本院提起上诉。上诉请求：</w:t>
      </w:r>
      <w:r>
        <w:rPr>
          <w:rFonts w:hint="eastAsia"/>
          <w:sz w:val="30"/>
          <w:szCs w:val="30"/>
        </w:rPr>
        <w:t>1</w:t>
      </w:r>
      <w:r>
        <w:rPr>
          <w:rFonts w:hint="eastAsia"/>
          <w:sz w:val="30"/>
          <w:szCs w:val="30"/>
        </w:rPr>
        <w:t>、撤销（</w:t>
      </w:r>
      <w:r>
        <w:rPr>
          <w:rFonts w:hint="eastAsia"/>
          <w:sz w:val="30"/>
          <w:szCs w:val="30"/>
        </w:rPr>
        <w:t>2013</w:t>
      </w:r>
      <w:r>
        <w:rPr>
          <w:rFonts w:hint="eastAsia"/>
          <w:sz w:val="30"/>
          <w:szCs w:val="30"/>
        </w:rPr>
        <w:t>）二中民二初字第</w:t>
      </w:r>
      <w:r>
        <w:rPr>
          <w:rFonts w:hint="eastAsia"/>
          <w:sz w:val="30"/>
          <w:szCs w:val="30"/>
        </w:rPr>
        <w:t>252</w:t>
      </w:r>
      <w:r>
        <w:rPr>
          <w:rFonts w:hint="eastAsia"/>
          <w:sz w:val="30"/>
          <w:szCs w:val="30"/>
        </w:rPr>
        <w:t>号民事判决，改判支持图尔克公司的原审诉讼请求；</w:t>
      </w:r>
      <w:r>
        <w:rPr>
          <w:rFonts w:hint="eastAsia"/>
          <w:sz w:val="30"/>
          <w:szCs w:val="30"/>
        </w:rPr>
        <w:t>2</w:t>
      </w:r>
      <w:r>
        <w:rPr>
          <w:rFonts w:hint="eastAsia"/>
          <w:sz w:val="30"/>
          <w:szCs w:val="30"/>
        </w:rPr>
        <w:t>、两审诉讼费由马利</w:t>
      </w:r>
      <w:r>
        <w:rPr>
          <w:rFonts w:hint="eastAsia"/>
          <w:sz w:val="30"/>
          <w:szCs w:val="30"/>
        </w:rPr>
        <w:t>祥、德明福公司承担。主要理由为：</w:t>
      </w:r>
      <w:r>
        <w:rPr>
          <w:rFonts w:hint="eastAsia"/>
          <w:sz w:val="30"/>
          <w:szCs w:val="30"/>
        </w:rPr>
        <w:t>1</w:t>
      </w:r>
      <w:r>
        <w:rPr>
          <w:rFonts w:hint="eastAsia"/>
          <w:sz w:val="30"/>
          <w:szCs w:val="30"/>
        </w:rPr>
        <w:t>、公司法规定了两种担责方式，包括公司的收入归入权和损害赔偿请求权。收入包括马利祥经营公司的收入和任职的工资收入。德明福公司</w:t>
      </w:r>
      <w:r>
        <w:rPr>
          <w:rFonts w:hint="eastAsia"/>
          <w:sz w:val="30"/>
          <w:szCs w:val="30"/>
        </w:rPr>
        <w:t>2010</w:t>
      </w:r>
      <w:r>
        <w:rPr>
          <w:rFonts w:hint="eastAsia"/>
          <w:sz w:val="30"/>
          <w:szCs w:val="30"/>
        </w:rPr>
        <w:t>年度营业收入为</w:t>
      </w:r>
      <w:r>
        <w:rPr>
          <w:rFonts w:hint="eastAsia"/>
          <w:sz w:val="30"/>
          <w:szCs w:val="30"/>
        </w:rPr>
        <w:t>67.72</w:t>
      </w:r>
      <w:r>
        <w:rPr>
          <w:rFonts w:hint="eastAsia"/>
          <w:sz w:val="30"/>
          <w:szCs w:val="30"/>
        </w:rPr>
        <w:t>元，其中</w:t>
      </w:r>
      <w:r>
        <w:rPr>
          <w:rFonts w:hint="eastAsia"/>
          <w:sz w:val="30"/>
          <w:szCs w:val="30"/>
        </w:rPr>
        <w:t>40.6</w:t>
      </w:r>
      <w:r>
        <w:rPr>
          <w:rFonts w:hint="eastAsia"/>
          <w:sz w:val="30"/>
          <w:szCs w:val="30"/>
        </w:rPr>
        <w:t>元应为马利祥所有。鉴于德明福公司不提供真实工资收入，应当依据马利祥在图尔克公司的工资确定其在德明福的工资收入水平。本案系马利祥在担任图尔克公司高级管理人员期间，在执行职务工程中，利用职务之便成立德明福公司，转移客户给图尔克公司造成的损失，应适用《公司法》第</w:t>
      </w:r>
      <w:r>
        <w:rPr>
          <w:rFonts w:hint="eastAsia"/>
          <w:sz w:val="30"/>
          <w:szCs w:val="30"/>
        </w:rPr>
        <w:t>150</w:t>
      </w:r>
      <w:r>
        <w:rPr>
          <w:rFonts w:hint="eastAsia"/>
          <w:sz w:val="30"/>
          <w:szCs w:val="30"/>
        </w:rPr>
        <w:t>条的规定，图尔克公司要求损失赔偿的诉讼请求理应</w:t>
      </w:r>
      <w:r>
        <w:rPr>
          <w:rFonts w:hint="eastAsia"/>
          <w:sz w:val="30"/>
          <w:szCs w:val="30"/>
        </w:rPr>
        <w:t>得到支持。</w:t>
      </w:r>
      <w:r>
        <w:rPr>
          <w:rFonts w:hint="eastAsia"/>
          <w:sz w:val="30"/>
          <w:szCs w:val="30"/>
        </w:rPr>
        <w:t>2</w:t>
      </w:r>
      <w:r>
        <w:rPr>
          <w:rFonts w:hint="eastAsia"/>
          <w:sz w:val="30"/>
          <w:szCs w:val="30"/>
        </w:rPr>
        <w:t>、德明福公司系由马利祥投资开办，与马利祥构成共同侵权，应对赔偿承担连带责任。</w:t>
      </w:r>
    </w:p>
    <w:p w:rsidR="00000000" w:rsidRDefault="0004683E">
      <w:pPr>
        <w:spacing w:line="500" w:lineRule="atLeast"/>
        <w:ind w:firstLine="600"/>
        <w:divId w:val="63450533"/>
        <w:rPr>
          <w:rFonts w:hint="eastAsia"/>
          <w:sz w:val="30"/>
          <w:szCs w:val="30"/>
        </w:rPr>
      </w:pPr>
      <w:r>
        <w:rPr>
          <w:rFonts w:hint="eastAsia"/>
          <w:sz w:val="30"/>
          <w:szCs w:val="30"/>
        </w:rPr>
        <w:t>马利祥、德明福公司答辩称：原审法院驳回图尔克公司</w:t>
      </w:r>
      <w:r>
        <w:rPr>
          <w:rFonts w:hint="eastAsia"/>
          <w:sz w:val="30"/>
          <w:szCs w:val="30"/>
        </w:rPr>
        <w:t>800</w:t>
      </w:r>
      <w:r>
        <w:rPr>
          <w:rFonts w:hint="eastAsia"/>
          <w:sz w:val="30"/>
          <w:szCs w:val="30"/>
        </w:rPr>
        <w:t>万赔偿数额的诉请并无不当。德明福公司在</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日至</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期间没有与相关客户发生业务往来，马利祥在图尔克公司任职期间也没有从德明福公司取得任何收入。图尔克公司针对德明福公司提出损害赔偿的诉请，但在原审期间没有提供证据证明德明福公司对其有侵权行为，并存在损害结果。马利祥参与投资开办德明福公司，并不当然表明德明福公司与马利祥构成共同侵权。公司法规定</w:t>
      </w:r>
      <w:r>
        <w:rPr>
          <w:rFonts w:hint="eastAsia"/>
          <w:sz w:val="30"/>
          <w:szCs w:val="30"/>
        </w:rPr>
        <w:t>的归入权制度与民事侵权责任制度是两种不同的法律制度，德明福公司不是图尔克公司行使归入权的适格主体，故请求驳回图尔克公司的上诉请求。</w:t>
      </w:r>
    </w:p>
    <w:p w:rsidR="00000000" w:rsidRDefault="0004683E">
      <w:pPr>
        <w:spacing w:line="500" w:lineRule="atLeast"/>
        <w:ind w:firstLine="600"/>
        <w:divId w:val="605624498"/>
        <w:rPr>
          <w:rFonts w:hint="eastAsia"/>
          <w:sz w:val="30"/>
          <w:szCs w:val="30"/>
        </w:rPr>
      </w:pPr>
      <w:r>
        <w:rPr>
          <w:rFonts w:hint="eastAsia"/>
          <w:sz w:val="30"/>
          <w:szCs w:val="30"/>
        </w:rPr>
        <w:t>本院经审理查明，原审法院查明事实清楚，本院予以确认。</w:t>
      </w:r>
    </w:p>
    <w:p w:rsidR="00000000" w:rsidRDefault="0004683E">
      <w:pPr>
        <w:spacing w:line="500" w:lineRule="atLeast"/>
        <w:ind w:firstLine="600"/>
        <w:divId w:val="1672293411"/>
        <w:rPr>
          <w:rFonts w:hint="eastAsia"/>
          <w:sz w:val="30"/>
          <w:szCs w:val="30"/>
        </w:rPr>
      </w:pPr>
      <w:r>
        <w:rPr>
          <w:rFonts w:hint="eastAsia"/>
          <w:sz w:val="30"/>
          <w:szCs w:val="30"/>
        </w:rPr>
        <w:t>本院认为，马利祥在</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日至</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日担任图尔克公司高级管理人员期间，投资成立了与图尔克公司经营范围部分相同的德明福公司，并担任该公司的法定代表人。马利祥的行为违反了《中华人民共和国公司法》第</w:t>
      </w:r>
      <w:r>
        <w:rPr>
          <w:rFonts w:hint="eastAsia"/>
          <w:sz w:val="30"/>
          <w:szCs w:val="30"/>
        </w:rPr>
        <w:t>148</w:t>
      </w:r>
      <w:r>
        <w:rPr>
          <w:rFonts w:hint="eastAsia"/>
          <w:sz w:val="30"/>
          <w:szCs w:val="30"/>
        </w:rPr>
        <w:t>条、第</w:t>
      </w:r>
      <w:r>
        <w:rPr>
          <w:rFonts w:hint="eastAsia"/>
          <w:sz w:val="30"/>
          <w:szCs w:val="30"/>
        </w:rPr>
        <w:t>149</w:t>
      </w:r>
      <w:r>
        <w:rPr>
          <w:rFonts w:hint="eastAsia"/>
          <w:sz w:val="30"/>
          <w:szCs w:val="30"/>
        </w:rPr>
        <w:t>条关于公司的董事、监事、高级管理人员对公司忠实义务和勤勉义务的规定，应依法承担相应的法律责任。</w:t>
      </w:r>
      <w:r>
        <w:rPr>
          <w:rFonts w:hint="eastAsia"/>
          <w:sz w:val="30"/>
          <w:szCs w:val="30"/>
        </w:rPr>
        <w:t>但在两审审理过程中，图尔克公司均没能提供证据证明在其诉讼主张的期间内，马利祥在德明福公司存在工资收入。虽然其提供的德明福公司的财务报表显示德明福公司</w:t>
      </w:r>
      <w:r>
        <w:rPr>
          <w:rFonts w:hint="eastAsia"/>
          <w:sz w:val="30"/>
          <w:szCs w:val="30"/>
        </w:rPr>
        <w:t>2010</w:t>
      </w:r>
      <w:r>
        <w:rPr>
          <w:rFonts w:hint="eastAsia"/>
          <w:sz w:val="30"/>
          <w:szCs w:val="30"/>
        </w:rPr>
        <w:t>年度未分配利润为</w:t>
      </w:r>
      <w:r>
        <w:rPr>
          <w:rFonts w:hint="eastAsia"/>
          <w:sz w:val="30"/>
          <w:szCs w:val="30"/>
        </w:rPr>
        <w:t>67.72</w:t>
      </w:r>
      <w:r>
        <w:rPr>
          <w:rFonts w:hint="eastAsia"/>
          <w:sz w:val="30"/>
          <w:szCs w:val="30"/>
        </w:rPr>
        <w:t>元，但该收入是否为德明福公司开展同业竞争业务所得，图尔克公司亦不能提供证据予以证明，故图尔克公司对上述主张应承担举证不能的法律后果。因图尔克公司以公司高级管理人员损害公司利益为由提起本案之诉，故图尔克公司依据《公司法》第</w:t>
      </w:r>
      <w:r>
        <w:rPr>
          <w:rFonts w:hint="eastAsia"/>
          <w:sz w:val="30"/>
          <w:szCs w:val="30"/>
        </w:rPr>
        <w:t>150</w:t>
      </w:r>
      <w:r>
        <w:rPr>
          <w:rFonts w:hint="eastAsia"/>
          <w:sz w:val="30"/>
          <w:szCs w:val="30"/>
        </w:rPr>
        <w:t>条的规定以及德明福公司与马利祥构成共同侵权为由，要求德明福公司承担连带赔偿责任，于法无据，不应予以支持。</w:t>
      </w:r>
    </w:p>
    <w:p w:rsidR="00000000" w:rsidRDefault="0004683E">
      <w:pPr>
        <w:spacing w:line="500" w:lineRule="atLeast"/>
        <w:ind w:firstLine="600"/>
        <w:divId w:val="1533418904"/>
        <w:rPr>
          <w:rFonts w:hint="eastAsia"/>
          <w:sz w:val="30"/>
          <w:szCs w:val="30"/>
        </w:rPr>
      </w:pPr>
      <w:r>
        <w:rPr>
          <w:rFonts w:hint="eastAsia"/>
          <w:sz w:val="30"/>
          <w:szCs w:val="30"/>
        </w:rPr>
        <w:t>综上，原审判决认定事实清楚，适用法律正确，应予维持。依照《中华人民共和国民事诉讼法》第一百七十条第一款第（一）项之规定，判决如下：</w:t>
      </w:r>
    </w:p>
    <w:p w:rsidR="00000000" w:rsidRDefault="0004683E">
      <w:pPr>
        <w:spacing w:line="500" w:lineRule="atLeast"/>
        <w:ind w:firstLine="600"/>
        <w:divId w:val="1761679567"/>
        <w:rPr>
          <w:rFonts w:hint="eastAsia"/>
          <w:sz w:val="30"/>
          <w:szCs w:val="30"/>
        </w:rPr>
      </w:pPr>
      <w:r>
        <w:rPr>
          <w:rFonts w:hint="eastAsia"/>
          <w:sz w:val="30"/>
          <w:szCs w:val="30"/>
        </w:rPr>
        <w:t>驳回上诉，维持原判。</w:t>
      </w:r>
    </w:p>
    <w:p w:rsidR="00000000" w:rsidRDefault="0004683E">
      <w:pPr>
        <w:spacing w:line="500" w:lineRule="atLeast"/>
        <w:ind w:firstLine="600"/>
        <w:divId w:val="1028719768"/>
        <w:rPr>
          <w:rFonts w:hint="eastAsia"/>
          <w:sz w:val="30"/>
          <w:szCs w:val="30"/>
        </w:rPr>
      </w:pPr>
      <w:r>
        <w:rPr>
          <w:rFonts w:hint="eastAsia"/>
          <w:sz w:val="30"/>
          <w:szCs w:val="30"/>
        </w:rPr>
        <w:t>二审受理费</w:t>
      </w:r>
      <w:r>
        <w:rPr>
          <w:rFonts w:hint="eastAsia"/>
          <w:sz w:val="30"/>
          <w:szCs w:val="30"/>
        </w:rPr>
        <w:t>67800</w:t>
      </w:r>
      <w:r>
        <w:rPr>
          <w:rFonts w:hint="eastAsia"/>
          <w:sz w:val="30"/>
          <w:szCs w:val="30"/>
        </w:rPr>
        <w:t>元，由图尔克（天津）传感器有限公司负担。</w:t>
      </w:r>
    </w:p>
    <w:p w:rsidR="00000000" w:rsidRDefault="0004683E">
      <w:pPr>
        <w:spacing w:line="500" w:lineRule="atLeast"/>
        <w:ind w:firstLine="600"/>
        <w:divId w:val="1232084309"/>
        <w:rPr>
          <w:rFonts w:hint="eastAsia"/>
          <w:sz w:val="30"/>
          <w:szCs w:val="30"/>
        </w:rPr>
      </w:pPr>
      <w:r>
        <w:rPr>
          <w:rFonts w:hint="eastAsia"/>
          <w:sz w:val="30"/>
          <w:szCs w:val="30"/>
        </w:rPr>
        <w:t>本判决为终审判决。</w:t>
      </w:r>
    </w:p>
    <w:p w:rsidR="00000000" w:rsidRDefault="0004683E">
      <w:pPr>
        <w:spacing w:line="500" w:lineRule="atLeast"/>
        <w:jc w:val="right"/>
        <w:divId w:val="1314871694"/>
        <w:rPr>
          <w:rFonts w:hint="eastAsia"/>
          <w:sz w:val="30"/>
          <w:szCs w:val="30"/>
        </w:rPr>
      </w:pPr>
      <w:r>
        <w:rPr>
          <w:rFonts w:hint="eastAsia"/>
          <w:sz w:val="30"/>
          <w:szCs w:val="30"/>
        </w:rPr>
        <w:t>审　判　长　　徐志兰</w:t>
      </w:r>
    </w:p>
    <w:p w:rsidR="00000000" w:rsidRDefault="0004683E">
      <w:pPr>
        <w:spacing w:line="500" w:lineRule="atLeast"/>
        <w:jc w:val="right"/>
        <w:divId w:val="909192790"/>
        <w:rPr>
          <w:rFonts w:hint="eastAsia"/>
          <w:sz w:val="30"/>
          <w:szCs w:val="30"/>
        </w:rPr>
      </w:pPr>
      <w:r>
        <w:rPr>
          <w:rFonts w:hint="eastAsia"/>
          <w:sz w:val="30"/>
          <w:szCs w:val="30"/>
        </w:rPr>
        <w:t>代理审判员　　张松青</w:t>
      </w:r>
    </w:p>
    <w:p w:rsidR="00000000" w:rsidRDefault="0004683E">
      <w:pPr>
        <w:spacing w:line="500" w:lineRule="atLeast"/>
        <w:jc w:val="right"/>
        <w:divId w:val="735475989"/>
        <w:rPr>
          <w:rFonts w:hint="eastAsia"/>
          <w:sz w:val="30"/>
          <w:szCs w:val="30"/>
        </w:rPr>
      </w:pPr>
      <w:r>
        <w:rPr>
          <w:rFonts w:hint="eastAsia"/>
          <w:sz w:val="30"/>
          <w:szCs w:val="30"/>
        </w:rPr>
        <w:t>代理审判员　　王建华</w:t>
      </w:r>
    </w:p>
    <w:p w:rsidR="00000000" w:rsidRDefault="0004683E">
      <w:pPr>
        <w:spacing w:line="500" w:lineRule="atLeast"/>
        <w:jc w:val="right"/>
        <w:divId w:val="887766625"/>
        <w:rPr>
          <w:rFonts w:hint="eastAsia"/>
          <w:sz w:val="30"/>
          <w:szCs w:val="30"/>
        </w:rPr>
      </w:pPr>
      <w:r>
        <w:rPr>
          <w:rFonts w:hint="eastAsia"/>
          <w:sz w:val="30"/>
          <w:szCs w:val="30"/>
        </w:rPr>
        <w:t>二０一四年六月十一日</w:t>
      </w:r>
    </w:p>
    <w:p w:rsidR="00000000" w:rsidRDefault="0004683E">
      <w:pPr>
        <w:spacing w:line="500" w:lineRule="atLeast"/>
        <w:jc w:val="right"/>
        <w:divId w:val="837501594"/>
        <w:rPr>
          <w:rFonts w:hint="eastAsia"/>
          <w:sz w:val="30"/>
          <w:szCs w:val="30"/>
        </w:rPr>
      </w:pPr>
      <w:r>
        <w:rPr>
          <w:rFonts w:hint="eastAsia"/>
          <w:sz w:val="30"/>
          <w:szCs w:val="30"/>
        </w:rPr>
        <w:t>书　记　员　　赵　蕾</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83E" w:rsidRDefault="0004683E" w:rsidP="0004683E">
      <w:r>
        <w:separator/>
      </w:r>
    </w:p>
  </w:endnote>
  <w:endnote w:type="continuationSeparator" w:id="0">
    <w:p w:rsidR="0004683E" w:rsidRDefault="0004683E" w:rsidP="00046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83E" w:rsidRDefault="0004683E" w:rsidP="0004683E">
      <w:r>
        <w:separator/>
      </w:r>
    </w:p>
  </w:footnote>
  <w:footnote w:type="continuationSeparator" w:id="0">
    <w:p w:rsidR="0004683E" w:rsidRDefault="0004683E" w:rsidP="000468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4683E"/>
    <w:rsid w:val="00046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468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683E"/>
    <w:rPr>
      <w:rFonts w:ascii="宋体" w:eastAsia="宋体" w:hAnsi="宋体" w:cs="宋体"/>
      <w:sz w:val="18"/>
      <w:szCs w:val="18"/>
    </w:rPr>
  </w:style>
  <w:style w:type="paragraph" w:styleId="a5">
    <w:name w:val="footer"/>
    <w:basedOn w:val="a"/>
    <w:link w:val="a6"/>
    <w:uiPriority w:val="99"/>
    <w:unhideWhenUsed/>
    <w:rsid w:val="0004683E"/>
    <w:pPr>
      <w:tabs>
        <w:tab w:val="center" w:pos="4153"/>
        <w:tab w:val="right" w:pos="8306"/>
      </w:tabs>
      <w:snapToGrid w:val="0"/>
    </w:pPr>
    <w:rPr>
      <w:sz w:val="18"/>
      <w:szCs w:val="18"/>
    </w:rPr>
  </w:style>
  <w:style w:type="character" w:customStyle="1" w:styleId="a6">
    <w:name w:val="页脚 字符"/>
    <w:basedOn w:val="a0"/>
    <w:link w:val="a5"/>
    <w:uiPriority w:val="99"/>
    <w:rsid w:val="0004683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5502">
      <w:marLeft w:val="0"/>
      <w:marRight w:val="0"/>
      <w:marTop w:val="10"/>
      <w:marBottom w:val="10"/>
      <w:divBdr>
        <w:top w:val="none" w:sz="0" w:space="0" w:color="auto"/>
        <w:left w:val="none" w:sz="0" w:space="0" w:color="auto"/>
        <w:bottom w:val="none" w:sz="0" w:space="0" w:color="auto"/>
        <w:right w:val="none" w:sz="0" w:space="0" w:color="auto"/>
      </w:divBdr>
    </w:div>
    <w:div w:id="52042159">
      <w:marLeft w:val="0"/>
      <w:marRight w:val="0"/>
      <w:marTop w:val="10"/>
      <w:marBottom w:val="10"/>
      <w:divBdr>
        <w:top w:val="none" w:sz="0" w:space="0" w:color="auto"/>
        <w:left w:val="none" w:sz="0" w:space="0" w:color="auto"/>
        <w:bottom w:val="none" w:sz="0" w:space="0" w:color="auto"/>
        <w:right w:val="none" w:sz="0" w:space="0" w:color="auto"/>
      </w:divBdr>
    </w:div>
    <w:div w:id="63450533">
      <w:marLeft w:val="0"/>
      <w:marRight w:val="0"/>
      <w:marTop w:val="10"/>
      <w:marBottom w:val="10"/>
      <w:divBdr>
        <w:top w:val="none" w:sz="0" w:space="0" w:color="auto"/>
        <w:left w:val="none" w:sz="0" w:space="0" w:color="auto"/>
        <w:bottom w:val="none" w:sz="0" w:space="0" w:color="auto"/>
        <w:right w:val="none" w:sz="0" w:space="0" w:color="auto"/>
      </w:divBdr>
    </w:div>
    <w:div w:id="63837778">
      <w:marLeft w:val="0"/>
      <w:marRight w:val="0"/>
      <w:marTop w:val="10"/>
      <w:marBottom w:val="10"/>
      <w:divBdr>
        <w:top w:val="none" w:sz="0" w:space="0" w:color="auto"/>
        <w:left w:val="none" w:sz="0" w:space="0" w:color="auto"/>
        <w:bottom w:val="none" w:sz="0" w:space="0" w:color="auto"/>
        <w:right w:val="none" w:sz="0" w:space="0" w:color="auto"/>
      </w:divBdr>
    </w:div>
    <w:div w:id="65887370">
      <w:marLeft w:val="0"/>
      <w:marRight w:val="0"/>
      <w:marTop w:val="10"/>
      <w:marBottom w:val="10"/>
      <w:divBdr>
        <w:top w:val="none" w:sz="0" w:space="0" w:color="auto"/>
        <w:left w:val="none" w:sz="0" w:space="0" w:color="auto"/>
        <w:bottom w:val="none" w:sz="0" w:space="0" w:color="auto"/>
        <w:right w:val="none" w:sz="0" w:space="0" w:color="auto"/>
      </w:divBdr>
    </w:div>
    <w:div w:id="98988253">
      <w:marLeft w:val="0"/>
      <w:marRight w:val="0"/>
      <w:marTop w:val="10"/>
      <w:marBottom w:val="10"/>
      <w:divBdr>
        <w:top w:val="none" w:sz="0" w:space="0" w:color="auto"/>
        <w:left w:val="none" w:sz="0" w:space="0" w:color="auto"/>
        <w:bottom w:val="none" w:sz="0" w:space="0" w:color="auto"/>
        <w:right w:val="none" w:sz="0" w:space="0" w:color="auto"/>
      </w:divBdr>
    </w:div>
    <w:div w:id="385111347">
      <w:marLeft w:val="0"/>
      <w:marRight w:val="0"/>
      <w:marTop w:val="10"/>
      <w:marBottom w:val="10"/>
      <w:divBdr>
        <w:top w:val="none" w:sz="0" w:space="0" w:color="auto"/>
        <w:left w:val="none" w:sz="0" w:space="0" w:color="auto"/>
        <w:bottom w:val="none" w:sz="0" w:space="0" w:color="auto"/>
        <w:right w:val="none" w:sz="0" w:space="0" w:color="auto"/>
      </w:divBdr>
    </w:div>
    <w:div w:id="457451478">
      <w:marLeft w:val="0"/>
      <w:marRight w:val="0"/>
      <w:marTop w:val="10"/>
      <w:marBottom w:val="10"/>
      <w:divBdr>
        <w:top w:val="none" w:sz="0" w:space="0" w:color="auto"/>
        <w:left w:val="none" w:sz="0" w:space="0" w:color="auto"/>
        <w:bottom w:val="none" w:sz="0" w:space="0" w:color="auto"/>
        <w:right w:val="none" w:sz="0" w:space="0" w:color="auto"/>
      </w:divBdr>
    </w:div>
    <w:div w:id="478889338">
      <w:marLeft w:val="0"/>
      <w:marRight w:val="0"/>
      <w:marTop w:val="10"/>
      <w:marBottom w:val="10"/>
      <w:divBdr>
        <w:top w:val="none" w:sz="0" w:space="0" w:color="auto"/>
        <w:left w:val="none" w:sz="0" w:space="0" w:color="auto"/>
        <w:bottom w:val="none" w:sz="0" w:space="0" w:color="auto"/>
        <w:right w:val="none" w:sz="0" w:space="0" w:color="auto"/>
      </w:divBdr>
    </w:div>
    <w:div w:id="605624498">
      <w:marLeft w:val="0"/>
      <w:marRight w:val="0"/>
      <w:marTop w:val="10"/>
      <w:marBottom w:val="10"/>
      <w:divBdr>
        <w:top w:val="none" w:sz="0" w:space="0" w:color="auto"/>
        <w:left w:val="none" w:sz="0" w:space="0" w:color="auto"/>
        <w:bottom w:val="none" w:sz="0" w:space="0" w:color="auto"/>
        <w:right w:val="none" w:sz="0" w:space="0" w:color="auto"/>
      </w:divBdr>
    </w:div>
    <w:div w:id="696926826">
      <w:marLeft w:val="0"/>
      <w:marRight w:val="0"/>
      <w:marTop w:val="10"/>
      <w:marBottom w:val="10"/>
      <w:divBdr>
        <w:top w:val="none" w:sz="0" w:space="0" w:color="auto"/>
        <w:left w:val="none" w:sz="0" w:space="0" w:color="auto"/>
        <w:bottom w:val="none" w:sz="0" w:space="0" w:color="auto"/>
        <w:right w:val="none" w:sz="0" w:space="0" w:color="auto"/>
      </w:divBdr>
    </w:div>
    <w:div w:id="735475989">
      <w:marLeft w:val="0"/>
      <w:marRight w:val="720"/>
      <w:marTop w:val="10"/>
      <w:marBottom w:val="10"/>
      <w:divBdr>
        <w:top w:val="none" w:sz="0" w:space="0" w:color="auto"/>
        <w:left w:val="none" w:sz="0" w:space="0" w:color="auto"/>
        <w:bottom w:val="none" w:sz="0" w:space="0" w:color="auto"/>
        <w:right w:val="none" w:sz="0" w:space="0" w:color="auto"/>
      </w:divBdr>
    </w:div>
    <w:div w:id="828598910">
      <w:marLeft w:val="0"/>
      <w:marRight w:val="0"/>
      <w:marTop w:val="10"/>
      <w:marBottom w:val="10"/>
      <w:divBdr>
        <w:top w:val="none" w:sz="0" w:space="0" w:color="auto"/>
        <w:left w:val="none" w:sz="0" w:space="0" w:color="auto"/>
        <w:bottom w:val="none" w:sz="0" w:space="0" w:color="auto"/>
        <w:right w:val="none" w:sz="0" w:space="0" w:color="auto"/>
      </w:divBdr>
    </w:div>
    <w:div w:id="837501594">
      <w:marLeft w:val="0"/>
      <w:marRight w:val="720"/>
      <w:marTop w:val="10"/>
      <w:marBottom w:val="10"/>
      <w:divBdr>
        <w:top w:val="none" w:sz="0" w:space="0" w:color="auto"/>
        <w:left w:val="none" w:sz="0" w:space="0" w:color="auto"/>
        <w:bottom w:val="none" w:sz="0" w:space="0" w:color="auto"/>
        <w:right w:val="none" w:sz="0" w:space="0" w:color="auto"/>
      </w:divBdr>
    </w:div>
    <w:div w:id="853306706">
      <w:marLeft w:val="0"/>
      <w:marRight w:val="0"/>
      <w:marTop w:val="10"/>
      <w:marBottom w:val="10"/>
      <w:divBdr>
        <w:top w:val="none" w:sz="0" w:space="0" w:color="auto"/>
        <w:left w:val="none" w:sz="0" w:space="0" w:color="auto"/>
        <w:bottom w:val="none" w:sz="0" w:space="0" w:color="auto"/>
        <w:right w:val="none" w:sz="0" w:space="0" w:color="auto"/>
      </w:divBdr>
    </w:div>
    <w:div w:id="887766625">
      <w:marLeft w:val="0"/>
      <w:marRight w:val="720"/>
      <w:marTop w:val="10"/>
      <w:marBottom w:val="10"/>
      <w:divBdr>
        <w:top w:val="none" w:sz="0" w:space="0" w:color="auto"/>
        <w:left w:val="none" w:sz="0" w:space="0" w:color="auto"/>
        <w:bottom w:val="none" w:sz="0" w:space="0" w:color="auto"/>
        <w:right w:val="none" w:sz="0" w:space="0" w:color="auto"/>
      </w:divBdr>
    </w:div>
    <w:div w:id="909192790">
      <w:marLeft w:val="0"/>
      <w:marRight w:val="720"/>
      <w:marTop w:val="10"/>
      <w:marBottom w:val="10"/>
      <w:divBdr>
        <w:top w:val="none" w:sz="0" w:space="0" w:color="auto"/>
        <w:left w:val="none" w:sz="0" w:space="0" w:color="auto"/>
        <w:bottom w:val="none" w:sz="0" w:space="0" w:color="auto"/>
        <w:right w:val="none" w:sz="0" w:space="0" w:color="auto"/>
      </w:divBdr>
    </w:div>
    <w:div w:id="1020543475">
      <w:marLeft w:val="0"/>
      <w:marRight w:val="0"/>
      <w:marTop w:val="10"/>
      <w:marBottom w:val="10"/>
      <w:divBdr>
        <w:top w:val="none" w:sz="0" w:space="0" w:color="auto"/>
        <w:left w:val="none" w:sz="0" w:space="0" w:color="auto"/>
        <w:bottom w:val="none" w:sz="0" w:space="0" w:color="auto"/>
        <w:right w:val="none" w:sz="0" w:space="0" w:color="auto"/>
      </w:divBdr>
    </w:div>
    <w:div w:id="1028719768">
      <w:marLeft w:val="0"/>
      <w:marRight w:val="0"/>
      <w:marTop w:val="10"/>
      <w:marBottom w:val="10"/>
      <w:divBdr>
        <w:top w:val="none" w:sz="0" w:space="0" w:color="auto"/>
        <w:left w:val="none" w:sz="0" w:space="0" w:color="auto"/>
        <w:bottom w:val="none" w:sz="0" w:space="0" w:color="auto"/>
        <w:right w:val="none" w:sz="0" w:space="0" w:color="auto"/>
      </w:divBdr>
    </w:div>
    <w:div w:id="1039209040">
      <w:marLeft w:val="0"/>
      <w:marRight w:val="0"/>
      <w:marTop w:val="10"/>
      <w:marBottom w:val="10"/>
      <w:divBdr>
        <w:top w:val="none" w:sz="0" w:space="0" w:color="auto"/>
        <w:left w:val="none" w:sz="0" w:space="0" w:color="auto"/>
        <w:bottom w:val="none" w:sz="0" w:space="0" w:color="auto"/>
        <w:right w:val="none" w:sz="0" w:space="0" w:color="auto"/>
      </w:divBdr>
    </w:div>
    <w:div w:id="1232084309">
      <w:marLeft w:val="0"/>
      <w:marRight w:val="0"/>
      <w:marTop w:val="10"/>
      <w:marBottom w:val="10"/>
      <w:divBdr>
        <w:top w:val="none" w:sz="0" w:space="0" w:color="auto"/>
        <w:left w:val="none" w:sz="0" w:space="0" w:color="auto"/>
        <w:bottom w:val="none" w:sz="0" w:space="0" w:color="auto"/>
        <w:right w:val="none" w:sz="0" w:space="0" w:color="auto"/>
      </w:divBdr>
    </w:div>
    <w:div w:id="1314871694">
      <w:marLeft w:val="0"/>
      <w:marRight w:val="720"/>
      <w:marTop w:val="10"/>
      <w:marBottom w:val="10"/>
      <w:divBdr>
        <w:top w:val="none" w:sz="0" w:space="0" w:color="auto"/>
        <w:left w:val="none" w:sz="0" w:space="0" w:color="auto"/>
        <w:bottom w:val="none" w:sz="0" w:space="0" w:color="auto"/>
        <w:right w:val="none" w:sz="0" w:space="0" w:color="auto"/>
      </w:divBdr>
    </w:div>
    <w:div w:id="1358044079">
      <w:marLeft w:val="0"/>
      <w:marRight w:val="0"/>
      <w:marTop w:val="10"/>
      <w:marBottom w:val="10"/>
      <w:divBdr>
        <w:top w:val="none" w:sz="0" w:space="0" w:color="auto"/>
        <w:left w:val="none" w:sz="0" w:space="0" w:color="auto"/>
        <w:bottom w:val="none" w:sz="0" w:space="0" w:color="auto"/>
        <w:right w:val="none" w:sz="0" w:space="0" w:color="auto"/>
      </w:divBdr>
    </w:div>
    <w:div w:id="1533418904">
      <w:marLeft w:val="0"/>
      <w:marRight w:val="0"/>
      <w:marTop w:val="10"/>
      <w:marBottom w:val="10"/>
      <w:divBdr>
        <w:top w:val="none" w:sz="0" w:space="0" w:color="auto"/>
        <w:left w:val="none" w:sz="0" w:space="0" w:color="auto"/>
        <w:bottom w:val="none" w:sz="0" w:space="0" w:color="auto"/>
        <w:right w:val="none" w:sz="0" w:space="0" w:color="auto"/>
      </w:divBdr>
    </w:div>
    <w:div w:id="1555196354">
      <w:marLeft w:val="0"/>
      <w:marRight w:val="0"/>
      <w:marTop w:val="10"/>
      <w:marBottom w:val="10"/>
      <w:divBdr>
        <w:top w:val="none" w:sz="0" w:space="0" w:color="auto"/>
        <w:left w:val="none" w:sz="0" w:space="0" w:color="auto"/>
        <w:bottom w:val="none" w:sz="0" w:space="0" w:color="auto"/>
        <w:right w:val="none" w:sz="0" w:space="0" w:color="auto"/>
      </w:divBdr>
    </w:div>
    <w:div w:id="1672293411">
      <w:marLeft w:val="0"/>
      <w:marRight w:val="0"/>
      <w:marTop w:val="10"/>
      <w:marBottom w:val="10"/>
      <w:divBdr>
        <w:top w:val="none" w:sz="0" w:space="0" w:color="auto"/>
        <w:left w:val="none" w:sz="0" w:space="0" w:color="auto"/>
        <w:bottom w:val="none" w:sz="0" w:space="0" w:color="auto"/>
        <w:right w:val="none" w:sz="0" w:space="0" w:color="auto"/>
      </w:divBdr>
    </w:div>
    <w:div w:id="1743141932">
      <w:marLeft w:val="0"/>
      <w:marRight w:val="0"/>
      <w:marTop w:val="10"/>
      <w:marBottom w:val="10"/>
      <w:divBdr>
        <w:top w:val="none" w:sz="0" w:space="0" w:color="auto"/>
        <w:left w:val="none" w:sz="0" w:space="0" w:color="auto"/>
        <w:bottom w:val="none" w:sz="0" w:space="0" w:color="auto"/>
        <w:right w:val="none" w:sz="0" w:space="0" w:color="auto"/>
      </w:divBdr>
    </w:div>
    <w:div w:id="1747652897">
      <w:marLeft w:val="0"/>
      <w:marRight w:val="0"/>
      <w:marTop w:val="10"/>
      <w:marBottom w:val="10"/>
      <w:divBdr>
        <w:top w:val="none" w:sz="0" w:space="0" w:color="auto"/>
        <w:left w:val="none" w:sz="0" w:space="0" w:color="auto"/>
        <w:bottom w:val="none" w:sz="0" w:space="0" w:color="auto"/>
        <w:right w:val="none" w:sz="0" w:space="0" w:color="auto"/>
      </w:divBdr>
    </w:div>
    <w:div w:id="1761679567">
      <w:marLeft w:val="0"/>
      <w:marRight w:val="0"/>
      <w:marTop w:val="10"/>
      <w:marBottom w:val="10"/>
      <w:divBdr>
        <w:top w:val="none" w:sz="0" w:space="0" w:color="auto"/>
        <w:left w:val="none" w:sz="0" w:space="0" w:color="auto"/>
        <w:bottom w:val="none" w:sz="0" w:space="0" w:color="auto"/>
        <w:right w:val="none" w:sz="0" w:space="0" w:color="auto"/>
      </w:divBdr>
    </w:div>
    <w:div w:id="1938829930">
      <w:marLeft w:val="0"/>
      <w:marRight w:val="0"/>
      <w:marTop w:val="10"/>
      <w:marBottom w:val="10"/>
      <w:divBdr>
        <w:top w:val="none" w:sz="0" w:space="0" w:color="auto"/>
        <w:left w:val="none" w:sz="0" w:space="0" w:color="auto"/>
        <w:bottom w:val="none" w:sz="0" w:space="0" w:color="auto"/>
        <w:right w:val="none" w:sz="0" w:space="0" w:color="auto"/>
      </w:divBdr>
    </w:div>
    <w:div w:id="203523099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