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C238A">
      <w:pPr>
        <w:spacing w:line="500" w:lineRule="atLeast"/>
        <w:jc w:val="center"/>
        <w:divId w:val="400294057"/>
        <w:rPr>
          <w:rFonts w:ascii="黑体" w:eastAsia="黑体" w:hAnsi="黑体"/>
          <w:sz w:val="36"/>
          <w:szCs w:val="36"/>
        </w:rPr>
      </w:pPr>
      <w:bookmarkStart w:id="0" w:name="_GoBack"/>
      <w:bookmarkEnd w:id="0"/>
      <w:r>
        <w:rPr>
          <w:rFonts w:ascii="黑体" w:eastAsia="黑体" w:hAnsi="黑体" w:hint="eastAsia"/>
          <w:sz w:val="36"/>
          <w:szCs w:val="36"/>
        </w:rPr>
        <w:t>天津市第一中级人民法院</w:t>
      </w:r>
    </w:p>
    <w:p w:rsidR="00000000" w:rsidRDefault="009C238A">
      <w:pPr>
        <w:spacing w:line="500" w:lineRule="atLeast"/>
        <w:jc w:val="center"/>
        <w:divId w:val="181949101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C238A">
      <w:pPr>
        <w:spacing w:line="500" w:lineRule="atLeast"/>
        <w:jc w:val="right"/>
        <w:divId w:val="1661036027"/>
        <w:rPr>
          <w:rFonts w:hint="eastAsia"/>
          <w:sz w:val="30"/>
          <w:szCs w:val="30"/>
        </w:rPr>
      </w:pPr>
      <w:r>
        <w:rPr>
          <w:rFonts w:hint="eastAsia"/>
          <w:sz w:val="30"/>
          <w:szCs w:val="30"/>
        </w:rPr>
        <w:t>（</w:t>
      </w:r>
      <w:r>
        <w:rPr>
          <w:rFonts w:hint="eastAsia"/>
          <w:sz w:val="30"/>
          <w:szCs w:val="30"/>
        </w:rPr>
        <w:t>2020</w:t>
      </w:r>
      <w:r>
        <w:rPr>
          <w:rFonts w:hint="eastAsia"/>
          <w:sz w:val="30"/>
          <w:szCs w:val="30"/>
        </w:rPr>
        <w:t>）津</w:t>
      </w:r>
      <w:r>
        <w:rPr>
          <w:rFonts w:hint="eastAsia"/>
          <w:sz w:val="30"/>
          <w:szCs w:val="30"/>
        </w:rPr>
        <w:t>01</w:t>
      </w:r>
      <w:r>
        <w:rPr>
          <w:rFonts w:hint="eastAsia"/>
          <w:sz w:val="30"/>
          <w:szCs w:val="30"/>
        </w:rPr>
        <w:t>民终</w:t>
      </w:r>
      <w:r>
        <w:rPr>
          <w:rFonts w:hint="eastAsia"/>
          <w:sz w:val="30"/>
          <w:szCs w:val="30"/>
        </w:rPr>
        <w:t>6907</w:t>
      </w:r>
      <w:r>
        <w:rPr>
          <w:rFonts w:hint="eastAsia"/>
          <w:sz w:val="30"/>
          <w:szCs w:val="30"/>
        </w:rPr>
        <w:t>号</w:t>
      </w:r>
    </w:p>
    <w:p w:rsidR="00000000" w:rsidRDefault="009C238A">
      <w:pPr>
        <w:spacing w:line="500" w:lineRule="atLeast"/>
        <w:ind w:firstLine="600"/>
        <w:divId w:val="2134470559"/>
        <w:rPr>
          <w:rFonts w:hint="eastAsia"/>
          <w:sz w:val="30"/>
          <w:szCs w:val="30"/>
        </w:rPr>
      </w:pPr>
      <w:r>
        <w:rPr>
          <w:rFonts w:hint="eastAsia"/>
          <w:sz w:val="30"/>
          <w:szCs w:val="30"/>
        </w:rPr>
        <w:t>上诉人（原审原告）</w:t>
      </w:r>
      <w:r>
        <w:rPr>
          <w:rFonts w:hint="eastAsia"/>
          <w:sz w:val="30"/>
          <w:szCs w:val="30"/>
        </w:rPr>
        <w:t>:</w:t>
      </w:r>
      <w:r>
        <w:rPr>
          <w:rFonts w:hint="eastAsia"/>
          <w:sz w:val="30"/>
          <w:szCs w:val="30"/>
        </w:rPr>
        <w:t>天津国商人集团有限公司，住所地天津市和平区承德道与张自忠路交口西北侧港湾中心</w:t>
      </w:r>
      <w:r>
        <w:rPr>
          <w:rFonts w:hint="eastAsia"/>
          <w:sz w:val="30"/>
          <w:szCs w:val="30"/>
        </w:rPr>
        <w:t>605</w:t>
      </w:r>
      <w:r>
        <w:rPr>
          <w:rFonts w:hint="eastAsia"/>
          <w:sz w:val="30"/>
          <w:szCs w:val="30"/>
        </w:rPr>
        <w:t>。</w:t>
      </w:r>
    </w:p>
    <w:p w:rsidR="00000000" w:rsidRDefault="009C238A">
      <w:pPr>
        <w:spacing w:line="500" w:lineRule="atLeast"/>
        <w:ind w:firstLine="600"/>
        <w:divId w:val="1417357664"/>
        <w:rPr>
          <w:rFonts w:hint="eastAsia"/>
          <w:sz w:val="30"/>
          <w:szCs w:val="30"/>
        </w:rPr>
      </w:pPr>
      <w:r>
        <w:rPr>
          <w:rFonts w:hint="eastAsia"/>
          <w:sz w:val="30"/>
          <w:szCs w:val="30"/>
        </w:rPr>
        <w:t>法定代表人：林谷春，董事长。</w:t>
      </w:r>
    </w:p>
    <w:p w:rsidR="00000000" w:rsidRDefault="009C238A">
      <w:pPr>
        <w:spacing w:line="500" w:lineRule="atLeast"/>
        <w:ind w:firstLine="600"/>
        <w:divId w:val="1555388094"/>
        <w:rPr>
          <w:rFonts w:hint="eastAsia"/>
          <w:sz w:val="30"/>
          <w:szCs w:val="30"/>
        </w:rPr>
      </w:pPr>
      <w:r>
        <w:rPr>
          <w:rFonts w:hint="eastAsia"/>
          <w:sz w:val="30"/>
          <w:szCs w:val="30"/>
        </w:rPr>
        <w:t>委托诉讼代理人：潘强，天津击水律师事务所律师。</w:t>
      </w:r>
    </w:p>
    <w:p w:rsidR="00000000" w:rsidRDefault="009C238A">
      <w:pPr>
        <w:spacing w:line="500" w:lineRule="atLeast"/>
        <w:ind w:firstLine="600"/>
        <w:divId w:val="1612274045"/>
        <w:rPr>
          <w:rFonts w:hint="eastAsia"/>
          <w:sz w:val="30"/>
          <w:szCs w:val="30"/>
        </w:rPr>
      </w:pPr>
      <w:r>
        <w:rPr>
          <w:rFonts w:hint="eastAsia"/>
          <w:sz w:val="30"/>
          <w:szCs w:val="30"/>
        </w:rPr>
        <w:t>委托诉讼代理人：王富涛，天津击水（南开）律师事务所律师。</w:t>
      </w:r>
    </w:p>
    <w:p w:rsidR="00000000" w:rsidRDefault="009C238A">
      <w:pPr>
        <w:spacing w:line="500" w:lineRule="atLeast"/>
        <w:ind w:firstLine="600"/>
        <w:divId w:val="570846560"/>
        <w:rPr>
          <w:rFonts w:hint="eastAsia"/>
          <w:sz w:val="30"/>
          <w:szCs w:val="30"/>
        </w:rPr>
      </w:pPr>
      <w:r>
        <w:rPr>
          <w:rFonts w:hint="eastAsia"/>
          <w:sz w:val="30"/>
          <w:szCs w:val="30"/>
        </w:rPr>
        <w:t>被上诉人（原审被告）</w:t>
      </w:r>
      <w:r>
        <w:rPr>
          <w:rFonts w:hint="eastAsia"/>
          <w:sz w:val="30"/>
          <w:szCs w:val="30"/>
        </w:rPr>
        <w:t>:</w:t>
      </w:r>
      <w:r>
        <w:rPr>
          <w:rFonts w:hint="eastAsia"/>
          <w:sz w:val="30"/>
          <w:szCs w:val="30"/>
        </w:rPr>
        <w:t>天津全众机电设备维护有限公司，住所地天津市和平区西康路观云里</w:t>
      </w:r>
      <w:r>
        <w:rPr>
          <w:rFonts w:hint="eastAsia"/>
          <w:sz w:val="30"/>
          <w:szCs w:val="30"/>
        </w:rPr>
        <w:t>1</w:t>
      </w:r>
      <w:r>
        <w:rPr>
          <w:rFonts w:hint="eastAsia"/>
          <w:sz w:val="30"/>
          <w:szCs w:val="30"/>
        </w:rPr>
        <w:t>号</w:t>
      </w:r>
      <w:r>
        <w:rPr>
          <w:rFonts w:hint="eastAsia"/>
          <w:sz w:val="30"/>
          <w:szCs w:val="30"/>
        </w:rPr>
        <w:t>1</w:t>
      </w:r>
      <w:r>
        <w:rPr>
          <w:rFonts w:hint="eastAsia"/>
          <w:sz w:val="30"/>
          <w:szCs w:val="30"/>
        </w:rPr>
        <w:t>门。</w:t>
      </w:r>
    </w:p>
    <w:p w:rsidR="00000000" w:rsidRDefault="009C238A">
      <w:pPr>
        <w:spacing w:line="500" w:lineRule="atLeast"/>
        <w:ind w:firstLine="600"/>
        <w:divId w:val="658919942"/>
        <w:rPr>
          <w:rFonts w:hint="eastAsia"/>
          <w:sz w:val="30"/>
          <w:szCs w:val="30"/>
        </w:rPr>
      </w:pPr>
      <w:r>
        <w:rPr>
          <w:rFonts w:hint="eastAsia"/>
          <w:sz w:val="30"/>
          <w:szCs w:val="30"/>
        </w:rPr>
        <w:t>法定代表人：李建全，总经理。</w:t>
      </w:r>
    </w:p>
    <w:p w:rsidR="00000000" w:rsidRDefault="009C238A">
      <w:pPr>
        <w:spacing w:line="500" w:lineRule="atLeast"/>
        <w:ind w:firstLine="600"/>
        <w:divId w:val="1289896338"/>
        <w:rPr>
          <w:rFonts w:hint="eastAsia"/>
          <w:sz w:val="30"/>
          <w:szCs w:val="30"/>
        </w:rPr>
      </w:pPr>
      <w:r>
        <w:rPr>
          <w:rFonts w:hint="eastAsia"/>
          <w:sz w:val="30"/>
          <w:szCs w:val="30"/>
        </w:rPr>
        <w:t>委托诉讼代理人：李晨暘，男，该公司主管。</w:t>
      </w:r>
    </w:p>
    <w:p w:rsidR="00000000" w:rsidRDefault="009C238A">
      <w:pPr>
        <w:spacing w:line="500" w:lineRule="atLeast"/>
        <w:ind w:firstLine="600"/>
        <w:divId w:val="191497132"/>
        <w:rPr>
          <w:rFonts w:hint="eastAsia"/>
          <w:sz w:val="30"/>
          <w:szCs w:val="30"/>
        </w:rPr>
      </w:pPr>
      <w:r>
        <w:rPr>
          <w:rFonts w:hint="eastAsia"/>
          <w:sz w:val="30"/>
          <w:szCs w:val="30"/>
        </w:rPr>
        <w:t>委托诉讼代理人：刘喆，天津欧诺律师事务所律师。</w:t>
      </w:r>
    </w:p>
    <w:p w:rsidR="00000000" w:rsidRDefault="009C238A">
      <w:pPr>
        <w:spacing w:line="500" w:lineRule="atLeast"/>
        <w:ind w:firstLine="600"/>
        <w:divId w:val="1943301022"/>
        <w:rPr>
          <w:rFonts w:hint="eastAsia"/>
          <w:sz w:val="30"/>
          <w:szCs w:val="30"/>
        </w:rPr>
      </w:pPr>
      <w:r>
        <w:rPr>
          <w:rFonts w:hint="eastAsia"/>
          <w:sz w:val="30"/>
          <w:szCs w:val="30"/>
        </w:rPr>
        <w:t>被上诉人（原审被告）</w:t>
      </w:r>
      <w:r>
        <w:rPr>
          <w:rFonts w:hint="eastAsia"/>
          <w:sz w:val="30"/>
          <w:szCs w:val="30"/>
        </w:rPr>
        <w:t>:</w:t>
      </w:r>
      <w:r>
        <w:rPr>
          <w:rFonts w:hint="eastAsia"/>
          <w:sz w:val="30"/>
          <w:szCs w:val="30"/>
        </w:rPr>
        <w:t>李建全，男，</w:t>
      </w:r>
      <w:r>
        <w:rPr>
          <w:rFonts w:hint="eastAsia"/>
          <w:sz w:val="30"/>
          <w:szCs w:val="30"/>
        </w:rPr>
        <w:t>1967</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日出生，汉族，住天津市和平区。</w:t>
      </w:r>
    </w:p>
    <w:p w:rsidR="00000000" w:rsidRDefault="009C238A">
      <w:pPr>
        <w:spacing w:line="500" w:lineRule="atLeast"/>
        <w:ind w:firstLine="600"/>
        <w:divId w:val="647710269"/>
        <w:rPr>
          <w:rFonts w:hint="eastAsia"/>
          <w:sz w:val="30"/>
          <w:szCs w:val="30"/>
        </w:rPr>
      </w:pPr>
      <w:r>
        <w:rPr>
          <w:rFonts w:hint="eastAsia"/>
          <w:sz w:val="30"/>
          <w:szCs w:val="30"/>
        </w:rPr>
        <w:t>委托诉讼代理人：刘喆，天津欧诺律师事务所律师。</w:t>
      </w:r>
    </w:p>
    <w:p w:rsidR="00000000" w:rsidRDefault="009C238A">
      <w:pPr>
        <w:spacing w:line="500" w:lineRule="atLeast"/>
        <w:ind w:firstLine="600"/>
        <w:divId w:val="828595014"/>
        <w:rPr>
          <w:rFonts w:hint="eastAsia"/>
          <w:sz w:val="30"/>
          <w:szCs w:val="30"/>
        </w:rPr>
      </w:pPr>
      <w:r>
        <w:rPr>
          <w:rFonts w:hint="eastAsia"/>
          <w:sz w:val="30"/>
          <w:szCs w:val="30"/>
        </w:rPr>
        <w:t>被上诉人（原审被告）</w:t>
      </w:r>
      <w:r>
        <w:rPr>
          <w:rFonts w:hint="eastAsia"/>
          <w:sz w:val="30"/>
          <w:szCs w:val="30"/>
        </w:rPr>
        <w:t>:</w:t>
      </w:r>
      <w:r>
        <w:rPr>
          <w:rFonts w:hint="eastAsia"/>
          <w:sz w:val="30"/>
          <w:szCs w:val="30"/>
        </w:rPr>
        <w:t>李文清，男，</w:t>
      </w:r>
      <w:r>
        <w:rPr>
          <w:rFonts w:hint="eastAsia"/>
          <w:sz w:val="30"/>
          <w:szCs w:val="30"/>
        </w:rPr>
        <w:t>1969</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日出生，汉族，住天津市河北区。</w:t>
      </w:r>
    </w:p>
    <w:p w:rsidR="00000000" w:rsidRDefault="009C238A">
      <w:pPr>
        <w:spacing w:line="500" w:lineRule="atLeast"/>
        <w:ind w:firstLine="600"/>
        <w:divId w:val="1037201958"/>
        <w:rPr>
          <w:rFonts w:hint="eastAsia"/>
          <w:sz w:val="30"/>
          <w:szCs w:val="30"/>
        </w:rPr>
      </w:pPr>
      <w:r>
        <w:rPr>
          <w:rFonts w:hint="eastAsia"/>
          <w:sz w:val="30"/>
          <w:szCs w:val="30"/>
        </w:rPr>
        <w:t>委托诉讼代理人：刘喆，天津欧诺律师事务所律师。</w:t>
      </w:r>
    </w:p>
    <w:p w:rsidR="00000000" w:rsidRDefault="009C238A">
      <w:pPr>
        <w:spacing w:line="500" w:lineRule="atLeast"/>
        <w:ind w:firstLine="600"/>
        <w:divId w:val="1145389047"/>
        <w:rPr>
          <w:rFonts w:hint="eastAsia"/>
          <w:sz w:val="30"/>
          <w:szCs w:val="30"/>
        </w:rPr>
      </w:pPr>
      <w:r>
        <w:rPr>
          <w:rFonts w:hint="eastAsia"/>
          <w:sz w:val="30"/>
          <w:szCs w:val="30"/>
        </w:rPr>
        <w:t>被上诉人（原审被告）</w:t>
      </w:r>
      <w:r>
        <w:rPr>
          <w:rFonts w:hint="eastAsia"/>
          <w:sz w:val="30"/>
          <w:szCs w:val="30"/>
        </w:rPr>
        <w:t>:</w:t>
      </w:r>
      <w:r>
        <w:rPr>
          <w:rFonts w:hint="eastAsia"/>
          <w:sz w:val="30"/>
          <w:szCs w:val="30"/>
        </w:rPr>
        <w:t>柴国发，男，</w:t>
      </w:r>
      <w:r>
        <w:rPr>
          <w:rFonts w:hint="eastAsia"/>
          <w:sz w:val="30"/>
          <w:szCs w:val="30"/>
        </w:rPr>
        <w:t>1953</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日出生，汉族，住天津市和平区。</w:t>
      </w:r>
    </w:p>
    <w:p w:rsidR="00000000" w:rsidRDefault="009C238A">
      <w:pPr>
        <w:spacing w:line="500" w:lineRule="atLeast"/>
        <w:ind w:firstLine="600"/>
        <w:divId w:val="195311497"/>
        <w:rPr>
          <w:rFonts w:hint="eastAsia"/>
          <w:sz w:val="30"/>
          <w:szCs w:val="30"/>
        </w:rPr>
      </w:pPr>
      <w:r>
        <w:rPr>
          <w:rFonts w:hint="eastAsia"/>
          <w:sz w:val="30"/>
          <w:szCs w:val="30"/>
        </w:rPr>
        <w:t>委托诉讼代理人：刘喆，天津欧诺律师事务所律师。</w:t>
      </w:r>
    </w:p>
    <w:p w:rsidR="00000000" w:rsidRDefault="009C238A">
      <w:pPr>
        <w:spacing w:line="500" w:lineRule="atLeast"/>
        <w:ind w:firstLine="600"/>
        <w:divId w:val="744837147"/>
        <w:rPr>
          <w:rFonts w:hint="eastAsia"/>
          <w:sz w:val="30"/>
          <w:szCs w:val="30"/>
        </w:rPr>
      </w:pPr>
      <w:r>
        <w:rPr>
          <w:rFonts w:hint="eastAsia"/>
          <w:sz w:val="30"/>
          <w:szCs w:val="30"/>
        </w:rPr>
        <w:t>上诉人天津国商人集团有限公司（以下简称国商人公司）因与被上诉人天津全众机</w:t>
      </w:r>
      <w:r>
        <w:rPr>
          <w:rFonts w:hint="eastAsia"/>
          <w:sz w:val="30"/>
          <w:szCs w:val="30"/>
        </w:rPr>
        <w:t>电设备维护有限公司（以下简称全众公司）、被上诉人李建全、李文清、柴国发损害公司利益责任纠纷一案，不服天津市和平区人民法院（</w:t>
      </w:r>
      <w:r>
        <w:rPr>
          <w:rFonts w:hint="eastAsia"/>
          <w:sz w:val="30"/>
          <w:szCs w:val="30"/>
        </w:rPr>
        <w:t>2020</w:t>
      </w:r>
      <w:r>
        <w:rPr>
          <w:rFonts w:hint="eastAsia"/>
          <w:sz w:val="30"/>
          <w:szCs w:val="30"/>
        </w:rPr>
        <w:t>）津</w:t>
      </w:r>
      <w:r>
        <w:rPr>
          <w:rFonts w:hint="eastAsia"/>
          <w:sz w:val="30"/>
          <w:szCs w:val="30"/>
        </w:rPr>
        <w:t>0101</w:t>
      </w:r>
      <w:r>
        <w:rPr>
          <w:rFonts w:hint="eastAsia"/>
          <w:sz w:val="30"/>
          <w:szCs w:val="30"/>
        </w:rPr>
        <w:t>民初</w:t>
      </w:r>
      <w:r>
        <w:rPr>
          <w:rFonts w:hint="eastAsia"/>
          <w:sz w:val="30"/>
          <w:szCs w:val="30"/>
        </w:rPr>
        <w:lastRenderedPageBreak/>
        <w:t>295</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立案后，依法组成合议庭，开庭进行了审理。上诉人国商人公司委托诉讼代理人潘强、王富涛，被上诉人全众公司委托诉讼代理人李晨暘、刘喆，被上诉人李建全、李文清、柴国发的委托诉讼代理人刘喆到庭参加诉讼。本案现已审理终结。</w:t>
      </w:r>
    </w:p>
    <w:p w:rsidR="00000000" w:rsidRDefault="009C238A">
      <w:pPr>
        <w:spacing w:line="500" w:lineRule="atLeast"/>
        <w:ind w:firstLine="600"/>
        <w:divId w:val="1109011390"/>
        <w:rPr>
          <w:rFonts w:hint="eastAsia"/>
          <w:sz w:val="30"/>
          <w:szCs w:val="30"/>
        </w:rPr>
      </w:pPr>
      <w:r>
        <w:rPr>
          <w:rFonts w:hint="eastAsia"/>
          <w:sz w:val="30"/>
          <w:szCs w:val="30"/>
        </w:rPr>
        <w:t>国商人公司上诉请求：</w:t>
      </w:r>
      <w:r>
        <w:rPr>
          <w:rFonts w:hint="eastAsia"/>
          <w:sz w:val="30"/>
          <w:szCs w:val="30"/>
        </w:rPr>
        <w:t>1.</w:t>
      </w:r>
      <w:r>
        <w:rPr>
          <w:rFonts w:hint="eastAsia"/>
          <w:sz w:val="30"/>
          <w:szCs w:val="30"/>
        </w:rPr>
        <w:t>依法撤销天津市和平区人民法院作出的</w:t>
      </w:r>
      <w:r>
        <w:rPr>
          <w:rFonts w:hint="eastAsia"/>
          <w:sz w:val="30"/>
          <w:szCs w:val="30"/>
        </w:rPr>
        <w:t>(2020)</w:t>
      </w:r>
      <w:r>
        <w:rPr>
          <w:rFonts w:hint="eastAsia"/>
          <w:sz w:val="30"/>
          <w:szCs w:val="30"/>
        </w:rPr>
        <w:t>津</w:t>
      </w:r>
      <w:r>
        <w:rPr>
          <w:rFonts w:hint="eastAsia"/>
          <w:sz w:val="30"/>
          <w:szCs w:val="30"/>
        </w:rPr>
        <w:t>0101</w:t>
      </w:r>
      <w:r>
        <w:rPr>
          <w:rFonts w:hint="eastAsia"/>
          <w:sz w:val="30"/>
          <w:szCs w:val="30"/>
        </w:rPr>
        <w:t>民初</w:t>
      </w:r>
      <w:r>
        <w:rPr>
          <w:rFonts w:hint="eastAsia"/>
          <w:sz w:val="30"/>
          <w:szCs w:val="30"/>
        </w:rPr>
        <w:t>295</w:t>
      </w:r>
      <w:r>
        <w:rPr>
          <w:rFonts w:hint="eastAsia"/>
          <w:sz w:val="30"/>
          <w:szCs w:val="30"/>
        </w:rPr>
        <w:t>号</w:t>
      </w:r>
      <w:r>
        <w:rPr>
          <w:rFonts w:hint="eastAsia"/>
          <w:sz w:val="30"/>
          <w:szCs w:val="30"/>
        </w:rPr>
        <w:t>民事判决书</w:t>
      </w:r>
      <w:r>
        <w:rPr>
          <w:rFonts w:hint="eastAsia"/>
          <w:sz w:val="30"/>
          <w:szCs w:val="30"/>
        </w:rPr>
        <w:t>;2.</w:t>
      </w:r>
      <w:r>
        <w:rPr>
          <w:rFonts w:hint="eastAsia"/>
          <w:sz w:val="30"/>
          <w:szCs w:val="30"/>
        </w:rPr>
        <w:t>依法将本案发回重审或改判支持上诉人的全部诉讼请求</w:t>
      </w:r>
      <w:r>
        <w:rPr>
          <w:rFonts w:hint="eastAsia"/>
          <w:sz w:val="30"/>
          <w:szCs w:val="30"/>
        </w:rPr>
        <w:t>;3.</w:t>
      </w:r>
      <w:r>
        <w:rPr>
          <w:rFonts w:hint="eastAsia"/>
          <w:sz w:val="30"/>
          <w:szCs w:val="30"/>
        </w:rPr>
        <w:t>一审、二审的全部费用由被上诉人承担。事实和理由</w:t>
      </w:r>
      <w:r>
        <w:rPr>
          <w:rFonts w:hint="eastAsia"/>
          <w:sz w:val="30"/>
          <w:szCs w:val="30"/>
        </w:rPr>
        <w:t>:</w:t>
      </w:r>
      <w:r>
        <w:rPr>
          <w:rFonts w:hint="eastAsia"/>
          <w:sz w:val="30"/>
          <w:szCs w:val="30"/>
        </w:rPr>
        <w:t>被上诉人李建全、李文清、柴国发在上诉人公司任职高级管理人员期间有违基本的忠实、勤勉义务。其成立的全众公司与上诉人经营同类业务</w:t>
      </w:r>
      <w:r>
        <w:rPr>
          <w:rFonts w:hint="eastAsia"/>
          <w:sz w:val="30"/>
          <w:szCs w:val="30"/>
        </w:rPr>
        <w:t>,</w:t>
      </w:r>
      <w:r>
        <w:rPr>
          <w:rFonts w:hint="eastAsia"/>
          <w:sz w:val="30"/>
          <w:szCs w:val="30"/>
        </w:rPr>
        <w:t>侵害了上诉人的可期待利益。具体为</w:t>
      </w:r>
      <w:r>
        <w:rPr>
          <w:rFonts w:hint="eastAsia"/>
          <w:sz w:val="30"/>
          <w:szCs w:val="30"/>
        </w:rPr>
        <w:t>:1.</w:t>
      </w:r>
      <w:r>
        <w:rPr>
          <w:rFonts w:hint="eastAsia"/>
          <w:sz w:val="30"/>
          <w:szCs w:val="30"/>
        </w:rPr>
        <w:t>被上诉人李建全、李文清、柴国发应被认定为上诉人公司高级管理人员。根据法律规定：“高级管理人员</w:t>
      </w:r>
      <w:r>
        <w:rPr>
          <w:rFonts w:hint="eastAsia"/>
          <w:sz w:val="30"/>
          <w:szCs w:val="30"/>
        </w:rPr>
        <w:t>,</w:t>
      </w:r>
      <w:r>
        <w:rPr>
          <w:rFonts w:hint="eastAsia"/>
          <w:sz w:val="30"/>
          <w:szCs w:val="30"/>
        </w:rPr>
        <w:t>是指公司的经理、副经理、财务负责人</w:t>
      </w:r>
      <w:r>
        <w:rPr>
          <w:rFonts w:hint="eastAsia"/>
          <w:sz w:val="30"/>
          <w:szCs w:val="30"/>
        </w:rPr>
        <w:t>,</w:t>
      </w:r>
      <w:r>
        <w:rPr>
          <w:rFonts w:hint="eastAsia"/>
          <w:sz w:val="30"/>
          <w:szCs w:val="30"/>
        </w:rPr>
        <w:t>上市公司董事会秘书和公司章程规定的其他人员。”本案被上诉人李建全、李文清、柴国发在其与上诉人公司的劳</w:t>
      </w:r>
      <w:r>
        <w:rPr>
          <w:rFonts w:hint="eastAsia"/>
          <w:sz w:val="30"/>
          <w:szCs w:val="30"/>
        </w:rPr>
        <w:t>动争议案件中均已经对自己的高管身份进行了自认</w:t>
      </w:r>
      <w:r>
        <w:rPr>
          <w:rFonts w:hint="eastAsia"/>
          <w:sz w:val="30"/>
          <w:szCs w:val="30"/>
        </w:rPr>
        <w:t>,</w:t>
      </w:r>
      <w:r>
        <w:rPr>
          <w:rFonts w:hint="eastAsia"/>
          <w:sz w:val="30"/>
          <w:szCs w:val="30"/>
        </w:rPr>
        <w:t>李建全自认副总经理、李文清自认区域经理、柴国发自认项目经理</w:t>
      </w:r>
      <w:r>
        <w:rPr>
          <w:rFonts w:hint="eastAsia"/>
          <w:sz w:val="30"/>
          <w:szCs w:val="30"/>
        </w:rPr>
        <w:t>,</w:t>
      </w:r>
      <w:r>
        <w:rPr>
          <w:rFonts w:hint="eastAsia"/>
          <w:sz w:val="30"/>
          <w:szCs w:val="30"/>
        </w:rPr>
        <w:t>其自认的高管身份与上诉人在本案诉讼中提及的任免事宜、独立负责项目及上诉人公司的组织结构均可以相互印证。一审法院仅认定李建全具有公司高管身份、未对李文清、柴国发高管身份进行认定属于事实认定不清</w:t>
      </w:r>
      <w:r>
        <w:rPr>
          <w:rFonts w:hint="eastAsia"/>
          <w:sz w:val="30"/>
          <w:szCs w:val="30"/>
        </w:rPr>
        <w:t>;2.</w:t>
      </w:r>
      <w:r>
        <w:rPr>
          <w:rFonts w:hint="eastAsia"/>
          <w:sz w:val="30"/>
          <w:szCs w:val="30"/>
        </w:rPr>
        <w:t>被上诉人李建全、李文清、柴国发私设公司经营与上诉人公司同类业务</w:t>
      </w:r>
      <w:r>
        <w:rPr>
          <w:rFonts w:hint="eastAsia"/>
          <w:sz w:val="30"/>
          <w:szCs w:val="30"/>
        </w:rPr>
        <w:t>,</w:t>
      </w:r>
      <w:r>
        <w:rPr>
          <w:rFonts w:hint="eastAsia"/>
          <w:sz w:val="30"/>
          <w:szCs w:val="30"/>
        </w:rPr>
        <w:t>违反了公司法规定的竞业禁止义务</w:t>
      </w:r>
      <w:r>
        <w:rPr>
          <w:rFonts w:hint="eastAsia"/>
          <w:sz w:val="30"/>
          <w:szCs w:val="30"/>
        </w:rPr>
        <w:t>,</w:t>
      </w:r>
      <w:r>
        <w:rPr>
          <w:rFonts w:hint="eastAsia"/>
          <w:sz w:val="30"/>
          <w:szCs w:val="30"/>
        </w:rPr>
        <w:t>其成立并经营被上诉人全众公司的行为侵害了上诉人公司的利益</w:t>
      </w:r>
      <w:r>
        <w:rPr>
          <w:rFonts w:hint="eastAsia"/>
          <w:sz w:val="30"/>
          <w:szCs w:val="30"/>
        </w:rPr>
        <w:t>;3.</w:t>
      </w:r>
      <w:r>
        <w:rPr>
          <w:rFonts w:hint="eastAsia"/>
          <w:sz w:val="30"/>
          <w:szCs w:val="30"/>
        </w:rPr>
        <w:t>李建全在经营被上诉人公司期间的具体收入未查清，且在经</w:t>
      </w:r>
      <w:r>
        <w:rPr>
          <w:rFonts w:hint="eastAsia"/>
          <w:sz w:val="30"/>
          <w:szCs w:val="30"/>
        </w:rPr>
        <w:t>营期间，三自然人作为股东的股权收入情况以及被上诉人在上诉人公司任高管的时间亦没有查清；</w:t>
      </w:r>
      <w:r>
        <w:rPr>
          <w:rFonts w:hint="eastAsia"/>
          <w:sz w:val="30"/>
          <w:szCs w:val="30"/>
        </w:rPr>
        <w:t>4.</w:t>
      </w:r>
      <w:r>
        <w:rPr>
          <w:rFonts w:hint="eastAsia"/>
          <w:sz w:val="30"/>
          <w:szCs w:val="30"/>
        </w:rPr>
        <w:t>一审法院就本案中被上诉人</w:t>
      </w:r>
      <w:r>
        <w:rPr>
          <w:rFonts w:hint="eastAsia"/>
          <w:sz w:val="30"/>
          <w:szCs w:val="30"/>
        </w:rPr>
        <w:lastRenderedPageBreak/>
        <w:t>李建全高管身份的认定以及被上诉人全众公司收入归入权的认定事实清楚</w:t>
      </w:r>
      <w:r>
        <w:rPr>
          <w:rFonts w:hint="eastAsia"/>
          <w:sz w:val="30"/>
          <w:szCs w:val="30"/>
        </w:rPr>
        <w:t>,</w:t>
      </w:r>
      <w:r>
        <w:rPr>
          <w:rFonts w:hint="eastAsia"/>
          <w:sz w:val="30"/>
          <w:szCs w:val="30"/>
        </w:rPr>
        <w:t>适用法律准确，但就本案中的归入金额、赔偿数额酌情认定过低</w:t>
      </w:r>
      <w:r>
        <w:rPr>
          <w:rFonts w:hint="eastAsia"/>
          <w:sz w:val="30"/>
          <w:szCs w:val="30"/>
        </w:rPr>
        <w:t>,</w:t>
      </w:r>
      <w:r>
        <w:rPr>
          <w:rFonts w:hint="eastAsia"/>
          <w:sz w:val="30"/>
          <w:szCs w:val="30"/>
        </w:rPr>
        <w:t>对被上诉人的行为无法达到惩前毖后的司法警示和惩罚目的。综上理由，上诉人国商人公司自成立至今一直秉承诚信经营，是天津物业行业的行业领军企业，在企业运营中依法纳税</w:t>
      </w:r>
      <w:r>
        <w:rPr>
          <w:rFonts w:hint="eastAsia"/>
          <w:sz w:val="30"/>
          <w:szCs w:val="30"/>
        </w:rPr>
        <w:t>,</w:t>
      </w:r>
      <w:r>
        <w:rPr>
          <w:rFonts w:hint="eastAsia"/>
          <w:sz w:val="30"/>
          <w:szCs w:val="30"/>
        </w:rPr>
        <w:t>为国家创收</w:t>
      </w:r>
      <w:r>
        <w:rPr>
          <w:rFonts w:hint="eastAsia"/>
          <w:sz w:val="30"/>
          <w:szCs w:val="30"/>
        </w:rPr>
        <w:t>,</w:t>
      </w:r>
      <w:r>
        <w:rPr>
          <w:rFonts w:hint="eastAsia"/>
          <w:sz w:val="30"/>
          <w:szCs w:val="30"/>
        </w:rPr>
        <w:t>大量吸收再就业人员</w:t>
      </w:r>
      <w:r>
        <w:rPr>
          <w:rFonts w:hint="eastAsia"/>
          <w:sz w:val="30"/>
          <w:szCs w:val="30"/>
        </w:rPr>
        <w:t>,</w:t>
      </w:r>
      <w:r>
        <w:rPr>
          <w:rFonts w:hint="eastAsia"/>
          <w:sz w:val="30"/>
          <w:szCs w:val="30"/>
        </w:rPr>
        <w:t>保证公司员工的利益和基本权力</w:t>
      </w:r>
      <w:r>
        <w:rPr>
          <w:rFonts w:hint="eastAsia"/>
          <w:sz w:val="30"/>
          <w:szCs w:val="30"/>
        </w:rPr>
        <w:t>,</w:t>
      </w:r>
      <w:r>
        <w:rPr>
          <w:rFonts w:hint="eastAsia"/>
          <w:sz w:val="30"/>
          <w:szCs w:val="30"/>
        </w:rPr>
        <w:t>为国家和所在区起到了行业带头作用。企业运营</w:t>
      </w:r>
      <w:r>
        <w:rPr>
          <w:rFonts w:hint="eastAsia"/>
          <w:sz w:val="30"/>
          <w:szCs w:val="30"/>
        </w:rPr>
        <w:t>,</w:t>
      </w:r>
      <w:r>
        <w:rPr>
          <w:rFonts w:hint="eastAsia"/>
          <w:sz w:val="30"/>
          <w:szCs w:val="30"/>
        </w:rPr>
        <w:t>面对的是</w:t>
      </w:r>
      <w:r>
        <w:rPr>
          <w:rFonts w:hint="eastAsia"/>
          <w:sz w:val="30"/>
          <w:szCs w:val="30"/>
        </w:rPr>
        <w:t>员工发工资</w:t>
      </w:r>
      <w:r>
        <w:rPr>
          <w:rFonts w:hint="eastAsia"/>
          <w:sz w:val="30"/>
          <w:szCs w:val="30"/>
        </w:rPr>
        <w:t>,</w:t>
      </w:r>
      <w:r>
        <w:rPr>
          <w:rFonts w:hint="eastAsia"/>
          <w:sz w:val="30"/>
          <w:szCs w:val="30"/>
        </w:rPr>
        <w:t>面对的是交税</w:t>
      </w:r>
      <w:r>
        <w:rPr>
          <w:rFonts w:hint="eastAsia"/>
          <w:sz w:val="30"/>
          <w:szCs w:val="30"/>
        </w:rPr>
        <w:t>,</w:t>
      </w:r>
      <w:r>
        <w:rPr>
          <w:rFonts w:hint="eastAsia"/>
          <w:sz w:val="30"/>
          <w:szCs w:val="30"/>
        </w:rPr>
        <w:t>面对的是同行业的竞争</w:t>
      </w:r>
      <w:r>
        <w:rPr>
          <w:rFonts w:hint="eastAsia"/>
          <w:sz w:val="30"/>
          <w:szCs w:val="30"/>
        </w:rPr>
        <w:t>,</w:t>
      </w:r>
      <w:r>
        <w:rPr>
          <w:rFonts w:hint="eastAsia"/>
          <w:sz w:val="30"/>
          <w:szCs w:val="30"/>
        </w:rPr>
        <w:t>面对的是企业的迭代。现在还要面对本案中的公司高管开设公司侵害公司利益</w:t>
      </w:r>
      <w:r>
        <w:rPr>
          <w:rFonts w:hint="eastAsia"/>
          <w:sz w:val="30"/>
          <w:szCs w:val="30"/>
        </w:rPr>
        <w:t>,</w:t>
      </w:r>
      <w:r>
        <w:rPr>
          <w:rFonts w:hint="eastAsia"/>
          <w:sz w:val="30"/>
          <w:szCs w:val="30"/>
        </w:rPr>
        <w:t>将本应所得的收入外流。本案一审判决数额过低</w:t>
      </w:r>
      <w:r>
        <w:rPr>
          <w:rFonts w:hint="eastAsia"/>
          <w:sz w:val="30"/>
          <w:szCs w:val="30"/>
        </w:rPr>
        <w:t>,</w:t>
      </w:r>
      <w:r>
        <w:rPr>
          <w:rFonts w:hint="eastAsia"/>
          <w:sz w:val="30"/>
          <w:szCs w:val="30"/>
        </w:rPr>
        <w:t>与被上诉人收益明显不对等</w:t>
      </w:r>
      <w:r>
        <w:rPr>
          <w:rFonts w:hint="eastAsia"/>
          <w:sz w:val="30"/>
          <w:szCs w:val="30"/>
        </w:rPr>
        <w:t>,</w:t>
      </w:r>
      <w:r>
        <w:rPr>
          <w:rFonts w:hint="eastAsia"/>
          <w:sz w:val="30"/>
          <w:szCs w:val="30"/>
        </w:rPr>
        <w:t>判决结果不能达到法律层面的惩前毖后</w:t>
      </w:r>
      <w:r>
        <w:rPr>
          <w:rFonts w:hint="eastAsia"/>
          <w:sz w:val="30"/>
          <w:szCs w:val="30"/>
        </w:rPr>
        <w:t>,</w:t>
      </w:r>
      <w:r>
        <w:rPr>
          <w:rFonts w:hint="eastAsia"/>
          <w:sz w:val="30"/>
          <w:szCs w:val="30"/>
        </w:rPr>
        <w:t>以儆效尤的法律指引作用</w:t>
      </w:r>
      <w:r>
        <w:rPr>
          <w:rFonts w:hint="eastAsia"/>
          <w:sz w:val="30"/>
          <w:szCs w:val="30"/>
        </w:rPr>
        <w:t>,</w:t>
      </w:r>
      <w:r>
        <w:rPr>
          <w:rFonts w:hint="eastAsia"/>
          <w:sz w:val="30"/>
          <w:szCs w:val="30"/>
        </w:rPr>
        <w:t>客观上纵容了被上诉人的违法行为。上诉人为此向法院提出上诉请求</w:t>
      </w:r>
      <w:r>
        <w:rPr>
          <w:rFonts w:hint="eastAsia"/>
          <w:sz w:val="30"/>
          <w:szCs w:val="30"/>
        </w:rPr>
        <w:t>,</w:t>
      </w:r>
      <w:r>
        <w:rPr>
          <w:rFonts w:hint="eastAsia"/>
          <w:sz w:val="30"/>
          <w:szCs w:val="30"/>
        </w:rPr>
        <w:t>望法院依法予以支持。</w:t>
      </w:r>
    </w:p>
    <w:p w:rsidR="00000000" w:rsidRDefault="009C238A">
      <w:pPr>
        <w:spacing w:line="500" w:lineRule="atLeast"/>
        <w:ind w:firstLine="600"/>
        <w:divId w:val="926157153"/>
        <w:rPr>
          <w:rFonts w:hint="eastAsia"/>
          <w:sz w:val="30"/>
          <w:szCs w:val="30"/>
        </w:rPr>
      </w:pPr>
      <w:r>
        <w:rPr>
          <w:rFonts w:hint="eastAsia"/>
          <w:sz w:val="30"/>
          <w:szCs w:val="30"/>
        </w:rPr>
        <w:t>全众公司辩称，全众公司并非本案适格当事人，请二审法院依法驳回上诉人的上诉请求，维持原审判决。事实和理由：</w:t>
      </w:r>
      <w:r>
        <w:rPr>
          <w:rFonts w:hint="eastAsia"/>
          <w:sz w:val="30"/>
          <w:szCs w:val="30"/>
        </w:rPr>
        <w:t>1.</w:t>
      </w:r>
      <w:r>
        <w:rPr>
          <w:rFonts w:hint="eastAsia"/>
          <w:sz w:val="30"/>
          <w:szCs w:val="30"/>
        </w:rPr>
        <w:t>本案国商人公司起诉四被上诉人系因其认为被上诉人李建全等三自然人系公司高管</w:t>
      </w:r>
      <w:r>
        <w:rPr>
          <w:rFonts w:hint="eastAsia"/>
          <w:sz w:val="30"/>
          <w:szCs w:val="30"/>
        </w:rPr>
        <w:t>，三人的行为侵害了其公司的利益，但全众公司与国商人公司无任何关系，虽然三自然人为全众公司的股东，但全众公司的业务与国商人公司毫无关联，也不存在任何侵害国商人公司利益的行为，国商人公司起诉全众公司没有任何事实依据，更无权要求全众公司提交相关账目供其查看；</w:t>
      </w:r>
      <w:r>
        <w:rPr>
          <w:rFonts w:hint="eastAsia"/>
          <w:sz w:val="30"/>
          <w:szCs w:val="30"/>
        </w:rPr>
        <w:t>2.</w:t>
      </w:r>
      <w:r>
        <w:rPr>
          <w:rFonts w:hint="eastAsia"/>
          <w:sz w:val="30"/>
          <w:szCs w:val="30"/>
        </w:rPr>
        <w:t>国商人公司依据公司法的相关规定进行起诉，抛开其是否正确不提，无论起诉时还是现上诉状中的陈述，均与全众公司无关，其以侵害公司利益纠纷进行起诉，适用的法律法规也对全众公司完全不适用，其起诉全众公司无任何法律依据，其对全众公司的起诉应予以驳回。</w:t>
      </w:r>
    </w:p>
    <w:p w:rsidR="00000000" w:rsidRDefault="009C238A">
      <w:pPr>
        <w:spacing w:line="500" w:lineRule="atLeast"/>
        <w:ind w:firstLine="600"/>
        <w:divId w:val="1310479954"/>
        <w:rPr>
          <w:rFonts w:hint="eastAsia"/>
          <w:sz w:val="30"/>
          <w:szCs w:val="30"/>
        </w:rPr>
      </w:pPr>
      <w:r>
        <w:rPr>
          <w:rFonts w:hint="eastAsia"/>
          <w:sz w:val="30"/>
          <w:szCs w:val="30"/>
        </w:rPr>
        <w:t>李建全辩称，原审</w:t>
      </w:r>
      <w:r>
        <w:rPr>
          <w:rFonts w:hint="eastAsia"/>
          <w:sz w:val="30"/>
          <w:szCs w:val="30"/>
        </w:rPr>
        <w:t>认定的事实无误，虽然被上诉人李建全认为不应当承担赔偿责任，但是对原审判决予以接受，故请法院驳回上诉。</w:t>
      </w:r>
    </w:p>
    <w:p w:rsidR="00000000" w:rsidRDefault="009C238A">
      <w:pPr>
        <w:spacing w:line="500" w:lineRule="atLeast"/>
        <w:ind w:firstLine="600"/>
        <w:divId w:val="851144097"/>
        <w:rPr>
          <w:rFonts w:hint="eastAsia"/>
          <w:sz w:val="30"/>
          <w:szCs w:val="30"/>
        </w:rPr>
      </w:pPr>
      <w:r>
        <w:rPr>
          <w:rFonts w:hint="eastAsia"/>
          <w:sz w:val="30"/>
          <w:szCs w:val="30"/>
        </w:rPr>
        <w:t>李文清、柴国发辩称，原审认定事实清楚，适用法律正确，请二审法院驳回上诉，维持原审判决。</w:t>
      </w:r>
    </w:p>
    <w:p w:rsidR="00000000" w:rsidRDefault="009C238A">
      <w:pPr>
        <w:spacing w:line="500" w:lineRule="atLeast"/>
        <w:ind w:firstLine="600"/>
        <w:divId w:val="1469933600"/>
        <w:rPr>
          <w:rFonts w:hint="eastAsia"/>
          <w:sz w:val="30"/>
          <w:szCs w:val="30"/>
        </w:rPr>
      </w:pPr>
      <w:r>
        <w:rPr>
          <w:rFonts w:hint="eastAsia"/>
          <w:sz w:val="30"/>
          <w:szCs w:val="30"/>
        </w:rPr>
        <w:t>国商人公司向一审法院起诉请求：</w:t>
      </w:r>
      <w:r>
        <w:rPr>
          <w:rFonts w:hint="eastAsia"/>
          <w:sz w:val="30"/>
          <w:szCs w:val="30"/>
        </w:rPr>
        <w:t>1</w:t>
      </w:r>
      <w:r>
        <w:rPr>
          <w:rFonts w:hint="eastAsia"/>
          <w:sz w:val="30"/>
          <w:szCs w:val="30"/>
        </w:rPr>
        <w:t>、判令四被告立即停止经营与原告同类业务；</w:t>
      </w:r>
      <w:r>
        <w:rPr>
          <w:rFonts w:hint="eastAsia"/>
          <w:sz w:val="30"/>
          <w:szCs w:val="30"/>
        </w:rPr>
        <w:t>2</w:t>
      </w:r>
      <w:r>
        <w:rPr>
          <w:rFonts w:hint="eastAsia"/>
          <w:sz w:val="30"/>
          <w:szCs w:val="30"/>
        </w:rPr>
        <w:t>、判令四被告立即将损害原告公司利益的全部收入所得，自</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日起至起诉之日预计</w:t>
      </w:r>
      <w:r>
        <w:rPr>
          <w:rFonts w:hint="eastAsia"/>
          <w:sz w:val="30"/>
          <w:szCs w:val="30"/>
        </w:rPr>
        <w:t>100000</w:t>
      </w:r>
      <w:r>
        <w:rPr>
          <w:rFonts w:hint="eastAsia"/>
          <w:sz w:val="30"/>
          <w:szCs w:val="30"/>
        </w:rPr>
        <w:t>元返还给原告公司，并以该损害利益金额作为计算基数，从起诉之日起，以同期银行贷款利率向原告公司支付利息至实际返还之日；</w:t>
      </w:r>
      <w:r>
        <w:rPr>
          <w:rFonts w:hint="eastAsia"/>
          <w:sz w:val="30"/>
          <w:szCs w:val="30"/>
        </w:rPr>
        <w:t>3</w:t>
      </w:r>
      <w:r>
        <w:rPr>
          <w:rFonts w:hint="eastAsia"/>
          <w:sz w:val="30"/>
          <w:szCs w:val="30"/>
        </w:rPr>
        <w:t>、判令四被告承担本案全部费用。</w:t>
      </w:r>
      <w:r>
        <w:rPr>
          <w:rFonts w:hint="eastAsia"/>
          <w:sz w:val="30"/>
          <w:szCs w:val="30"/>
        </w:rPr>
        <w:t>在一审诉讼过程中，原告变更诉讼请求：</w:t>
      </w:r>
      <w:r>
        <w:rPr>
          <w:rFonts w:hint="eastAsia"/>
          <w:sz w:val="30"/>
          <w:szCs w:val="30"/>
        </w:rPr>
        <w:t>1</w:t>
      </w:r>
      <w:r>
        <w:rPr>
          <w:rFonts w:hint="eastAsia"/>
          <w:sz w:val="30"/>
          <w:szCs w:val="30"/>
        </w:rPr>
        <w:t>、判令四被告立即停止经营与原告同类业务；</w:t>
      </w:r>
      <w:r>
        <w:rPr>
          <w:rFonts w:hint="eastAsia"/>
          <w:sz w:val="30"/>
          <w:szCs w:val="30"/>
        </w:rPr>
        <w:t>2</w:t>
      </w:r>
      <w:r>
        <w:rPr>
          <w:rFonts w:hint="eastAsia"/>
          <w:sz w:val="30"/>
          <w:szCs w:val="30"/>
        </w:rPr>
        <w:t>、判令四被告立即将损害原告公司利益的全部收入所得，自</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日起至</w:t>
      </w:r>
      <w:r>
        <w:rPr>
          <w:rFonts w:hint="eastAsia"/>
          <w:sz w:val="30"/>
          <w:szCs w:val="30"/>
        </w:rPr>
        <w:t>2018</w:t>
      </w:r>
      <w:r>
        <w:rPr>
          <w:rFonts w:hint="eastAsia"/>
          <w:sz w:val="30"/>
          <w:szCs w:val="30"/>
        </w:rPr>
        <w:t>年底</w:t>
      </w:r>
      <w:r>
        <w:rPr>
          <w:rFonts w:hint="eastAsia"/>
          <w:sz w:val="30"/>
          <w:szCs w:val="30"/>
        </w:rPr>
        <w:t>3506552.03</w:t>
      </w:r>
      <w:r>
        <w:rPr>
          <w:rFonts w:hint="eastAsia"/>
          <w:sz w:val="30"/>
          <w:szCs w:val="30"/>
        </w:rPr>
        <w:t>元返还给原告，并以该损害利益金额作为计算基数，从起诉之日起，以同期银行贷款利率向原告支付利息至实际返还之日；</w:t>
      </w:r>
      <w:r>
        <w:rPr>
          <w:rFonts w:hint="eastAsia"/>
          <w:sz w:val="30"/>
          <w:szCs w:val="30"/>
        </w:rPr>
        <w:t>3</w:t>
      </w:r>
      <w:r>
        <w:rPr>
          <w:rFonts w:hint="eastAsia"/>
          <w:sz w:val="30"/>
          <w:szCs w:val="30"/>
        </w:rPr>
        <w:t>、判令四被告承担本案全部费用。</w:t>
      </w:r>
    </w:p>
    <w:p w:rsidR="00000000" w:rsidRDefault="009C238A">
      <w:pPr>
        <w:spacing w:line="500" w:lineRule="atLeast"/>
        <w:ind w:firstLine="600"/>
        <w:divId w:val="1068649109"/>
        <w:rPr>
          <w:rFonts w:hint="eastAsia"/>
          <w:sz w:val="30"/>
          <w:szCs w:val="30"/>
        </w:rPr>
      </w:pPr>
      <w:r>
        <w:rPr>
          <w:rFonts w:hint="eastAsia"/>
          <w:sz w:val="30"/>
          <w:szCs w:val="30"/>
        </w:rPr>
        <w:t>一审法院认定事实：</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日，被告李建全、被告李文清、被告柴国发各认缴出资</w:t>
      </w:r>
      <w:r>
        <w:rPr>
          <w:rFonts w:hint="eastAsia"/>
          <w:sz w:val="30"/>
          <w:szCs w:val="30"/>
        </w:rPr>
        <w:t>30000</w:t>
      </w:r>
      <w:r>
        <w:rPr>
          <w:rFonts w:hint="eastAsia"/>
          <w:sz w:val="30"/>
          <w:szCs w:val="30"/>
        </w:rPr>
        <w:t>元设立天津全众劳务派遣有限公司，经营范围为劳务派遣；锅炉、制冷、消防设备的维护运行；水电</w:t>
      </w:r>
      <w:r>
        <w:rPr>
          <w:rFonts w:hint="eastAsia"/>
          <w:sz w:val="30"/>
          <w:szCs w:val="30"/>
        </w:rPr>
        <w:t>设备安装、修理；装修、装饰、家政服务。</w:t>
      </w:r>
      <w:r>
        <w:rPr>
          <w:rFonts w:hint="eastAsia"/>
          <w:sz w:val="30"/>
          <w:szCs w:val="30"/>
        </w:rPr>
        <w:t>2012</w:t>
      </w:r>
      <w:r>
        <w:rPr>
          <w:rFonts w:hint="eastAsia"/>
          <w:sz w:val="30"/>
          <w:szCs w:val="30"/>
        </w:rPr>
        <w:t>年</w:t>
      </w:r>
      <w:r>
        <w:rPr>
          <w:rFonts w:hint="eastAsia"/>
          <w:sz w:val="30"/>
          <w:szCs w:val="30"/>
        </w:rPr>
        <w:t>5</w:t>
      </w:r>
      <w:r>
        <w:rPr>
          <w:rFonts w:hint="eastAsia"/>
          <w:sz w:val="30"/>
          <w:szCs w:val="30"/>
        </w:rPr>
        <w:t>月，天津全众劳务派遣有限公司变更名称为天津全众机电设备维护有限公司并增加认缴出资至</w:t>
      </w:r>
      <w:r>
        <w:rPr>
          <w:rFonts w:hint="eastAsia"/>
          <w:sz w:val="30"/>
          <w:szCs w:val="30"/>
        </w:rPr>
        <w:t>100000</w:t>
      </w:r>
      <w:r>
        <w:rPr>
          <w:rFonts w:hint="eastAsia"/>
          <w:sz w:val="30"/>
          <w:szCs w:val="30"/>
        </w:rPr>
        <w:t>元（被告李建全增加认缴出资</w:t>
      </w:r>
      <w:r>
        <w:rPr>
          <w:rFonts w:hint="eastAsia"/>
          <w:sz w:val="30"/>
          <w:szCs w:val="30"/>
        </w:rPr>
        <w:t>23338</w:t>
      </w:r>
      <w:r>
        <w:rPr>
          <w:rFonts w:hint="eastAsia"/>
          <w:sz w:val="30"/>
          <w:szCs w:val="30"/>
        </w:rPr>
        <w:t>元、被告李文清增加认缴出资</w:t>
      </w:r>
      <w:r>
        <w:rPr>
          <w:rFonts w:hint="eastAsia"/>
          <w:sz w:val="30"/>
          <w:szCs w:val="30"/>
        </w:rPr>
        <w:t>23331</w:t>
      </w:r>
      <w:r>
        <w:rPr>
          <w:rFonts w:hint="eastAsia"/>
          <w:sz w:val="30"/>
          <w:szCs w:val="30"/>
        </w:rPr>
        <w:t>元、被告柴国发增加认缴出资</w:t>
      </w:r>
      <w:r>
        <w:rPr>
          <w:rFonts w:hint="eastAsia"/>
          <w:sz w:val="30"/>
          <w:szCs w:val="30"/>
        </w:rPr>
        <w:t>23331</w:t>
      </w:r>
      <w:r>
        <w:rPr>
          <w:rFonts w:hint="eastAsia"/>
          <w:sz w:val="30"/>
          <w:szCs w:val="30"/>
        </w:rPr>
        <w:t>元），经营范围变更为机电设备、锅炉、制冷设备、消防设备的维护运行；水电设备安装、修理；装修、装饰、家政服务。</w:t>
      </w:r>
    </w:p>
    <w:p w:rsidR="00000000" w:rsidRDefault="009C238A">
      <w:pPr>
        <w:spacing w:line="500" w:lineRule="atLeast"/>
        <w:ind w:firstLine="600"/>
        <w:divId w:val="1131903368"/>
        <w:rPr>
          <w:rFonts w:hint="eastAsia"/>
          <w:sz w:val="30"/>
          <w:szCs w:val="30"/>
        </w:rPr>
      </w:pPr>
      <w:r>
        <w:rPr>
          <w:rFonts w:hint="eastAsia"/>
          <w:sz w:val="30"/>
          <w:szCs w:val="30"/>
        </w:rPr>
        <w:t>原告系</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日成立，现经营范围为物业管理；污水处理；绿地管理服务；花草树木养护；锅炉、制冷及机电设备调试、运行、维护；机电设备安装；存车服</w:t>
      </w:r>
      <w:r>
        <w:rPr>
          <w:rFonts w:hint="eastAsia"/>
          <w:sz w:val="30"/>
          <w:szCs w:val="30"/>
        </w:rPr>
        <w:t>务（凭资质证经营）；物业科技产品的技术开发、研制；经济信息咨询；仪器仪表调试、维护；保洁服务。机电产品（小轿车除外）、五金、交电、化工（危险品及易制毒品除外）、建筑材料、水冷暖配件、百货、文教用品、服装、鞋帽、体育用品、卫生洁具、厨房设备批发兼零售；安保业务咨询；建筑工程、装饰工程施工；网上销售计算机；办公用品销售；会议服务；汽车租赁；房屋租赁；场地租赁；预包装食品批发兼零售；餐饮服务；供热服务；护理服务（医疗性质业务除外）；家具租赁；轮椅租赁；垃圾清理。</w:t>
      </w:r>
    </w:p>
    <w:p w:rsidR="00000000" w:rsidRDefault="009C238A">
      <w:pPr>
        <w:spacing w:line="500" w:lineRule="atLeast"/>
        <w:ind w:firstLine="600"/>
        <w:divId w:val="204296325"/>
        <w:rPr>
          <w:rFonts w:hint="eastAsia"/>
          <w:sz w:val="30"/>
          <w:szCs w:val="30"/>
        </w:rPr>
      </w:pP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日，原告出具《关于赵清立等同志</w:t>
      </w:r>
      <w:r>
        <w:rPr>
          <w:rFonts w:hint="eastAsia"/>
          <w:sz w:val="30"/>
          <w:szCs w:val="30"/>
        </w:rPr>
        <w:t>的聘任决定》：聘任李建全同志为副总经理；聘任李文清同志为区域经理。</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日，原告出具《关于柴国发等同志的聘任决定》：聘任柴国发同志为项目经理。</w:t>
      </w:r>
    </w:p>
    <w:p w:rsidR="00000000" w:rsidRDefault="009C238A">
      <w:pPr>
        <w:spacing w:line="500" w:lineRule="atLeast"/>
        <w:ind w:firstLine="600"/>
        <w:divId w:val="239141605"/>
        <w:rPr>
          <w:rFonts w:hint="eastAsia"/>
          <w:sz w:val="30"/>
          <w:szCs w:val="30"/>
        </w:rPr>
      </w:pPr>
      <w:r>
        <w:rPr>
          <w:rFonts w:hint="eastAsia"/>
          <w:sz w:val="30"/>
          <w:szCs w:val="30"/>
        </w:rPr>
        <w:t>另查明，原告与被告李建全、被告李文清、被告柴国发于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解除劳动合同。在本案被告李建全、李文清、柴国发分别起诉本案原告劳动争议纠纷中，被告李建全、李文清、柴国发分别自认为原告的副总经理、区域经理、项目经理。庭审中，原告及被告李建全、被告李文清、被告柴国发均承认被告李建全、被告李文清、被告柴国发系一个团队，团队由被告李建全负责管理。</w:t>
      </w:r>
    </w:p>
    <w:p w:rsidR="00000000" w:rsidRDefault="009C238A">
      <w:pPr>
        <w:spacing w:line="500" w:lineRule="atLeast"/>
        <w:ind w:firstLine="600"/>
        <w:divId w:val="502820105"/>
        <w:rPr>
          <w:rFonts w:hint="eastAsia"/>
          <w:sz w:val="30"/>
          <w:szCs w:val="30"/>
        </w:rPr>
      </w:pPr>
      <w:r>
        <w:rPr>
          <w:rFonts w:hint="eastAsia"/>
          <w:sz w:val="30"/>
          <w:szCs w:val="30"/>
        </w:rPr>
        <w:t>原告提交的被告全众公司年检报告显示，</w:t>
      </w:r>
      <w:r>
        <w:rPr>
          <w:rFonts w:hint="eastAsia"/>
          <w:sz w:val="30"/>
          <w:szCs w:val="30"/>
        </w:rPr>
        <w:t>2008</w:t>
      </w:r>
      <w:r>
        <w:rPr>
          <w:rFonts w:hint="eastAsia"/>
          <w:sz w:val="30"/>
          <w:szCs w:val="30"/>
        </w:rPr>
        <w:t>至</w:t>
      </w:r>
      <w:r>
        <w:rPr>
          <w:rFonts w:hint="eastAsia"/>
          <w:sz w:val="30"/>
          <w:szCs w:val="30"/>
        </w:rPr>
        <w:t>2018</w:t>
      </w:r>
      <w:r>
        <w:rPr>
          <w:rFonts w:hint="eastAsia"/>
          <w:sz w:val="30"/>
          <w:szCs w:val="30"/>
        </w:rPr>
        <w:t>年主营业务收入、净利润分别为：</w:t>
      </w:r>
      <w:r>
        <w:rPr>
          <w:rFonts w:hint="eastAsia"/>
          <w:sz w:val="30"/>
          <w:szCs w:val="30"/>
        </w:rPr>
        <w:t>8450</w:t>
      </w:r>
      <w:r>
        <w:rPr>
          <w:rFonts w:hint="eastAsia"/>
          <w:sz w:val="30"/>
          <w:szCs w:val="30"/>
        </w:rPr>
        <w:t>元、</w:t>
      </w:r>
      <w:r>
        <w:rPr>
          <w:rFonts w:hint="eastAsia"/>
          <w:sz w:val="30"/>
          <w:szCs w:val="30"/>
        </w:rPr>
        <w:t>-1036.99</w:t>
      </w:r>
      <w:r>
        <w:rPr>
          <w:rFonts w:hint="eastAsia"/>
          <w:sz w:val="30"/>
          <w:szCs w:val="30"/>
        </w:rPr>
        <w:t>元；</w:t>
      </w:r>
      <w:r>
        <w:rPr>
          <w:rFonts w:hint="eastAsia"/>
          <w:sz w:val="30"/>
          <w:szCs w:val="30"/>
        </w:rPr>
        <w:t>958328.32</w:t>
      </w:r>
      <w:r>
        <w:rPr>
          <w:rFonts w:hint="eastAsia"/>
          <w:sz w:val="30"/>
          <w:szCs w:val="30"/>
        </w:rPr>
        <w:t>元、</w:t>
      </w:r>
      <w:r>
        <w:rPr>
          <w:rFonts w:hint="eastAsia"/>
          <w:sz w:val="30"/>
          <w:szCs w:val="30"/>
        </w:rPr>
        <w:t>-1101.33</w:t>
      </w:r>
      <w:r>
        <w:rPr>
          <w:rFonts w:hint="eastAsia"/>
          <w:sz w:val="30"/>
          <w:szCs w:val="30"/>
        </w:rPr>
        <w:t>元；</w:t>
      </w:r>
      <w:r>
        <w:rPr>
          <w:rFonts w:hint="eastAsia"/>
          <w:sz w:val="30"/>
          <w:szCs w:val="30"/>
        </w:rPr>
        <w:t>3108066.85</w:t>
      </w:r>
      <w:r>
        <w:rPr>
          <w:rFonts w:hint="eastAsia"/>
          <w:sz w:val="30"/>
          <w:szCs w:val="30"/>
        </w:rPr>
        <w:t>元、</w:t>
      </w:r>
      <w:r>
        <w:rPr>
          <w:rFonts w:hint="eastAsia"/>
          <w:sz w:val="30"/>
          <w:szCs w:val="30"/>
        </w:rPr>
        <w:t>27607.76</w:t>
      </w:r>
      <w:r>
        <w:rPr>
          <w:rFonts w:hint="eastAsia"/>
          <w:sz w:val="30"/>
          <w:szCs w:val="30"/>
        </w:rPr>
        <w:t>元；</w:t>
      </w:r>
      <w:r>
        <w:rPr>
          <w:rFonts w:hint="eastAsia"/>
          <w:sz w:val="30"/>
          <w:szCs w:val="30"/>
        </w:rPr>
        <w:t>4635512.26</w:t>
      </w:r>
      <w:r>
        <w:rPr>
          <w:rFonts w:hint="eastAsia"/>
          <w:sz w:val="30"/>
          <w:szCs w:val="30"/>
        </w:rPr>
        <w:t>元、</w:t>
      </w:r>
      <w:r>
        <w:rPr>
          <w:rFonts w:hint="eastAsia"/>
          <w:sz w:val="30"/>
          <w:szCs w:val="30"/>
        </w:rPr>
        <w:t>51787.67</w:t>
      </w:r>
      <w:r>
        <w:rPr>
          <w:rFonts w:hint="eastAsia"/>
          <w:sz w:val="30"/>
          <w:szCs w:val="30"/>
        </w:rPr>
        <w:t>元；</w:t>
      </w:r>
      <w:r>
        <w:rPr>
          <w:rFonts w:hint="eastAsia"/>
          <w:sz w:val="30"/>
          <w:szCs w:val="30"/>
        </w:rPr>
        <w:t>5443862.89</w:t>
      </w:r>
      <w:r>
        <w:rPr>
          <w:rFonts w:hint="eastAsia"/>
          <w:sz w:val="30"/>
          <w:szCs w:val="30"/>
        </w:rPr>
        <w:t>元、</w:t>
      </w:r>
      <w:r>
        <w:rPr>
          <w:rFonts w:hint="eastAsia"/>
          <w:sz w:val="30"/>
          <w:szCs w:val="30"/>
        </w:rPr>
        <w:t>36100.69</w:t>
      </w:r>
      <w:r>
        <w:rPr>
          <w:rFonts w:hint="eastAsia"/>
          <w:sz w:val="30"/>
          <w:szCs w:val="30"/>
        </w:rPr>
        <w:t>元；</w:t>
      </w:r>
      <w:r>
        <w:rPr>
          <w:rFonts w:hint="eastAsia"/>
          <w:sz w:val="30"/>
          <w:szCs w:val="30"/>
        </w:rPr>
        <w:t>5548600</w:t>
      </w:r>
      <w:r>
        <w:rPr>
          <w:rFonts w:hint="eastAsia"/>
          <w:sz w:val="30"/>
          <w:szCs w:val="30"/>
        </w:rPr>
        <w:t>元、</w:t>
      </w:r>
      <w:r>
        <w:rPr>
          <w:rFonts w:hint="eastAsia"/>
          <w:sz w:val="30"/>
          <w:szCs w:val="30"/>
        </w:rPr>
        <w:t>61900</w:t>
      </w:r>
      <w:r>
        <w:rPr>
          <w:rFonts w:hint="eastAsia"/>
          <w:sz w:val="30"/>
          <w:szCs w:val="30"/>
        </w:rPr>
        <w:t>元；</w:t>
      </w:r>
      <w:r>
        <w:rPr>
          <w:rFonts w:hint="eastAsia"/>
          <w:sz w:val="30"/>
          <w:szCs w:val="30"/>
        </w:rPr>
        <w:t>4420400</w:t>
      </w:r>
      <w:r>
        <w:rPr>
          <w:rFonts w:hint="eastAsia"/>
          <w:sz w:val="30"/>
          <w:szCs w:val="30"/>
        </w:rPr>
        <w:t>元、</w:t>
      </w:r>
      <w:r>
        <w:rPr>
          <w:rFonts w:hint="eastAsia"/>
          <w:sz w:val="30"/>
          <w:szCs w:val="30"/>
        </w:rPr>
        <w:t>38300</w:t>
      </w:r>
      <w:r>
        <w:rPr>
          <w:rFonts w:hint="eastAsia"/>
          <w:sz w:val="30"/>
          <w:szCs w:val="30"/>
        </w:rPr>
        <w:t>元；</w:t>
      </w:r>
      <w:r>
        <w:rPr>
          <w:rFonts w:hint="eastAsia"/>
          <w:sz w:val="30"/>
          <w:szCs w:val="30"/>
        </w:rPr>
        <w:t>4717300</w:t>
      </w:r>
      <w:r>
        <w:rPr>
          <w:rFonts w:hint="eastAsia"/>
          <w:sz w:val="30"/>
          <w:szCs w:val="30"/>
        </w:rPr>
        <w:t>元、</w:t>
      </w:r>
      <w:r>
        <w:rPr>
          <w:rFonts w:hint="eastAsia"/>
          <w:sz w:val="30"/>
          <w:szCs w:val="30"/>
        </w:rPr>
        <w:t>27300</w:t>
      </w:r>
      <w:r>
        <w:rPr>
          <w:rFonts w:hint="eastAsia"/>
          <w:sz w:val="30"/>
          <w:szCs w:val="30"/>
        </w:rPr>
        <w:t>元；</w:t>
      </w:r>
      <w:r>
        <w:rPr>
          <w:rFonts w:hint="eastAsia"/>
          <w:sz w:val="30"/>
          <w:szCs w:val="30"/>
        </w:rPr>
        <w:t>3029800</w:t>
      </w:r>
      <w:r>
        <w:rPr>
          <w:rFonts w:hint="eastAsia"/>
          <w:sz w:val="30"/>
          <w:szCs w:val="30"/>
        </w:rPr>
        <w:t>元、</w:t>
      </w:r>
      <w:r>
        <w:rPr>
          <w:rFonts w:hint="eastAsia"/>
          <w:sz w:val="30"/>
          <w:szCs w:val="30"/>
        </w:rPr>
        <w:t>7000</w:t>
      </w:r>
      <w:r>
        <w:rPr>
          <w:rFonts w:hint="eastAsia"/>
          <w:sz w:val="30"/>
          <w:szCs w:val="30"/>
        </w:rPr>
        <w:t>元；</w:t>
      </w:r>
      <w:r>
        <w:rPr>
          <w:rFonts w:hint="eastAsia"/>
          <w:sz w:val="30"/>
          <w:szCs w:val="30"/>
        </w:rPr>
        <w:t>1654000</w:t>
      </w:r>
      <w:r>
        <w:rPr>
          <w:rFonts w:hint="eastAsia"/>
          <w:sz w:val="30"/>
          <w:szCs w:val="30"/>
        </w:rPr>
        <w:t>元、</w:t>
      </w:r>
      <w:r>
        <w:rPr>
          <w:rFonts w:hint="eastAsia"/>
          <w:sz w:val="30"/>
          <w:szCs w:val="30"/>
        </w:rPr>
        <w:t>40500</w:t>
      </w:r>
      <w:r>
        <w:rPr>
          <w:rFonts w:hint="eastAsia"/>
          <w:sz w:val="30"/>
          <w:szCs w:val="30"/>
        </w:rPr>
        <w:t>元；</w:t>
      </w:r>
      <w:r>
        <w:rPr>
          <w:rFonts w:hint="eastAsia"/>
          <w:sz w:val="30"/>
          <w:szCs w:val="30"/>
        </w:rPr>
        <w:t>1541200</w:t>
      </w:r>
      <w:r>
        <w:rPr>
          <w:rFonts w:hint="eastAsia"/>
          <w:sz w:val="30"/>
          <w:szCs w:val="30"/>
        </w:rPr>
        <w:t>元、</w:t>
      </w:r>
      <w:r>
        <w:rPr>
          <w:rFonts w:hint="eastAsia"/>
          <w:sz w:val="30"/>
          <w:szCs w:val="30"/>
        </w:rPr>
        <w:t>60900</w:t>
      </w:r>
      <w:r>
        <w:rPr>
          <w:rFonts w:hint="eastAsia"/>
          <w:sz w:val="30"/>
          <w:szCs w:val="30"/>
        </w:rPr>
        <w:t>元。</w:t>
      </w:r>
    </w:p>
    <w:p w:rsidR="00000000" w:rsidRDefault="009C238A">
      <w:pPr>
        <w:spacing w:line="500" w:lineRule="atLeast"/>
        <w:ind w:firstLine="600"/>
        <w:divId w:val="388306974"/>
        <w:rPr>
          <w:rFonts w:hint="eastAsia"/>
          <w:sz w:val="30"/>
          <w:szCs w:val="30"/>
        </w:rPr>
      </w:pPr>
      <w:r>
        <w:rPr>
          <w:rFonts w:hint="eastAsia"/>
          <w:sz w:val="30"/>
          <w:szCs w:val="30"/>
        </w:rPr>
        <w:t>一审法院认为，因公司高级管理人</w:t>
      </w:r>
      <w:r>
        <w:rPr>
          <w:rFonts w:hint="eastAsia"/>
          <w:sz w:val="30"/>
          <w:szCs w:val="30"/>
        </w:rPr>
        <w:t>员在公司享有特殊的地位和权利，故《公司法》对公司高级管理人员予以专门规制，其中一项即为竞业禁止义务。本案中，应从公司高级管理人员身份、违反竞业禁止义务行为、违反竞业禁止义务的法律后果进行分析确认。</w:t>
      </w:r>
    </w:p>
    <w:p w:rsidR="00000000" w:rsidRDefault="009C238A">
      <w:pPr>
        <w:spacing w:line="500" w:lineRule="atLeast"/>
        <w:ind w:firstLine="600"/>
        <w:divId w:val="1031878729"/>
        <w:rPr>
          <w:rFonts w:hint="eastAsia"/>
          <w:sz w:val="30"/>
          <w:szCs w:val="30"/>
        </w:rPr>
      </w:pPr>
      <w:r>
        <w:rPr>
          <w:rFonts w:hint="eastAsia"/>
          <w:sz w:val="30"/>
          <w:szCs w:val="30"/>
        </w:rPr>
        <w:t>一、公司高级管理人员身份的认定</w:t>
      </w:r>
    </w:p>
    <w:p w:rsidR="00000000" w:rsidRDefault="009C238A">
      <w:pPr>
        <w:spacing w:line="500" w:lineRule="atLeast"/>
        <w:ind w:firstLine="600"/>
        <w:divId w:val="1629239902"/>
        <w:rPr>
          <w:rFonts w:hint="eastAsia"/>
          <w:sz w:val="30"/>
          <w:szCs w:val="30"/>
        </w:rPr>
      </w:pPr>
      <w:r>
        <w:rPr>
          <w:rFonts w:hint="eastAsia"/>
          <w:sz w:val="30"/>
          <w:szCs w:val="30"/>
        </w:rPr>
        <w:t>对于公司高级管理人员，《中华人民共和国公司法》第二百一十六条第（一）项规定：“高级管理人员是指公司的经理、副经理、财务负责人。上市公司董事会秘书和公司章程规定的其他人员”。本案中，原告提交的《关于赵清立等同志的聘任决定》，正式聘任李建全为副总经理，具备《公司法》中规定的高级管理人员</w:t>
      </w:r>
      <w:r>
        <w:rPr>
          <w:rFonts w:hint="eastAsia"/>
          <w:sz w:val="30"/>
          <w:szCs w:val="30"/>
        </w:rPr>
        <w:t>资格，故应当认定被告李建全具备高级管理人员资格。</w:t>
      </w:r>
    </w:p>
    <w:p w:rsidR="00000000" w:rsidRDefault="009C238A">
      <w:pPr>
        <w:spacing w:line="500" w:lineRule="atLeast"/>
        <w:ind w:firstLine="600"/>
        <w:divId w:val="1416240195"/>
        <w:rPr>
          <w:rFonts w:hint="eastAsia"/>
          <w:sz w:val="30"/>
          <w:szCs w:val="30"/>
        </w:rPr>
      </w:pPr>
      <w:r>
        <w:rPr>
          <w:rFonts w:hint="eastAsia"/>
          <w:sz w:val="30"/>
          <w:szCs w:val="30"/>
        </w:rPr>
        <w:t>被告李文清、被告柴国发在原告公司的职务是区域经理、项目经理。原告提交的组织机构是以董事会为职权之首，其下是总经理、监事会，总经理之下为副总经理、财政总监、行政总监、工程总监等，副总经理主管停车项目管理部、秩序维护管理部、物业管理部、营销管理部。且原告及被告李建全、被告李文清、被告柴国发在庭审中均承认被告李建全、被告李文清、被告柴国发系一个团队，团队由被告李建全负责管理。由此可见，被告李文清、被告柴国发在公司内部的四层结构中属于中下层，而非《公司法》上的高级管</w:t>
      </w:r>
      <w:r>
        <w:rPr>
          <w:rFonts w:hint="eastAsia"/>
          <w:sz w:val="30"/>
          <w:szCs w:val="30"/>
        </w:rPr>
        <w:t>理层定位。庭审中，原告也未提交证据证明被告李文清、被告柴国发在事实上享有或行使高级管理人员的职权，故不能认定被告李文清、被告柴国发是原告公司的高级管理人员。</w:t>
      </w:r>
    </w:p>
    <w:p w:rsidR="00000000" w:rsidRDefault="009C238A">
      <w:pPr>
        <w:spacing w:line="500" w:lineRule="atLeast"/>
        <w:ind w:firstLine="600"/>
        <w:divId w:val="931166526"/>
        <w:rPr>
          <w:rFonts w:hint="eastAsia"/>
          <w:sz w:val="30"/>
          <w:szCs w:val="30"/>
        </w:rPr>
      </w:pPr>
      <w:r>
        <w:rPr>
          <w:rFonts w:hint="eastAsia"/>
          <w:sz w:val="30"/>
          <w:szCs w:val="30"/>
        </w:rPr>
        <w:t>二、公司高级管理人员的违反竞业禁止义务行为的认定</w:t>
      </w:r>
    </w:p>
    <w:p w:rsidR="00000000" w:rsidRDefault="009C238A">
      <w:pPr>
        <w:spacing w:line="500" w:lineRule="atLeast"/>
        <w:ind w:firstLine="600"/>
        <w:divId w:val="1689526350"/>
        <w:rPr>
          <w:rFonts w:hint="eastAsia"/>
          <w:sz w:val="30"/>
          <w:szCs w:val="30"/>
        </w:rPr>
      </w:pPr>
      <w:r>
        <w:rPr>
          <w:rFonts w:hint="eastAsia"/>
          <w:sz w:val="30"/>
          <w:szCs w:val="30"/>
        </w:rPr>
        <w:t>我国《中华人民共和国公司法》第一百四十七条第一款规定：“董事、监事、高级管理人员应当遵守法律、行政法规和公司章程，对公司负有忠实义务和勤勉义务”。第一百四十八条第一款第（五）项：“未经股东会或者股东大会同意，利用职务便利为自己或者他人谋取属于公司的商业机会，自营或者为他人经营与所任职公司同类的业务”，明</w:t>
      </w:r>
      <w:r>
        <w:rPr>
          <w:rFonts w:hint="eastAsia"/>
          <w:sz w:val="30"/>
          <w:szCs w:val="30"/>
        </w:rPr>
        <w:t>确了违反忠实义务的具体情形。也就是说，只要公司高级管理人员的竞业行为与公司利益产生现实或潜在的冲突，即使尚未给公司造成实际损害，也足以认定其违反了该义务，从而认定存在同业竞争行为。同类的业务是指营业执照中载明的经营范围，并包括公司已经着手筹划或者暂时停顿的业务。本案中，被告李建全在任原告公司副总经理期间，未经股东会或者股东大会同意，与被告李文清、被告柴国发共同经营被告全众公司，从事了与原告公司存在竞争的业务，其行为构成违反竞业禁止义务的行为，该行为必然会导致原告公司的期待利益受损。</w:t>
      </w:r>
    </w:p>
    <w:p w:rsidR="00000000" w:rsidRDefault="009C238A">
      <w:pPr>
        <w:spacing w:line="500" w:lineRule="atLeast"/>
        <w:ind w:firstLine="600"/>
        <w:divId w:val="1459684734"/>
        <w:rPr>
          <w:rFonts w:hint="eastAsia"/>
          <w:sz w:val="30"/>
          <w:szCs w:val="30"/>
        </w:rPr>
      </w:pPr>
      <w:r>
        <w:rPr>
          <w:rFonts w:hint="eastAsia"/>
          <w:sz w:val="30"/>
          <w:szCs w:val="30"/>
        </w:rPr>
        <w:t>三、公司高级管理人员违反</w:t>
      </w:r>
      <w:r>
        <w:rPr>
          <w:rFonts w:hint="eastAsia"/>
          <w:sz w:val="30"/>
          <w:szCs w:val="30"/>
        </w:rPr>
        <w:t>竞业禁止义务行为的法律后果</w:t>
      </w:r>
    </w:p>
    <w:p w:rsidR="00000000" w:rsidRDefault="009C238A">
      <w:pPr>
        <w:spacing w:line="500" w:lineRule="atLeast"/>
        <w:ind w:firstLine="600"/>
        <w:divId w:val="1069621500"/>
        <w:rPr>
          <w:rFonts w:hint="eastAsia"/>
          <w:sz w:val="30"/>
          <w:szCs w:val="30"/>
        </w:rPr>
      </w:pPr>
      <w:r>
        <w:rPr>
          <w:rFonts w:hint="eastAsia"/>
          <w:sz w:val="30"/>
          <w:szCs w:val="30"/>
        </w:rPr>
        <w:t>公司高级管理人员违反竞业禁止规定时，就应对违反竞业禁止行为承担法律责任。</w:t>
      </w:r>
    </w:p>
    <w:p w:rsidR="00000000" w:rsidRDefault="009C238A">
      <w:pPr>
        <w:spacing w:line="500" w:lineRule="atLeast"/>
        <w:ind w:firstLine="600"/>
        <w:divId w:val="1838571231"/>
        <w:rPr>
          <w:rFonts w:hint="eastAsia"/>
          <w:sz w:val="30"/>
          <w:szCs w:val="30"/>
        </w:rPr>
      </w:pPr>
      <w:r>
        <w:rPr>
          <w:rFonts w:hint="eastAsia"/>
          <w:sz w:val="30"/>
          <w:szCs w:val="30"/>
        </w:rPr>
        <w:t>（一）制止请求权</w:t>
      </w:r>
    </w:p>
    <w:p w:rsidR="00000000" w:rsidRDefault="009C238A">
      <w:pPr>
        <w:spacing w:line="500" w:lineRule="atLeast"/>
        <w:ind w:firstLine="600"/>
        <w:divId w:val="914978220"/>
        <w:rPr>
          <w:rFonts w:hint="eastAsia"/>
          <w:sz w:val="30"/>
          <w:szCs w:val="30"/>
        </w:rPr>
      </w:pPr>
      <w:r>
        <w:rPr>
          <w:rFonts w:hint="eastAsia"/>
          <w:sz w:val="30"/>
          <w:szCs w:val="30"/>
        </w:rPr>
        <w:t>我国《公司法》虽未明文规定此项权利，但《民法总则》“承担民事责任方式”中有此项权利的规定，即公司享有停止请求权。但该权利行使具有时间界定，即只有在公司高级管理人员任期内，才必须遵守竞业禁止义务。现被告李建全已与原告解除劳动合同关系，且原告也未提供其与被告李建全在劳动合同中约定了竞业限制期限，故原告要求被告李建全立即停止经营与原告同类业务的诉讼请求，没有法律依据，一审法院无法支持。</w:t>
      </w:r>
    </w:p>
    <w:p w:rsidR="00000000" w:rsidRDefault="009C238A">
      <w:pPr>
        <w:spacing w:line="500" w:lineRule="atLeast"/>
        <w:ind w:firstLine="600"/>
        <w:divId w:val="2033797817"/>
        <w:rPr>
          <w:rFonts w:hint="eastAsia"/>
          <w:sz w:val="30"/>
          <w:szCs w:val="30"/>
        </w:rPr>
      </w:pPr>
      <w:r>
        <w:rPr>
          <w:rFonts w:hint="eastAsia"/>
          <w:sz w:val="30"/>
          <w:szCs w:val="30"/>
        </w:rPr>
        <w:t>（二）归</w:t>
      </w:r>
      <w:r>
        <w:rPr>
          <w:rFonts w:hint="eastAsia"/>
          <w:sz w:val="30"/>
          <w:szCs w:val="30"/>
        </w:rPr>
        <w:t>入权</w:t>
      </w:r>
    </w:p>
    <w:p w:rsidR="00000000" w:rsidRDefault="009C238A">
      <w:pPr>
        <w:spacing w:line="500" w:lineRule="atLeast"/>
        <w:ind w:firstLine="600"/>
        <w:divId w:val="1151143553"/>
        <w:rPr>
          <w:rFonts w:hint="eastAsia"/>
          <w:sz w:val="30"/>
          <w:szCs w:val="30"/>
        </w:rPr>
      </w:pPr>
      <w:r>
        <w:rPr>
          <w:rFonts w:hint="eastAsia"/>
          <w:sz w:val="30"/>
          <w:szCs w:val="30"/>
        </w:rPr>
        <w:t>我国《中华人民共和国公司法》第一百四十八条第二款规定：“董事、高级管理人员违反前款规定所得的收入应当归公司所有”。归入权的行使范围应为失信公司高级管理人员因违反竞业禁止规定而取得的收益，该规定具有惩罚性。</w:t>
      </w:r>
    </w:p>
    <w:p w:rsidR="00000000" w:rsidRDefault="009C238A">
      <w:pPr>
        <w:spacing w:line="500" w:lineRule="atLeast"/>
        <w:ind w:firstLine="600"/>
        <w:divId w:val="1951811538"/>
        <w:rPr>
          <w:rFonts w:hint="eastAsia"/>
          <w:sz w:val="30"/>
          <w:szCs w:val="30"/>
        </w:rPr>
      </w:pPr>
      <w:r>
        <w:rPr>
          <w:rFonts w:hint="eastAsia"/>
          <w:sz w:val="30"/>
          <w:szCs w:val="30"/>
        </w:rPr>
        <w:t>（三）损害赔偿请求权</w:t>
      </w:r>
    </w:p>
    <w:p w:rsidR="00000000" w:rsidRDefault="009C238A">
      <w:pPr>
        <w:spacing w:line="500" w:lineRule="atLeast"/>
        <w:ind w:firstLine="600"/>
        <w:divId w:val="1681395775"/>
        <w:rPr>
          <w:rFonts w:hint="eastAsia"/>
          <w:sz w:val="30"/>
          <w:szCs w:val="30"/>
        </w:rPr>
      </w:pPr>
      <w:r>
        <w:rPr>
          <w:rFonts w:hint="eastAsia"/>
          <w:sz w:val="30"/>
          <w:szCs w:val="30"/>
        </w:rPr>
        <w:t>《中华人民共和国公司法》第一百五十条规定：“董事、监事、高级管理人员执行公司职务时违反法律、行政法规或者公司章程的规定，给公司造成损失的，应当承担赔偿责任”。</w:t>
      </w:r>
    </w:p>
    <w:p w:rsidR="00000000" w:rsidRDefault="009C238A">
      <w:pPr>
        <w:spacing w:line="500" w:lineRule="atLeast"/>
        <w:ind w:firstLine="600"/>
        <w:divId w:val="1061173924"/>
        <w:rPr>
          <w:rFonts w:hint="eastAsia"/>
          <w:sz w:val="30"/>
          <w:szCs w:val="30"/>
        </w:rPr>
      </w:pPr>
      <w:r>
        <w:rPr>
          <w:rFonts w:hint="eastAsia"/>
          <w:sz w:val="30"/>
          <w:szCs w:val="30"/>
        </w:rPr>
        <w:t>当公司高级管理人员违反竞业禁止规定时，公司既可以同时行使归入权、损害赔偿请求权，也可择一行使权力，但不得获取双重利益。</w:t>
      </w:r>
      <w:r>
        <w:rPr>
          <w:rFonts w:hint="eastAsia"/>
          <w:sz w:val="30"/>
          <w:szCs w:val="30"/>
        </w:rPr>
        <w:t>本案中，原告未能提供其实际损失的证据，故原告仅享有公司归入权，不存在损害赔偿的问题。现原告主张被告李建全从事竞业禁止行为所得的收入归入该公司，符合法律的规定，但其主张的金额缺乏法律依据。本着规范公司高级管理人员行为，保护公司合法利益的原则，一审法院综合考虑被告李建全在原告处担任副总经理的任职时间、被告李建全出资所占被告全众公司出资比例、被告全众公司年检报告中记载的净利润数额、我市城镇服务行业在岗职工年平均工资以及原告未能举证证明被告李建全利用职务便利谋取属于公司商业机会的情况，一审法院酌情确定被告李建全应给</w:t>
      </w:r>
      <w:r>
        <w:rPr>
          <w:rFonts w:hint="eastAsia"/>
          <w:sz w:val="30"/>
          <w:szCs w:val="30"/>
        </w:rPr>
        <w:t>付原告</w:t>
      </w:r>
      <w:r>
        <w:rPr>
          <w:rFonts w:hint="eastAsia"/>
          <w:sz w:val="30"/>
          <w:szCs w:val="30"/>
        </w:rPr>
        <w:t>40000</w:t>
      </w:r>
      <w:r>
        <w:rPr>
          <w:rFonts w:hint="eastAsia"/>
          <w:sz w:val="30"/>
          <w:szCs w:val="30"/>
        </w:rPr>
        <w:t>元。对于原告的其他诉讼请求，没有事实和法律依据，一审法院不予支持。</w:t>
      </w:r>
    </w:p>
    <w:p w:rsidR="00000000" w:rsidRDefault="009C238A">
      <w:pPr>
        <w:spacing w:line="500" w:lineRule="atLeast"/>
        <w:ind w:firstLine="600"/>
        <w:divId w:val="1336810400"/>
        <w:rPr>
          <w:rFonts w:hint="eastAsia"/>
          <w:sz w:val="30"/>
          <w:szCs w:val="30"/>
        </w:rPr>
      </w:pPr>
      <w:r>
        <w:rPr>
          <w:rFonts w:hint="eastAsia"/>
          <w:sz w:val="30"/>
          <w:szCs w:val="30"/>
        </w:rPr>
        <w:t>综上所述，一审法院依据上述事实，判决为</w:t>
      </w:r>
      <w:r>
        <w:rPr>
          <w:rFonts w:hint="eastAsia"/>
          <w:sz w:val="30"/>
          <w:szCs w:val="30"/>
        </w:rPr>
        <w:t>:</w:t>
      </w:r>
      <w:r>
        <w:rPr>
          <w:rFonts w:hint="eastAsia"/>
          <w:sz w:val="30"/>
          <w:szCs w:val="30"/>
        </w:rPr>
        <w:t>“一、被告李建全于本判决生效之日起十日内给付原告天津国商人集团有限公司</w:t>
      </w:r>
      <w:r>
        <w:rPr>
          <w:rFonts w:hint="eastAsia"/>
          <w:sz w:val="30"/>
          <w:szCs w:val="30"/>
        </w:rPr>
        <w:t>40000</w:t>
      </w:r>
      <w:r>
        <w:rPr>
          <w:rFonts w:hint="eastAsia"/>
          <w:sz w:val="30"/>
          <w:szCs w:val="30"/>
        </w:rPr>
        <w:t>元；二、驳回原告天津国商人集团有限公司其他的诉讼请求。如被告未按本判决指定的期间履行给付金钱义务，应当依照《中华人民共和国民事诉讼法》第二百五十三条之规定，加倍支付迟延履行期间的债务利息。案件受理费</w:t>
      </w:r>
      <w:r>
        <w:rPr>
          <w:rFonts w:hint="eastAsia"/>
          <w:sz w:val="30"/>
          <w:szCs w:val="30"/>
        </w:rPr>
        <w:t>34852</w:t>
      </w:r>
      <w:r>
        <w:rPr>
          <w:rFonts w:hint="eastAsia"/>
          <w:sz w:val="30"/>
          <w:szCs w:val="30"/>
        </w:rPr>
        <w:t>元，原告天津国商人集团有限公司负担</w:t>
      </w:r>
      <w:r>
        <w:rPr>
          <w:rFonts w:hint="eastAsia"/>
          <w:sz w:val="30"/>
          <w:szCs w:val="30"/>
        </w:rPr>
        <w:t>34052</w:t>
      </w:r>
      <w:r>
        <w:rPr>
          <w:rFonts w:hint="eastAsia"/>
          <w:sz w:val="30"/>
          <w:szCs w:val="30"/>
        </w:rPr>
        <w:t>元，被告李建全负担</w:t>
      </w:r>
      <w:r>
        <w:rPr>
          <w:rFonts w:hint="eastAsia"/>
          <w:sz w:val="30"/>
          <w:szCs w:val="30"/>
        </w:rPr>
        <w:t>800</w:t>
      </w:r>
      <w:r>
        <w:rPr>
          <w:rFonts w:hint="eastAsia"/>
          <w:sz w:val="30"/>
          <w:szCs w:val="30"/>
        </w:rPr>
        <w:t>元（于本判决生效之日起十日内直接</w:t>
      </w:r>
      <w:r>
        <w:rPr>
          <w:rFonts w:hint="eastAsia"/>
          <w:sz w:val="30"/>
          <w:szCs w:val="30"/>
        </w:rPr>
        <w:t>给付原告天津国商人集团有限公司）”。</w:t>
      </w:r>
    </w:p>
    <w:p w:rsidR="00000000" w:rsidRDefault="009C238A">
      <w:pPr>
        <w:spacing w:line="500" w:lineRule="atLeast"/>
        <w:ind w:firstLine="600"/>
        <w:divId w:val="1183279493"/>
        <w:rPr>
          <w:rFonts w:hint="eastAsia"/>
          <w:sz w:val="30"/>
          <w:szCs w:val="30"/>
        </w:rPr>
      </w:pPr>
      <w:r>
        <w:rPr>
          <w:rFonts w:hint="eastAsia"/>
          <w:sz w:val="30"/>
          <w:szCs w:val="30"/>
        </w:rPr>
        <w:t>二审中，上诉人国商人公司提交了两组证据。第一组证据包括：</w:t>
      </w:r>
      <w:r>
        <w:rPr>
          <w:rFonts w:hint="eastAsia"/>
          <w:sz w:val="30"/>
          <w:szCs w:val="30"/>
        </w:rPr>
        <w:t>1.</w:t>
      </w:r>
      <w:r>
        <w:rPr>
          <w:rFonts w:hint="eastAsia"/>
          <w:sz w:val="30"/>
          <w:szCs w:val="30"/>
        </w:rPr>
        <w:t>（</w:t>
      </w:r>
      <w:r>
        <w:rPr>
          <w:rFonts w:hint="eastAsia"/>
          <w:sz w:val="30"/>
          <w:szCs w:val="30"/>
        </w:rPr>
        <w:t>2021</w:t>
      </w:r>
      <w:r>
        <w:rPr>
          <w:rFonts w:hint="eastAsia"/>
          <w:sz w:val="30"/>
          <w:szCs w:val="30"/>
        </w:rPr>
        <w:t>）天津港保税区劳动人事争议仲裁委员会第</w:t>
      </w:r>
      <w:r>
        <w:rPr>
          <w:rFonts w:hint="eastAsia"/>
          <w:sz w:val="30"/>
          <w:szCs w:val="30"/>
        </w:rPr>
        <w:t>50049</w:t>
      </w:r>
      <w:r>
        <w:rPr>
          <w:rFonts w:hint="eastAsia"/>
          <w:sz w:val="30"/>
          <w:szCs w:val="30"/>
        </w:rPr>
        <w:t>号仲裁裁决书；</w:t>
      </w:r>
      <w:r>
        <w:rPr>
          <w:rFonts w:hint="eastAsia"/>
          <w:sz w:val="30"/>
          <w:szCs w:val="30"/>
        </w:rPr>
        <w:t>2.</w:t>
      </w:r>
      <w:r>
        <w:rPr>
          <w:rFonts w:hint="eastAsia"/>
          <w:sz w:val="30"/>
          <w:szCs w:val="30"/>
        </w:rPr>
        <w:t>天津全新机电设备安装有限公司的市场主体信用报告；</w:t>
      </w:r>
      <w:r>
        <w:rPr>
          <w:rFonts w:hint="eastAsia"/>
          <w:sz w:val="30"/>
          <w:szCs w:val="30"/>
        </w:rPr>
        <w:t>3.</w:t>
      </w:r>
      <w:r>
        <w:rPr>
          <w:rFonts w:hint="eastAsia"/>
          <w:sz w:val="30"/>
          <w:szCs w:val="30"/>
        </w:rPr>
        <w:t>天津市和平区人民法院（</w:t>
      </w:r>
      <w:r>
        <w:rPr>
          <w:rFonts w:hint="eastAsia"/>
          <w:sz w:val="30"/>
          <w:szCs w:val="30"/>
        </w:rPr>
        <w:t>2019</w:t>
      </w:r>
      <w:r>
        <w:rPr>
          <w:rFonts w:hint="eastAsia"/>
          <w:sz w:val="30"/>
          <w:szCs w:val="30"/>
        </w:rPr>
        <w:t>）津</w:t>
      </w:r>
      <w:r>
        <w:rPr>
          <w:rFonts w:hint="eastAsia"/>
          <w:sz w:val="30"/>
          <w:szCs w:val="30"/>
        </w:rPr>
        <w:t>0101</w:t>
      </w:r>
      <w:r>
        <w:rPr>
          <w:rFonts w:hint="eastAsia"/>
          <w:sz w:val="30"/>
          <w:szCs w:val="30"/>
        </w:rPr>
        <w:t>民初</w:t>
      </w:r>
      <w:r>
        <w:rPr>
          <w:rFonts w:hint="eastAsia"/>
          <w:sz w:val="30"/>
          <w:szCs w:val="30"/>
        </w:rPr>
        <w:t>8519</w:t>
      </w:r>
      <w:r>
        <w:rPr>
          <w:rFonts w:hint="eastAsia"/>
          <w:sz w:val="30"/>
          <w:szCs w:val="30"/>
        </w:rPr>
        <w:t>号卷宗材料（工资发放）。该组证据证明目的：证明被上诉人李建全利用管理上的便利，使用吃空饷的方式，虚报用工人数，以上诉人发放案外人工资的方式为自己创办的公司谋利。第二组证据包括：</w:t>
      </w:r>
      <w:r>
        <w:rPr>
          <w:rFonts w:hint="eastAsia"/>
          <w:sz w:val="30"/>
          <w:szCs w:val="30"/>
        </w:rPr>
        <w:t>1.</w:t>
      </w:r>
      <w:r>
        <w:rPr>
          <w:rFonts w:hint="eastAsia"/>
          <w:sz w:val="30"/>
          <w:szCs w:val="30"/>
        </w:rPr>
        <w:t>天津市和平区人民法院（</w:t>
      </w:r>
      <w:r>
        <w:rPr>
          <w:rFonts w:hint="eastAsia"/>
          <w:sz w:val="30"/>
          <w:szCs w:val="30"/>
        </w:rPr>
        <w:t>2019</w:t>
      </w:r>
      <w:r>
        <w:rPr>
          <w:rFonts w:hint="eastAsia"/>
          <w:sz w:val="30"/>
          <w:szCs w:val="30"/>
        </w:rPr>
        <w:t>）津</w:t>
      </w:r>
      <w:r>
        <w:rPr>
          <w:rFonts w:hint="eastAsia"/>
          <w:sz w:val="30"/>
          <w:szCs w:val="30"/>
        </w:rPr>
        <w:t>0101</w:t>
      </w:r>
      <w:r>
        <w:rPr>
          <w:rFonts w:hint="eastAsia"/>
          <w:sz w:val="30"/>
          <w:szCs w:val="30"/>
        </w:rPr>
        <w:t>民初</w:t>
      </w:r>
      <w:r>
        <w:rPr>
          <w:rFonts w:hint="eastAsia"/>
          <w:sz w:val="30"/>
          <w:szCs w:val="30"/>
        </w:rPr>
        <w:t>851</w:t>
      </w:r>
      <w:r>
        <w:rPr>
          <w:rFonts w:hint="eastAsia"/>
          <w:sz w:val="30"/>
          <w:szCs w:val="30"/>
        </w:rPr>
        <w:t>9</w:t>
      </w:r>
      <w:r>
        <w:rPr>
          <w:rFonts w:hint="eastAsia"/>
          <w:sz w:val="30"/>
          <w:szCs w:val="30"/>
        </w:rPr>
        <w:t>号卷宗材料（白领公寓合同）；</w:t>
      </w:r>
      <w:r>
        <w:rPr>
          <w:rFonts w:hint="eastAsia"/>
          <w:sz w:val="30"/>
          <w:szCs w:val="30"/>
        </w:rPr>
        <w:t>2.</w:t>
      </w:r>
      <w:r>
        <w:rPr>
          <w:rFonts w:hint="eastAsia"/>
          <w:sz w:val="30"/>
          <w:szCs w:val="30"/>
        </w:rPr>
        <w:t>致勤公寓合同及地址；</w:t>
      </w:r>
      <w:r>
        <w:rPr>
          <w:rFonts w:hint="eastAsia"/>
          <w:sz w:val="30"/>
          <w:szCs w:val="30"/>
        </w:rPr>
        <w:t>3.</w:t>
      </w:r>
      <w:r>
        <w:rPr>
          <w:rFonts w:hint="eastAsia"/>
          <w:sz w:val="30"/>
          <w:szCs w:val="30"/>
        </w:rPr>
        <w:t>天易智慧服务有限公司工商变更；</w:t>
      </w:r>
      <w:r>
        <w:rPr>
          <w:rFonts w:hint="eastAsia"/>
          <w:sz w:val="30"/>
          <w:szCs w:val="30"/>
        </w:rPr>
        <w:t>4.</w:t>
      </w:r>
      <w:r>
        <w:rPr>
          <w:rFonts w:hint="eastAsia"/>
          <w:sz w:val="30"/>
          <w:szCs w:val="30"/>
        </w:rPr>
        <w:t>上诉人与天津天保热电有限公司之间的三份合同。该组证据证明目的：证明被上诉人李建全利用职务上的便利，以其私自成立的被上诉人公司，与上诉人经营相同客户、相同类型业务。使上诉人丧失商业机会，单就调查发现的合同金额为</w:t>
      </w:r>
      <w:r>
        <w:rPr>
          <w:rFonts w:hint="eastAsia"/>
          <w:sz w:val="30"/>
          <w:szCs w:val="30"/>
        </w:rPr>
        <w:t>663300</w:t>
      </w:r>
      <w:r>
        <w:rPr>
          <w:rFonts w:hint="eastAsia"/>
          <w:sz w:val="30"/>
          <w:szCs w:val="30"/>
        </w:rPr>
        <w:t>元。</w:t>
      </w:r>
    </w:p>
    <w:p w:rsidR="00000000" w:rsidRDefault="009C238A">
      <w:pPr>
        <w:spacing w:line="500" w:lineRule="atLeast"/>
        <w:ind w:firstLine="600"/>
        <w:divId w:val="1089038317"/>
        <w:rPr>
          <w:rFonts w:hint="eastAsia"/>
          <w:sz w:val="30"/>
          <w:szCs w:val="30"/>
        </w:rPr>
      </w:pPr>
      <w:r>
        <w:rPr>
          <w:rFonts w:hint="eastAsia"/>
          <w:sz w:val="30"/>
          <w:szCs w:val="30"/>
        </w:rPr>
        <w:t>四被上诉人的质证意见为：对第一组证据的证明目的不认可，于秉军案与本案无关，上诉人主张所谓的李建全吃空饷造成上诉人损失</w:t>
      </w:r>
      <w:r>
        <w:rPr>
          <w:rFonts w:hint="eastAsia"/>
          <w:sz w:val="30"/>
          <w:szCs w:val="30"/>
        </w:rPr>
        <w:t>59350</w:t>
      </w:r>
      <w:r>
        <w:rPr>
          <w:rFonts w:hint="eastAsia"/>
          <w:sz w:val="30"/>
          <w:szCs w:val="30"/>
        </w:rPr>
        <w:t>元与事实不符；对第二组证据的证明目的亦不认可，但对证据本身的真实性认</w:t>
      </w:r>
      <w:r>
        <w:rPr>
          <w:rFonts w:hint="eastAsia"/>
          <w:sz w:val="30"/>
          <w:szCs w:val="30"/>
        </w:rPr>
        <w:t>可，但认为与本案无关。</w:t>
      </w:r>
    </w:p>
    <w:p w:rsidR="00000000" w:rsidRDefault="009C238A">
      <w:pPr>
        <w:spacing w:line="500" w:lineRule="atLeast"/>
        <w:ind w:firstLine="600"/>
        <w:divId w:val="667713225"/>
        <w:rPr>
          <w:rFonts w:hint="eastAsia"/>
          <w:sz w:val="30"/>
          <w:szCs w:val="30"/>
        </w:rPr>
      </w:pPr>
      <w:r>
        <w:rPr>
          <w:rFonts w:hint="eastAsia"/>
          <w:sz w:val="30"/>
          <w:szCs w:val="30"/>
        </w:rPr>
        <w:t>四被上诉人二审中未提交新证据。</w:t>
      </w:r>
    </w:p>
    <w:p w:rsidR="00000000" w:rsidRDefault="009C238A">
      <w:pPr>
        <w:spacing w:line="500" w:lineRule="atLeast"/>
        <w:ind w:firstLine="600"/>
        <w:divId w:val="207498141"/>
        <w:rPr>
          <w:rFonts w:hint="eastAsia"/>
          <w:sz w:val="30"/>
          <w:szCs w:val="30"/>
        </w:rPr>
      </w:pPr>
      <w:r>
        <w:rPr>
          <w:rFonts w:hint="eastAsia"/>
          <w:sz w:val="30"/>
          <w:szCs w:val="30"/>
        </w:rPr>
        <w:t>另外，本院查明的事实与一审法院认定的事实一致。</w:t>
      </w:r>
    </w:p>
    <w:p w:rsidR="00000000" w:rsidRDefault="009C238A">
      <w:pPr>
        <w:spacing w:line="500" w:lineRule="atLeast"/>
        <w:ind w:firstLine="600"/>
        <w:divId w:val="1292402577"/>
        <w:rPr>
          <w:rFonts w:hint="eastAsia"/>
          <w:sz w:val="30"/>
          <w:szCs w:val="30"/>
        </w:rPr>
      </w:pPr>
      <w:r>
        <w:rPr>
          <w:rFonts w:hint="eastAsia"/>
          <w:sz w:val="30"/>
          <w:szCs w:val="30"/>
        </w:rPr>
        <w:t>案经调解，双方当事人未能达成一致意见。</w:t>
      </w:r>
    </w:p>
    <w:p w:rsidR="00000000" w:rsidRDefault="009C238A">
      <w:pPr>
        <w:spacing w:line="500" w:lineRule="atLeast"/>
        <w:ind w:firstLine="600"/>
        <w:divId w:val="262341439"/>
        <w:rPr>
          <w:rFonts w:hint="eastAsia"/>
          <w:sz w:val="30"/>
          <w:szCs w:val="30"/>
        </w:rPr>
      </w:pPr>
      <w:r>
        <w:rPr>
          <w:rFonts w:hint="eastAsia"/>
          <w:sz w:val="30"/>
          <w:szCs w:val="30"/>
        </w:rPr>
        <w:t>本院认为，根据公司法的规定，公司董事、高级管理人员在任职期间，另行设立其他公司与其任职公司经营同类业务，属于竞业禁止行为，违反了董事、高管对公司的忠实义务，董事、高管因此获得的收入应当归还其任职的公司。本案中，上诉人国商人公司在一审期间提供的证据，能够认定被上诉人李建全为副总经理，具备《中华人民共和国公司法》中规定的高级管理人员资格，故应当认定被告李建全具备高级管理</w:t>
      </w:r>
      <w:r>
        <w:rPr>
          <w:rFonts w:hint="eastAsia"/>
          <w:sz w:val="30"/>
          <w:szCs w:val="30"/>
        </w:rPr>
        <w:t>人员资格，李建全作为原上诉人公司的高级管理人员，与李文清、柴国发共同经营被告全众公司，从事了与上诉人公司存在竞争的业务，给上诉人公司造成损失，应当承担赔偿责任。上诉人国商人公司要求认定被上诉人李文清、柴国发亦属于高级管理人员，亦应承担赔偿责任的上诉请求，事实依据不足，本院不予支持。</w:t>
      </w:r>
    </w:p>
    <w:p w:rsidR="00000000" w:rsidRDefault="009C238A">
      <w:pPr>
        <w:spacing w:line="500" w:lineRule="atLeast"/>
        <w:ind w:firstLine="600"/>
        <w:divId w:val="371419697"/>
        <w:rPr>
          <w:rFonts w:hint="eastAsia"/>
          <w:sz w:val="30"/>
          <w:szCs w:val="30"/>
        </w:rPr>
      </w:pPr>
      <w:r>
        <w:rPr>
          <w:rFonts w:hint="eastAsia"/>
          <w:sz w:val="30"/>
          <w:szCs w:val="30"/>
        </w:rPr>
        <w:t>关于赔偿数额的确定问题，上诉人国商人公司虽然主张李建全利用管理上的便利，使用吃空饷的方式，虚报用工人数，向案外人于秉军发放工资的方式为自己创办的公司谋利，但提供的证据不足以证明其主张的事实，故其要求提高赔偿数额的上诉请求，本院不</w:t>
      </w:r>
      <w:r>
        <w:rPr>
          <w:rFonts w:hint="eastAsia"/>
          <w:sz w:val="30"/>
          <w:szCs w:val="30"/>
        </w:rPr>
        <w:t>予支持。一审法院结合查明的事实及现有证据，酌情判决李建全赔偿上诉人国商人公司损失</w:t>
      </w:r>
      <w:r>
        <w:rPr>
          <w:rFonts w:hint="eastAsia"/>
          <w:sz w:val="30"/>
          <w:szCs w:val="30"/>
        </w:rPr>
        <w:t>40000</w:t>
      </w:r>
      <w:r>
        <w:rPr>
          <w:rFonts w:hint="eastAsia"/>
          <w:sz w:val="30"/>
          <w:szCs w:val="30"/>
        </w:rPr>
        <w:t>元，并无不当，本院予以确认。</w:t>
      </w:r>
    </w:p>
    <w:p w:rsidR="00000000" w:rsidRDefault="009C238A">
      <w:pPr>
        <w:spacing w:line="500" w:lineRule="atLeast"/>
        <w:ind w:firstLine="600"/>
        <w:divId w:val="1957520169"/>
        <w:rPr>
          <w:rFonts w:hint="eastAsia"/>
          <w:sz w:val="30"/>
          <w:szCs w:val="30"/>
        </w:rPr>
      </w:pPr>
      <w:r>
        <w:rPr>
          <w:rFonts w:hint="eastAsia"/>
          <w:sz w:val="30"/>
          <w:szCs w:val="30"/>
        </w:rPr>
        <w:t>另外，一审法院对于上诉人国商人公司提出的其他上诉理由，已经给予了充分的注意和阐述，本院不再重复赘述。</w:t>
      </w:r>
    </w:p>
    <w:p w:rsidR="00000000" w:rsidRDefault="009C238A">
      <w:pPr>
        <w:spacing w:line="500" w:lineRule="atLeast"/>
        <w:ind w:firstLine="600"/>
        <w:divId w:val="1112549383"/>
        <w:rPr>
          <w:rFonts w:hint="eastAsia"/>
          <w:sz w:val="30"/>
          <w:szCs w:val="30"/>
        </w:rPr>
      </w:pPr>
      <w:r>
        <w:rPr>
          <w:rFonts w:hint="eastAsia"/>
          <w:sz w:val="30"/>
          <w:szCs w:val="30"/>
        </w:rPr>
        <w:t>综上所述，天津国商人集团有限公司的上诉请求不能成立，应予驳回；一审法院认定事实清楚，适用法律正确，应予维持。依照《中华人民共和国民事诉讼法》第一百七十条第一款第一项规定，判决如下：</w:t>
      </w:r>
    </w:p>
    <w:p w:rsidR="00000000" w:rsidRDefault="009C238A">
      <w:pPr>
        <w:spacing w:line="500" w:lineRule="atLeast"/>
        <w:ind w:firstLine="600"/>
        <w:divId w:val="785999532"/>
        <w:rPr>
          <w:rFonts w:hint="eastAsia"/>
          <w:sz w:val="30"/>
          <w:szCs w:val="30"/>
        </w:rPr>
      </w:pPr>
      <w:r>
        <w:rPr>
          <w:rFonts w:hint="eastAsia"/>
          <w:sz w:val="30"/>
          <w:szCs w:val="30"/>
        </w:rPr>
        <w:t>驳回上诉，维持原判。</w:t>
      </w:r>
    </w:p>
    <w:p w:rsidR="00000000" w:rsidRDefault="009C238A">
      <w:pPr>
        <w:spacing w:line="500" w:lineRule="atLeast"/>
        <w:ind w:firstLine="600"/>
        <w:divId w:val="2046633880"/>
        <w:rPr>
          <w:rFonts w:hint="eastAsia"/>
          <w:sz w:val="30"/>
          <w:szCs w:val="30"/>
        </w:rPr>
      </w:pPr>
      <w:r>
        <w:rPr>
          <w:rFonts w:hint="eastAsia"/>
          <w:sz w:val="30"/>
          <w:szCs w:val="30"/>
        </w:rPr>
        <w:t>二审案件受理费</w:t>
      </w:r>
      <w:r>
        <w:rPr>
          <w:rFonts w:hint="eastAsia"/>
          <w:sz w:val="30"/>
          <w:szCs w:val="30"/>
        </w:rPr>
        <w:t>34852</w:t>
      </w:r>
      <w:r>
        <w:rPr>
          <w:rFonts w:hint="eastAsia"/>
          <w:sz w:val="30"/>
          <w:szCs w:val="30"/>
        </w:rPr>
        <w:t>元，由天津国商人集团有限公司负担。</w:t>
      </w:r>
    </w:p>
    <w:p w:rsidR="00000000" w:rsidRDefault="009C238A">
      <w:pPr>
        <w:spacing w:line="500" w:lineRule="atLeast"/>
        <w:ind w:firstLine="600"/>
        <w:divId w:val="413287939"/>
        <w:rPr>
          <w:rFonts w:hint="eastAsia"/>
          <w:sz w:val="30"/>
          <w:szCs w:val="30"/>
        </w:rPr>
      </w:pPr>
      <w:r>
        <w:rPr>
          <w:rFonts w:hint="eastAsia"/>
          <w:sz w:val="30"/>
          <w:szCs w:val="30"/>
        </w:rPr>
        <w:t>本判决为终审判决。</w:t>
      </w:r>
    </w:p>
    <w:p w:rsidR="00000000" w:rsidRDefault="009C238A">
      <w:pPr>
        <w:spacing w:line="500" w:lineRule="atLeast"/>
        <w:jc w:val="right"/>
        <w:divId w:val="1894736136"/>
        <w:rPr>
          <w:rFonts w:hint="eastAsia"/>
          <w:sz w:val="30"/>
          <w:szCs w:val="30"/>
        </w:rPr>
      </w:pPr>
      <w:r>
        <w:rPr>
          <w:rFonts w:hint="eastAsia"/>
          <w:sz w:val="30"/>
          <w:szCs w:val="30"/>
        </w:rPr>
        <w:t>审判长　　张吉堂</w:t>
      </w:r>
    </w:p>
    <w:p w:rsidR="00000000" w:rsidRDefault="009C238A">
      <w:pPr>
        <w:spacing w:line="500" w:lineRule="atLeast"/>
        <w:jc w:val="right"/>
        <w:divId w:val="268781367"/>
        <w:rPr>
          <w:rFonts w:hint="eastAsia"/>
          <w:sz w:val="30"/>
          <w:szCs w:val="30"/>
        </w:rPr>
      </w:pPr>
      <w:r>
        <w:rPr>
          <w:rFonts w:hint="eastAsia"/>
          <w:sz w:val="30"/>
          <w:szCs w:val="30"/>
        </w:rPr>
        <w:t>审判员　　王润生</w:t>
      </w:r>
    </w:p>
    <w:p w:rsidR="00000000" w:rsidRDefault="009C238A">
      <w:pPr>
        <w:spacing w:line="500" w:lineRule="atLeast"/>
        <w:jc w:val="right"/>
        <w:divId w:val="570769311"/>
        <w:rPr>
          <w:rFonts w:hint="eastAsia"/>
          <w:sz w:val="30"/>
          <w:szCs w:val="30"/>
        </w:rPr>
      </w:pPr>
      <w:r>
        <w:rPr>
          <w:rFonts w:hint="eastAsia"/>
          <w:sz w:val="30"/>
          <w:szCs w:val="30"/>
        </w:rPr>
        <w:t>审判员　　刘　文</w:t>
      </w:r>
    </w:p>
    <w:p w:rsidR="00000000" w:rsidRDefault="009C238A">
      <w:pPr>
        <w:spacing w:line="500" w:lineRule="atLeast"/>
        <w:jc w:val="right"/>
        <w:divId w:val="1544098969"/>
        <w:rPr>
          <w:rFonts w:hint="eastAsia"/>
          <w:sz w:val="30"/>
          <w:szCs w:val="30"/>
        </w:rPr>
      </w:pPr>
      <w:r>
        <w:rPr>
          <w:rFonts w:hint="eastAsia"/>
          <w:sz w:val="30"/>
          <w:szCs w:val="30"/>
        </w:rPr>
        <w:t>二〇二一年三月三日</w:t>
      </w:r>
    </w:p>
    <w:p w:rsidR="00000000" w:rsidRDefault="009C238A">
      <w:pPr>
        <w:spacing w:line="500" w:lineRule="atLeast"/>
        <w:ind w:firstLine="600"/>
        <w:divId w:val="855198488"/>
        <w:rPr>
          <w:rFonts w:hint="eastAsia"/>
          <w:sz w:val="30"/>
          <w:szCs w:val="30"/>
        </w:rPr>
      </w:pPr>
      <w:r>
        <w:rPr>
          <w:rFonts w:hint="eastAsia"/>
          <w:sz w:val="30"/>
          <w:szCs w:val="30"/>
        </w:rPr>
        <w:t>法官助理孔娇阳</w:t>
      </w:r>
    </w:p>
    <w:p w:rsidR="00000000" w:rsidRDefault="009C238A">
      <w:pPr>
        <w:spacing w:line="500" w:lineRule="atLeast"/>
        <w:ind w:firstLine="600"/>
        <w:divId w:val="1935244241"/>
        <w:rPr>
          <w:rFonts w:hint="eastAsia"/>
          <w:sz w:val="30"/>
          <w:szCs w:val="30"/>
        </w:rPr>
      </w:pPr>
      <w:r>
        <w:rPr>
          <w:rFonts w:hint="eastAsia"/>
          <w:sz w:val="30"/>
          <w:szCs w:val="30"/>
        </w:rPr>
        <w:t>书记员陈晓娜</w:t>
      </w:r>
    </w:p>
    <w:p w:rsidR="00000000" w:rsidRDefault="009C238A">
      <w:pPr>
        <w:spacing w:line="500" w:lineRule="atLeast"/>
        <w:ind w:firstLine="600"/>
        <w:divId w:val="875849803"/>
        <w:rPr>
          <w:rFonts w:hint="eastAsia"/>
          <w:sz w:val="30"/>
          <w:szCs w:val="30"/>
        </w:rPr>
      </w:pPr>
      <w:r>
        <w:rPr>
          <w:rFonts w:hint="eastAsia"/>
          <w:sz w:val="30"/>
          <w:szCs w:val="30"/>
        </w:rPr>
        <w:t>附：本裁判文书所依据法律规定的具体条文：</w:t>
      </w:r>
    </w:p>
    <w:p w:rsidR="00000000" w:rsidRDefault="009C238A">
      <w:pPr>
        <w:spacing w:line="500" w:lineRule="atLeast"/>
        <w:ind w:firstLine="600"/>
        <w:divId w:val="943806718"/>
        <w:rPr>
          <w:rFonts w:hint="eastAsia"/>
          <w:sz w:val="30"/>
          <w:szCs w:val="30"/>
        </w:rPr>
      </w:pPr>
      <w:r>
        <w:rPr>
          <w:rFonts w:hint="eastAsia"/>
          <w:sz w:val="30"/>
          <w:szCs w:val="30"/>
        </w:rPr>
        <w:t>《中华人民共和国民事诉讼法》第一百七十条第一款第（一）项：</w:t>
      </w:r>
    </w:p>
    <w:p w:rsidR="00000000" w:rsidRDefault="009C238A">
      <w:pPr>
        <w:spacing w:line="500" w:lineRule="atLeast"/>
        <w:ind w:firstLine="600"/>
        <w:divId w:val="846289595"/>
        <w:rPr>
          <w:rFonts w:hint="eastAsia"/>
          <w:sz w:val="30"/>
          <w:szCs w:val="30"/>
        </w:rPr>
      </w:pPr>
      <w:r>
        <w:rPr>
          <w:rFonts w:hint="eastAsia"/>
          <w:sz w:val="30"/>
          <w:szCs w:val="30"/>
        </w:rPr>
        <w:t>第二审人民法院对上诉案件，经过审理，按照下列情形，分别处理：</w:t>
      </w:r>
    </w:p>
    <w:p w:rsidR="00000000" w:rsidRDefault="009C238A">
      <w:pPr>
        <w:spacing w:line="500" w:lineRule="atLeast"/>
        <w:ind w:firstLine="600"/>
        <w:divId w:val="1487473770"/>
        <w:rPr>
          <w:rFonts w:hint="eastAsia"/>
          <w:sz w:val="30"/>
          <w:szCs w:val="30"/>
        </w:rPr>
      </w:pPr>
      <w:r>
        <w:rPr>
          <w:rFonts w:hint="eastAsia"/>
          <w:sz w:val="30"/>
          <w:szCs w:val="30"/>
        </w:rPr>
        <w:t>（一）原判决、裁定认定事实清楚，适用法律正确的，以判决、裁定方式驳回上诉，维持原判决、裁定；</w:t>
      </w:r>
    </w:p>
    <w:p w:rsidR="00000000" w:rsidRDefault="009C238A">
      <w:pPr>
        <w:spacing w:line="500" w:lineRule="atLeast"/>
        <w:ind w:firstLine="600"/>
        <w:divId w:val="1282689590"/>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38A" w:rsidRDefault="009C238A" w:rsidP="009C238A">
      <w:r>
        <w:separator/>
      </w:r>
    </w:p>
  </w:endnote>
  <w:endnote w:type="continuationSeparator" w:id="0">
    <w:p w:rsidR="009C238A" w:rsidRDefault="009C238A" w:rsidP="009C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38A" w:rsidRDefault="009C238A" w:rsidP="009C238A">
      <w:r>
        <w:separator/>
      </w:r>
    </w:p>
  </w:footnote>
  <w:footnote w:type="continuationSeparator" w:id="0">
    <w:p w:rsidR="009C238A" w:rsidRDefault="009C238A" w:rsidP="009C2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C238A"/>
    <w:rsid w:val="009C2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C23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238A"/>
    <w:rPr>
      <w:rFonts w:ascii="宋体" w:eastAsia="宋体" w:hAnsi="宋体" w:cs="宋体"/>
      <w:sz w:val="18"/>
      <w:szCs w:val="18"/>
    </w:rPr>
  </w:style>
  <w:style w:type="paragraph" w:styleId="a5">
    <w:name w:val="footer"/>
    <w:basedOn w:val="a"/>
    <w:link w:val="a6"/>
    <w:uiPriority w:val="99"/>
    <w:unhideWhenUsed/>
    <w:rsid w:val="009C238A"/>
    <w:pPr>
      <w:tabs>
        <w:tab w:val="center" w:pos="4153"/>
        <w:tab w:val="right" w:pos="8306"/>
      </w:tabs>
      <w:snapToGrid w:val="0"/>
    </w:pPr>
    <w:rPr>
      <w:sz w:val="18"/>
      <w:szCs w:val="18"/>
    </w:rPr>
  </w:style>
  <w:style w:type="character" w:customStyle="1" w:styleId="a6">
    <w:name w:val="页脚 字符"/>
    <w:basedOn w:val="a0"/>
    <w:link w:val="a5"/>
    <w:uiPriority w:val="99"/>
    <w:rsid w:val="009C238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97132">
      <w:marLeft w:val="0"/>
      <w:marRight w:val="0"/>
      <w:marTop w:val="10"/>
      <w:marBottom w:val="10"/>
      <w:divBdr>
        <w:top w:val="none" w:sz="0" w:space="0" w:color="auto"/>
        <w:left w:val="none" w:sz="0" w:space="0" w:color="auto"/>
        <w:bottom w:val="none" w:sz="0" w:space="0" w:color="auto"/>
        <w:right w:val="none" w:sz="0" w:space="0" w:color="auto"/>
      </w:divBdr>
    </w:div>
    <w:div w:id="195311497">
      <w:marLeft w:val="0"/>
      <w:marRight w:val="0"/>
      <w:marTop w:val="10"/>
      <w:marBottom w:val="10"/>
      <w:divBdr>
        <w:top w:val="none" w:sz="0" w:space="0" w:color="auto"/>
        <w:left w:val="none" w:sz="0" w:space="0" w:color="auto"/>
        <w:bottom w:val="none" w:sz="0" w:space="0" w:color="auto"/>
        <w:right w:val="none" w:sz="0" w:space="0" w:color="auto"/>
      </w:divBdr>
    </w:div>
    <w:div w:id="204296325">
      <w:marLeft w:val="0"/>
      <w:marRight w:val="0"/>
      <w:marTop w:val="10"/>
      <w:marBottom w:val="10"/>
      <w:divBdr>
        <w:top w:val="none" w:sz="0" w:space="0" w:color="auto"/>
        <w:left w:val="none" w:sz="0" w:space="0" w:color="auto"/>
        <w:bottom w:val="none" w:sz="0" w:space="0" w:color="auto"/>
        <w:right w:val="none" w:sz="0" w:space="0" w:color="auto"/>
      </w:divBdr>
    </w:div>
    <w:div w:id="207498141">
      <w:marLeft w:val="0"/>
      <w:marRight w:val="0"/>
      <w:marTop w:val="10"/>
      <w:marBottom w:val="10"/>
      <w:divBdr>
        <w:top w:val="none" w:sz="0" w:space="0" w:color="auto"/>
        <w:left w:val="none" w:sz="0" w:space="0" w:color="auto"/>
        <w:bottom w:val="none" w:sz="0" w:space="0" w:color="auto"/>
        <w:right w:val="none" w:sz="0" w:space="0" w:color="auto"/>
      </w:divBdr>
    </w:div>
    <w:div w:id="239141605">
      <w:marLeft w:val="0"/>
      <w:marRight w:val="0"/>
      <w:marTop w:val="10"/>
      <w:marBottom w:val="10"/>
      <w:divBdr>
        <w:top w:val="none" w:sz="0" w:space="0" w:color="auto"/>
        <w:left w:val="none" w:sz="0" w:space="0" w:color="auto"/>
        <w:bottom w:val="none" w:sz="0" w:space="0" w:color="auto"/>
        <w:right w:val="none" w:sz="0" w:space="0" w:color="auto"/>
      </w:divBdr>
    </w:div>
    <w:div w:id="262341439">
      <w:marLeft w:val="0"/>
      <w:marRight w:val="0"/>
      <w:marTop w:val="10"/>
      <w:marBottom w:val="10"/>
      <w:divBdr>
        <w:top w:val="none" w:sz="0" w:space="0" w:color="auto"/>
        <w:left w:val="none" w:sz="0" w:space="0" w:color="auto"/>
        <w:bottom w:val="none" w:sz="0" w:space="0" w:color="auto"/>
        <w:right w:val="none" w:sz="0" w:space="0" w:color="auto"/>
      </w:divBdr>
    </w:div>
    <w:div w:id="268781367">
      <w:marLeft w:val="0"/>
      <w:marRight w:val="720"/>
      <w:marTop w:val="10"/>
      <w:marBottom w:val="10"/>
      <w:divBdr>
        <w:top w:val="none" w:sz="0" w:space="0" w:color="auto"/>
        <w:left w:val="none" w:sz="0" w:space="0" w:color="auto"/>
        <w:bottom w:val="none" w:sz="0" w:space="0" w:color="auto"/>
        <w:right w:val="none" w:sz="0" w:space="0" w:color="auto"/>
      </w:divBdr>
    </w:div>
    <w:div w:id="371419697">
      <w:marLeft w:val="0"/>
      <w:marRight w:val="0"/>
      <w:marTop w:val="10"/>
      <w:marBottom w:val="10"/>
      <w:divBdr>
        <w:top w:val="none" w:sz="0" w:space="0" w:color="auto"/>
        <w:left w:val="none" w:sz="0" w:space="0" w:color="auto"/>
        <w:bottom w:val="none" w:sz="0" w:space="0" w:color="auto"/>
        <w:right w:val="none" w:sz="0" w:space="0" w:color="auto"/>
      </w:divBdr>
    </w:div>
    <w:div w:id="388306974">
      <w:marLeft w:val="0"/>
      <w:marRight w:val="0"/>
      <w:marTop w:val="10"/>
      <w:marBottom w:val="10"/>
      <w:divBdr>
        <w:top w:val="none" w:sz="0" w:space="0" w:color="auto"/>
        <w:left w:val="none" w:sz="0" w:space="0" w:color="auto"/>
        <w:bottom w:val="none" w:sz="0" w:space="0" w:color="auto"/>
        <w:right w:val="none" w:sz="0" w:space="0" w:color="auto"/>
      </w:divBdr>
    </w:div>
    <w:div w:id="400294057">
      <w:marLeft w:val="0"/>
      <w:marRight w:val="0"/>
      <w:marTop w:val="10"/>
      <w:marBottom w:val="10"/>
      <w:divBdr>
        <w:top w:val="none" w:sz="0" w:space="0" w:color="auto"/>
        <w:left w:val="none" w:sz="0" w:space="0" w:color="auto"/>
        <w:bottom w:val="none" w:sz="0" w:space="0" w:color="auto"/>
        <w:right w:val="none" w:sz="0" w:space="0" w:color="auto"/>
      </w:divBdr>
    </w:div>
    <w:div w:id="413287939">
      <w:marLeft w:val="0"/>
      <w:marRight w:val="0"/>
      <w:marTop w:val="10"/>
      <w:marBottom w:val="10"/>
      <w:divBdr>
        <w:top w:val="none" w:sz="0" w:space="0" w:color="auto"/>
        <w:left w:val="none" w:sz="0" w:space="0" w:color="auto"/>
        <w:bottom w:val="none" w:sz="0" w:space="0" w:color="auto"/>
        <w:right w:val="none" w:sz="0" w:space="0" w:color="auto"/>
      </w:divBdr>
    </w:div>
    <w:div w:id="502820105">
      <w:marLeft w:val="0"/>
      <w:marRight w:val="0"/>
      <w:marTop w:val="10"/>
      <w:marBottom w:val="10"/>
      <w:divBdr>
        <w:top w:val="none" w:sz="0" w:space="0" w:color="auto"/>
        <w:left w:val="none" w:sz="0" w:space="0" w:color="auto"/>
        <w:bottom w:val="none" w:sz="0" w:space="0" w:color="auto"/>
        <w:right w:val="none" w:sz="0" w:space="0" w:color="auto"/>
      </w:divBdr>
    </w:div>
    <w:div w:id="570769311">
      <w:marLeft w:val="0"/>
      <w:marRight w:val="720"/>
      <w:marTop w:val="10"/>
      <w:marBottom w:val="10"/>
      <w:divBdr>
        <w:top w:val="none" w:sz="0" w:space="0" w:color="auto"/>
        <w:left w:val="none" w:sz="0" w:space="0" w:color="auto"/>
        <w:bottom w:val="none" w:sz="0" w:space="0" w:color="auto"/>
        <w:right w:val="none" w:sz="0" w:space="0" w:color="auto"/>
      </w:divBdr>
    </w:div>
    <w:div w:id="570846560">
      <w:marLeft w:val="0"/>
      <w:marRight w:val="0"/>
      <w:marTop w:val="10"/>
      <w:marBottom w:val="10"/>
      <w:divBdr>
        <w:top w:val="none" w:sz="0" w:space="0" w:color="auto"/>
        <w:left w:val="none" w:sz="0" w:space="0" w:color="auto"/>
        <w:bottom w:val="none" w:sz="0" w:space="0" w:color="auto"/>
        <w:right w:val="none" w:sz="0" w:space="0" w:color="auto"/>
      </w:divBdr>
    </w:div>
    <w:div w:id="647710269">
      <w:marLeft w:val="0"/>
      <w:marRight w:val="0"/>
      <w:marTop w:val="10"/>
      <w:marBottom w:val="10"/>
      <w:divBdr>
        <w:top w:val="none" w:sz="0" w:space="0" w:color="auto"/>
        <w:left w:val="none" w:sz="0" w:space="0" w:color="auto"/>
        <w:bottom w:val="none" w:sz="0" w:space="0" w:color="auto"/>
        <w:right w:val="none" w:sz="0" w:space="0" w:color="auto"/>
      </w:divBdr>
    </w:div>
    <w:div w:id="658919942">
      <w:marLeft w:val="0"/>
      <w:marRight w:val="0"/>
      <w:marTop w:val="10"/>
      <w:marBottom w:val="10"/>
      <w:divBdr>
        <w:top w:val="none" w:sz="0" w:space="0" w:color="auto"/>
        <w:left w:val="none" w:sz="0" w:space="0" w:color="auto"/>
        <w:bottom w:val="none" w:sz="0" w:space="0" w:color="auto"/>
        <w:right w:val="none" w:sz="0" w:space="0" w:color="auto"/>
      </w:divBdr>
    </w:div>
    <w:div w:id="667713225">
      <w:marLeft w:val="0"/>
      <w:marRight w:val="0"/>
      <w:marTop w:val="10"/>
      <w:marBottom w:val="10"/>
      <w:divBdr>
        <w:top w:val="none" w:sz="0" w:space="0" w:color="auto"/>
        <w:left w:val="none" w:sz="0" w:space="0" w:color="auto"/>
        <w:bottom w:val="none" w:sz="0" w:space="0" w:color="auto"/>
        <w:right w:val="none" w:sz="0" w:space="0" w:color="auto"/>
      </w:divBdr>
    </w:div>
    <w:div w:id="744837147">
      <w:marLeft w:val="0"/>
      <w:marRight w:val="0"/>
      <w:marTop w:val="10"/>
      <w:marBottom w:val="10"/>
      <w:divBdr>
        <w:top w:val="none" w:sz="0" w:space="0" w:color="auto"/>
        <w:left w:val="none" w:sz="0" w:space="0" w:color="auto"/>
        <w:bottom w:val="none" w:sz="0" w:space="0" w:color="auto"/>
        <w:right w:val="none" w:sz="0" w:space="0" w:color="auto"/>
      </w:divBdr>
    </w:div>
    <w:div w:id="785999532">
      <w:marLeft w:val="0"/>
      <w:marRight w:val="0"/>
      <w:marTop w:val="10"/>
      <w:marBottom w:val="10"/>
      <w:divBdr>
        <w:top w:val="none" w:sz="0" w:space="0" w:color="auto"/>
        <w:left w:val="none" w:sz="0" w:space="0" w:color="auto"/>
        <w:bottom w:val="none" w:sz="0" w:space="0" w:color="auto"/>
        <w:right w:val="none" w:sz="0" w:space="0" w:color="auto"/>
      </w:divBdr>
    </w:div>
    <w:div w:id="828595014">
      <w:marLeft w:val="0"/>
      <w:marRight w:val="0"/>
      <w:marTop w:val="10"/>
      <w:marBottom w:val="10"/>
      <w:divBdr>
        <w:top w:val="none" w:sz="0" w:space="0" w:color="auto"/>
        <w:left w:val="none" w:sz="0" w:space="0" w:color="auto"/>
        <w:bottom w:val="none" w:sz="0" w:space="0" w:color="auto"/>
        <w:right w:val="none" w:sz="0" w:space="0" w:color="auto"/>
      </w:divBdr>
    </w:div>
    <w:div w:id="846289595">
      <w:marLeft w:val="0"/>
      <w:marRight w:val="0"/>
      <w:marTop w:val="10"/>
      <w:marBottom w:val="10"/>
      <w:divBdr>
        <w:top w:val="none" w:sz="0" w:space="0" w:color="auto"/>
        <w:left w:val="none" w:sz="0" w:space="0" w:color="auto"/>
        <w:bottom w:val="none" w:sz="0" w:space="0" w:color="auto"/>
        <w:right w:val="none" w:sz="0" w:space="0" w:color="auto"/>
      </w:divBdr>
    </w:div>
    <w:div w:id="851144097">
      <w:marLeft w:val="0"/>
      <w:marRight w:val="0"/>
      <w:marTop w:val="10"/>
      <w:marBottom w:val="10"/>
      <w:divBdr>
        <w:top w:val="none" w:sz="0" w:space="0" w:color="auto"/>
        <w:left w:val="none" w:sz="0" w:space="0" w:color="auto"/>
        <w:bottom w:val="none" w:sz="0" w:space="0" w:color="auto"/>
        <w:right w:val="none" w:sz="0" w:space="0" w:color="auto"/>
      </w:divBdr>
    </w:div>
    <w:div w:id="855198488">
      <w:marLeft w:val="0"/>
      <w:marRight w:val="0"/>
      <w:marTop w:val="10"/>
      <w:marBottom w:val="10"/>
      <w:divBdr>
        <w:top w:val="none" w:sz="0" w:space="0" w:color="auto"/>
        <w:left w:val="none" w:sz="0" w:space="0" w:color="auto"/>
        <w:bottom w:val="none" w:sz="0" w:space="0" w:color="auto"/>
        <w:right w:val="none" w:sz="0" w:space="0" w:color="auto"/>
      </w:divBdr>
    </w:div>
    <w:div w:id="875849803">
      <w:marLeft w:val="0"/>
      <w:marRight w:val="0"/>
      <w:marTop w:val="10"/>
      <w:marBottom w:val="10"/>
      <w:divBdr>
        <w:top w:val="none" w:sz="0" w:space="0" w:color="auto"/>
        <w:left w:val="none" w:sz="0" w:space="0" w:color="auto"/>
        <w:bottom w:val="none" w:sz="0" w:space="0" w:color="auto"/>
        <w:right w:val="none" w:sz="0" w:space="0" w:color="auto"/>
      </w:divBdr>
    </w:div>
    <w:div w:id="914978220">
      <w:marLeft w:val="0"/>
      <w:marRight w:val="0"/>
      <w:marTop w:val="10"/>
      <w:marBottom w:val="10"/>
      <w:divBdr>
        <w:top w:val="none" w:sz="0" w:space="0" w:color="auto"/>
        <w:left w:val="none" w:sz="0" w:space="0" w:color="auto"/>
        <w:bottom w:val="none" w:sz="0" w:space="0" w:color="auto"/>
        <w:right w:val="none" w:sz="0" w:space="0" w:color="auto"/>
      </w:divBdr>
    </w:div>
    <w:div w:id="926157153">
      <w:marLeft w:val="0"/>
      <w:marRight w:val="0"/>
      <w:marTop w:val="10"/>
      <w:marBottom w:val="10"/>
      <w:divBdr>
        <w:top w:val="none" w:sz="0" w:space="0" w:color="auto"/>
        <w:left w:val="none" w:sz="0" w:space="0" w:color="auto"/>
        <w:bottom w:val="none" w:sz="0" w:space="0" w:color="auto"/>
        <w:right w:val="none" w:sz="0" w:space="0" w:color="auto"/>
      </w:divBdr>
    </w:div>
    <w:div w:id="931166526">
      <w:marLeft w:val="0"/>
      <w:marRight w:val="0"/>
      <w:marTop w:val="10"/>
      <w:marBottom w:val="10"/>
      <w:divBdr>
        <w:top w:val="none" w:sz="0" w:space="0" w:color="auto"/>
        <w:left w:val="none" w:sz="0" w:space="0" w:color="auto"/>
        <w:bottom w:val="none" w:sz="0" w:space="0" w:color="auto"/>
        <w:right w:val="none" w:sz="0" w:space="0" w:color="auto"/>
      </w:divBdr>
    </w:div>
    <w:div w:id="943806718">
      <w:marLeft w:val="0"/>
      <w:marRight w:val="0"/>
      <w:marTop w:val="10"/>
      <w:marBottom w:val="10"/>
      <w:divBdr>
        <w:top w:val="none" w:sz="0" w:space="0" w:color="auto"/>
        <w:left w:val="none" w:sz="0" w:space="0" w:color="auto"/>
        <w:bottom w:val="none" w:sz="0" w:space="0" w:color="auto"/>
        <w:right w:val="none" w:sz="0" w:space="0" w:color="auto"/>
      </w:divBdr>
    </w:div>
    <w:div w:id="1031878729">
      <w:marLeft w:val="0"/>
      <w:marRight w:val="0"/>
      <w:marTop w:val="10"/>
      <w:marBottom w:val="10"/>
      <w:divBdr>
        <w:top w:val="none" w:sz="0" w:space="0" w:color="auto"/>
        <w:left w:val="none" w:sz="0" w:space="0" w:color="auto"/>
        <w:bottom w:val="none" w:sz="0" w:space="0" w:color="auto"/>
        <w:right w:val="none" w:sz="0" w:space="0" w:color="auto"/>
      </w:divBdr>
    </w:div>
    <w:div w:id="1037201958">
      <w:marLeft w:val="0"/>
      <w:marRight w:val="0"/>
      <w:marTop w:val="10"/>
      <w:marBottom w:val="10"/>
      <w:divBdr>
        <w:top w:val="none" w:sz="0" w:space="0" w:color="auto"/>
        <w:left w:val="none" w:sz="0" w:space="0" w:color="auto"/>
        <w:bottom w:val="none" w:sz="0" w:space="0" w:color="auto"/>
        <w:right w:val="none" w:sz="0" w:space="0" w:color="auto"/>
      </w:divBdr>
    </w:div>
    <w:div w:id="1061173924">
      <w:marLeft w:val="0"/>
      <w:marRight w:val="0"/>
      <w:marTop w:val="10"/>
      <w:marBottom w:val="10"/>
      <w:divBdr>
        <w:top w:val="none" w:sz="0" w:space="0" w:color="auto"/>
        <w:left w:val="none" w:sz="0" w:space="0" w:color="auto"/>
        <w:bottom w:val="none" w:sz="0" w:space="0" w:color="auto"/>
        <w:right w:val="none" w:sz="0" w:space="0" w:color="auto"/>
      </w:divBdr>
    </w:div>
    <w:div w:id="1068649109">
      <w:marLeft w:val="0"/>
      <w:marRight w:val="0"/>
      <w:marTop w:val="10"/>
      <w:marBottom w:val="10"/>
      <w:divBdr>
        <w:top w:val="none" w:sz="0" w:space="0" w:color="auto"/>
        <w:left w:val="none" w:sz="0" w:space="0" w:color="auto"/>
        <w:bottom w:val="none" w:sz="0" w:space="0" w:color="auto"/>
        <w:right w:val="none" w:sz="0" w:space="0" w:color="auto"/>
      </w:divBdr>
    </w:div>
    <w:div w:id="1069621500">
      <w:marLeft w:val="0"/>
      <w:marRight w:val="0"/>
      <w:marTop w:val="10"/>
      <w:marBottom w:val="10"/>
      <w:divBdr>
        <w:top w:val="none" w:sz="0" w:space="0" w:color="auto"/>
        <w:left w:val="none" w:sz="0" w:space="0" w:color="auto"/>
        <w:bottom w:val="none" w:sz="0" w:space="0" w:color="auto"/>
        <w:right w:val="none" w:sz="0" w:space="0" w:color="auto"/>
      </w:divBdr>
    </w:div>
    <w:div w:id="1089038317">
      <w:marLeft w:val="0"/>
      <w:marRight w:val="0"/>
      <w:marTop w:val="10"/>
      <w:marBottom w:val="10"/>
      <w:divBdr>
        <w:top w:val="none" w:sz="0" w:space="0" w:color="auto"/>
        <w:left w:val="none" w:sz="0" w:space="0" w:color="auto"/>
        <w:bottom w:val="none" w:sz="0" w:space="0" w:color="auto"/>
        <w:right w:val="none" w:sz="0" w:space="0" w:color="auto"/>
      </w:divBdr>
    </w:div>
    <w:div w:id="1109011390">
      <w:marLeft w:val="0"/>
      <w:marRight w:val="0"/>
      <w:marTop w:val="10"/>
      <w:marBottom w:val="10"/>
      <w:divBdr>
        <w:top w:val="none" w:sz="0" w:space="0" w:color="auto"/>
        <w:left w:val="none" w:sz="0" w:space="0" w:color="auto"/>
        <w:bottom w:val="none" w:sz="0" w:space="0" w:color="auto"/>
        <w:right w:val="none" w:sz="0" w:space="0" w:color="auto"/>
      </w:divBdr>
    </w:div>
    <w:div w:id="1112549383">
      <w:marLeft w:val="0"/>
      <w:marRight w:val="0"/>
      <w:marTop w:val="10"/>
      <w:marBottom w:val="10"/>
      <w:divBdr>
        <w:top w:val="none" w:sz="0" w:space="0" w:color="auto"/>
        <w:left w:val="none" w:sz="0" w:space="0" w:color="auto"/>
        <w:bottom w:val="none" w:sz="0" w:space="0" w:color="auto"/>
        <w:right w:val="none" w:sz="0" w:space="0" w:color="auto"/>
      </w:divBdr>
    </w:div>
    <w:div w:id="1131903368">
      <w:marLeft w:val="0"/>
      <w:marRight w:val="0"/>
      <w:marTop w:val="10"/>
      <w:marBottom w:val="10"/>
      <w:divBdr>
        <w:top w:val="none" w:sz="0" w:space="0" w:color="auto"/>
        <w:left w:val="none" w:sz="0" w:space="0" w:color="auto"/>
        <w:bottom w:val="none" w:sz="0" w:space="0" w:color="auto"/>
        <w:right w:val="none" w:sz="0" w:space="0" w:color="auto"/>
      </w:divBdr>
    </w:div>
    <w:div w:id="1145389047">
      <w:marLeft w:val="0"/>
      <w:marRight w:val="0"/>
      <w:marTop w:val="10"/>
      <w:marBottom w:val="10"/>
      <w:divBdr>
        <w:top w:val="none" w:sz="0" w:space="0" w:color="auto"/>
        <w:left w:val="none" w:sz="0" w:space="0" w:color="auto"/>
        <w:bottom w:val="none" w:sz="0" w:space="0" w:color="auto"/>
        <w:right w:val="none" w:sz="0" w:space="0" w:color="auto"/>
      </w:divBdr>
    </w:div>
    <w:div w:id="1151143553">
      <w:marLeft w:val="0"/>
      <w:marRight w:val="0"/>
      <w:marTop w:val="10"/>
      <w:marBottom w:val="10"/>
      <w:divBdr>
        <w:top w:val="none" w:sz="0" w:space="0" w:color="auto"/>
        <w:left w:val="none" w:sz="0" w:space="0" w:color="auto"/>
        <w:bottom w:val="none" w:sz="0" w:space="0" w:color="auto"/>
        <w:right w:val="none" w:sz="0" w:space="0" w:color="auto"/>
      </w:divBdr>
    </w:div>
    <w:div w:id="1183279493">
      <w:marLeft w:val="0"/>
      <w:marRight w:val="0"/>
      <w:marTop w:val="10"/>
      <w:marBottom w:val="10"/>
      <w:divBdr>
        <w:top w:val="none" w:sz="0" w:space="0" w:color="auto"/>
        <w:left w:val="none" w:sz="0" w:space="0" w:color="auto"/>
        <w:bottom w:val="none" w:sz="0" w:space="0" w:color="auto"/>
        <w:right w:val="none" w:sz="0" w:space="0" w:color="auto"/>
      </w:divBdr>
    </w:div>
    <w:div w:id="1282689590">
      <w:marLeft w:val="0"/>
      <w:marRight w:val="0"/>
      <w:marTop w:val="10"/>
      <w:marBottom w:val="10"/>
      <w:divBdr>
        <w:top w:val="none" w:sz="0" w:space="0" w:color="auto"/>
        <w:left w:val="none" w:sz="0" w:space="0" w:color="auto"/>
        <w:bottom w:val="none" w:sz="0" w:space="0" w:color="auto"/>
        <w:right w:val="none" w:sz="0" w:space="0" w:color="auto"/>
      </w:divBdr>
    </w:div>
    <w:div w:id="1289896338">
      <w:marLeft w:val="0"/>
      <w:marRight w:val="0"/>
      <w:marTop w:val="10"/>
      <w:marBottom w:val="10"/>
      <w:divBdr>
        <w:top w:val="none" w:sz="0" w:space="0" w:color="auto"/>
        <w:left w:val="none" w:sz="0" w:space="0" w:color="auto"/>
        <w:bottom w:val="none" w:sz="0" w:space="0" w:color="auto"/>
        <w:right w:val="none" w:sz="0" w:space="0" w:color="auto"/>
      </w:divBdr>
    </w:div>
    <w:div w:id="1292402577">
      <w:marLeft w:val="0"/>
      <w:marRight w:val="0"/>
      <w:marTop w:val="10"/>
      <w:marBottom w:val="10"/>
      <w:divBdr>
        <w:top w:val="none" w:sz="0" w:space="0" w:color="auto"/>
        <w:left w:val="none" w:sz="0" w:space="0" w:color="auto"/>
        <w:bottom w:val="none" w:sz="0" w:space="0" w:color="auto"/>
        <w:right w:val="none" w:sz="0" w:space="0" w:color="auto"/>
      </w:divBdr>
    </w:div>
    <w:div w:id="1310479954">
      <w:marLeft w:val="0"/>
      <w:marRight w:val="0"/>
      <w:marTop w:val="10"/>
      <w:marBottom w:val="10"/>
      <w:divBdr>
        <w:top w:val="none" w:sz="0" w:space="0" w:color="auto"/>
        <w:left w:val="none" w:sz="0" w:space="0" w:color="auto"/>
        <w:bottom w:val="none" w:sz="0" w:space="0" w:color="auto"/>
        <w:right w:val="none" w:sz="0" w:space="0" w:color="auto"/>
      </w:divBdr>
    </w:div>
    <w:div w:id="1336810400">
      <w:marLeft w:val="0"/>
      <w:marRight w:val="0"/>
      <w:marTop w:val="10"/>
      <w:marBottom w:val="10"/>
      <w:divBdr>
        <w:top w:val="none" w:sz="0" w:space="0" w:color="auto"/>
        <w:left w:val="none" w:sz="0" w:space="0" w:color="auto"/>
        <w:bottom w:val="none" w:sz="0" w:space="0" w:color="auto"/>
        <w:right w:val="none" w:sz="0" w:space="0" w:color="auto"/>
      </w:divBdr>
    </w:div>
    <w:div w:id="1416240195">
      <w:marLeft w:val="0"/>
      <w:marRight w:val="0"/>
      <w:marTop w:val="10"/>
      <w:marBottom w:val="10"/>
      <w:divBdr>
        <w:top w:val="none" w:sz="0" w:space="0" w:color="auto"/>
        <w:left w:val="none" w:sz="0" w:space="0" w:color="auto"/>
        <w:bottom w:val="none" w:sz="0" w:space="0" w:color="auto"/>
        <w:right w:val="none" w:sz="0" w:space="0" w:color="auto"/>
      </w:divBdr>
    </w:div>
    <w:div w:id="1417357664">
      <w:marLeft w:val="0"/>
      <w:marRight w:val="0"/>
      <w:marTop w:val="10"/>
      <w:marBottom w:val="10"/>
      <w:divBdr>
        <w:top w:val="none" w:sz="0" w:space="0" w:color="auto"/>
        <w:left w:val="none" w:sz="0" w:space="0" w:color="auto"/>
        <w:bottom w:val="none" w:sz="0" w:space="0" w:color="auto"/>
        <w:right w:val="none" w:sz="0" w:space="0" w:color="auto"/>
      </w:divBdr>
    </w:div>
    <w:div w:id="1459684734">
      <w:marLeft w:val="0"/>
      <w:marRight w:val="0"/>
      <w:marTop w:val="10"/>
      <w:marBottom w:val="10"/>
      <w:divBdr>
        <w:top w:val="none" w:sz="0" w:space="0" w:color="auto"/>
        <w:left w:val="none" w:sz="0" w:space="0" w:color="auto"/>
        <w:bottom w:val="none" w:sz="0" w:space="0" w:color="auto"/>
        <w:right w:val="none" w:sz="0" w:space="0" w:color="auto"/>
      </w:divBdr>
    </w:div>
    <w:div w:id="1469933600">
      <w:marLeft w:val="0"/>
      <w:marRight w:val="0"/>
      <w:marTop w:val="10"/>
      <w:marBottom w:val="10"/>
      <w:divBdr>
        <w:top w:val="none" w:sz="0" w:space="0" w:color="auto"/>
        <w:left w:val="none" w:sz="0" w:space="0" w:color="auto"/>
        <w:bottom w:val="none" w:sz="0" w:space="0" w:color="auto"/>
        <w:right w:val="none" w:sz="0" w:space="0" w:color="auto"/>
      </w:divBdr>
    </w:div>
    <w:div w:id="1487473770">
      <w:marLeft w:val="0"/>
      <w:marRight w:val="0"/>
      <w:marTop w:val="10"/>
      <w:marBottom w:val="10"/>
      <w:divBdr>
        <w:top w:val="none" w:sz="0" w:space="0" w:color="auto"/>
        <w:left w:val="none" w:sz="0" w:space="0" w:color="auto"/>
        <w:bottom w:val="none" w:sz="0" w:space="0" w:color="auto"/>
        <w:right w:val="none" w:sz="0" w:space="0" w:color="auto"/>
      </w:divBdr>
    </w:div>
    <w:div w:id="1544098969">
      <w:marLeft w:val="0"/>
      <w:marRight w:val="720"/>
      <w:marTop w:val="10"/>
      <w:marBottom w:val="10"/>
      <w:divBdr>
        <w:top w:val="none" w:sz="0" w:space="0" w:color="auto"/>
        <w:left w:val="none" w:sz="0" w:space="0" w:color="auto"/>
        <w:bottom w:val="none" w:sz="0" w:space="0" w:color="auto"/>
        <w:right w:val="none" w:sz="0" w:space="0" w:color="auto"/>
      </w:divBdr>
    </w:div>
    <w:div w:id="1555388094">
      <w:marLeft w:val="0"/>
      <w:marRight w:val="0"/>
      <w:marTop w:val="10"/>
      <w:marBottom w:val="10"/>
      <w:divBdr>
        <w:top w:val="none" w:sz="0" w:space="0" w:color="auto"/>
        <w:left w:val="none" w:sz="0" w:space="0" w:color="auto"/>
        <w:bottom w:val="none" w:sz="0" w:space="0" w:color="auto"/>
        <w:right w:val="none" w:sz="0" w:space="0" w:color="auto"/>
      </w:divBdr>
    </w:div>
    <w:div w:id="1612274045">
      <w:marLeft w:val="0"/>
      <w:marRight w:val="0"/>
      <w:marTop w:val="10"/>
      <w:marBottom w:val="10"/>
      <w:divBdr>
        <w:top w:val="none" w:sz="0" w:space="0" w:color="auto"/>
        <w:left w:val="none" w:sz="0" w:space="0" w:color="auto"/>
        <w:bottom w:val="none" w:sz="0" w:space="0" w:color="auto"/>
        <w:right w:val="none" w:sz="0" w:space="0" w:color="auto"/>
      </w:divBdr>
    </w:div>
    <w:div w:id="1629239902">
      <w:marLeft w:val="0"/>
      <w:marRight w:val="0"/>
      <w:marTop w:val="10"/>
      <w:marBottom w:val="10"/>
      <w:divBdr>
        <w:top w:val="none" w:sz="0" w:space="0" w:color="auto"/>
        <w:left w:val="none" w:sz="0" w:space="0" w:color="auto"/>
        <w:bottom w:val="none" w:sz="0" w:space="0" w:color="auto"/>
        <w:right w:val="none" w:sz="0" w:space="0" w:color="auto"/>
      </w:divBdr>
    </w:div>
    <w:div w:id="1661036027">
      <w:marLeft w:val="0"/>
      <w:marRight w:val="0"/>
      <w:marTop w:val="10"/>
      <w:marBottom w:val="10"/>
      <w:divBdr>
        <w:top w:val="none" w:sz="0" w:space="0" w:color="auto"/>
        <w:left w:val="none" w:sz="0" w:space="0" w:color="auto"/>
        <w:bottom w:val="none" w:sz="0" w:space="0" w:color="auto"/>
        <w:right w:val="none" w:sz="0" w:space="0" w:color="auto"/>
      </w:divBdr>
    </w:div>
    <w:div w:id="1681395775">
      <w:marLeft w:val="0"/>
      <w:marRight w:val="0"/>
      <w:marTop w:val="10"/>
      <w:marBottom w:val="10"/>
      <w:divBdr>
        <w:top w:val="none" w:sz="0" w:space="0" w:color="auto"/>
        <w:left w:val="none" w:sz="0" w:space="0" w:color="auto"/>
        <w:bottom w:val="none" w:sz="0" w:space="0" w:color="auto"/>
        <w:right w:val="none" w:sz="0" w:space="0" w:color="auto"/>
      </w:divBdr>
    </w:div>
    <w:div w:id="1689526350">
      <w:marLeft w:val="0"/>
      <w:marRight w:val="0"/>
      <w:marTop w:val="10"/>
      <w:marBottom w:val="10"/>
      <w:divBdr>
        <w:top w:val="none" w:sz="0" w:space="0" w:color="auto"/>
        <w:left w:val="none" w:sz="0" w:space="0" w:color="auto"/>
        <w:bottom w:val="none" w:sz="0" w:space="0" w:color="auto"/>
        <w:right w:val="none" w:sz="0" w:space="0" w:color="auto"/>
      </w:divBdr>
    </w:div>
    <w:div w:id="1819491011">
      <w:marLeft w:val="0"/>
      <w:marRight w:val="0"/>
      <w:marTop w:val="10"/>
      <w:marBottom w:val="10"/>
      <w:divBdr>
        <w:top w:val="none" w:sz="0" w:space="0" w:color="auto"/>
        <w:left w:val="none" w:sz="0" w:space="0" w:color="auto"/>
        <w:bottom w:val="none" w:sz="0" w:space="0" w:color="auto"/>
        <w:right w:val="none" w:sz="0" w:space="0" w:color="auto"/>
      </w:divBdr>
    </w:div>
    <w:div w:id="1838571231">
      <w:marLeft w:val="0"/>
      <w:marRight w:val="0"/>
      <w:marTop w:val="10"/>
      <w:marBottom w:val="10"/>
      <w:divBdr>
        <w:top w:val="none" w:sz="0" w:space="0" w:color="auto"/>
        <w:left w:val="none" w:sz="0" w:space="0" w:color="auto"/>
        <w:bottom w:val="none" w:sz="0" w:space="0" w:color="auto"/>
        <w:right w:val="none" w:sz="0" w:space="0" w:color="auto"/>
      </w:divBdr>
    </w:div>
    <w:div w:id="1894736136">
      <w:marLeft w:val="0"/>
      <w:marRight w:val="720"/>
      <w:marTop w:val="10"/>
      <w:marBottom w:val="10"/>
      <w:divBdr>
        <w:top w:val="none" w:sz="0" w:space="0" w:color="auto"/>
        <w:left w:val="none" w:sz="0" w:space="0" w:color="auto"/>
        <w:bottom w:val="none" w:sz="0" w:space="0" w:color="auto"/>
        <w:right w:val="none" w:sz="0" w:space="0" w:color="auto"/>
      </w:divBdr>
    </w:div>
    <w:div w:id="1935244241">
      <w:marLeft w:val="0"/>
      <w:marRight w:val="0"/>
      <w:marTop w:val="10"/>
      <w:marBottom w:val="10"/>
      <w:divBdr>
        <w:top w:val="none" w:sz="0" w:space="0" w:color="auto"/>
        <w:left w:val="none" w:sz="0" w:space="0" w:color="auto"/>
        <w:bottom w:val="none" w:sz="0" w:space="0" w:color="auto"/>
        <w:right w:val="none" w:sz="0" w:space="0" w:color="auto"/>
      </w:divBdr>
    </w:div>
    <w:div w:id="1943301022">
      <w:marLeft w:val="0"/>
      <w:marRight w:val="0"/>
      <w:marTop w:val="10"/>
      <w:marBottom w:val="10"/>
      <w:divBdr>
        <w:top w:val="none" w:sz="0" w:space="0" w:color="auto"/>
        <w:left w:val="none" w:sz="0" w:space="0" w:color="auto"/>
        <w:bottom w:val="none" w:sz="0" w:space="0" w:color="auto"/>
        <w:right w:val="none" w:sz="0" w:space="0" w:color="auto"/>
      </w:divBdr>
    </w:div>
    <w:div w:id="1951811538">
      <w:marLeft w:val="0"/>
      <w:marRight w:val="0"/>
      <w:marTop w:val="10"/>
      <w:marBottom w:val="10"/>
      <w:divBdr>
        <w:top w:val="none" w:sz="0" w:space="0" w:color="auto"/>
        <w:left w:val="none" w:sz="0" w:space="0" w:color="auto"/>
        <w:bottom w:val="none" w:sz="0" w:space="0" w:color="auto"/>
        <w:right w:val="none" w:sz="0" w:space="0" w:color="auto"/>
      </w:divBdr>
    </w:div>
    <w:div w:id="1957520169">
      <w:marLeft w:val="0"/>
      <w:marRight w:val="0"/>
      <w:marTop w:val="10"/>
      <w:marBottom w:val="10"/>
      <w:divBdr>
        <w:top w:val="none" w:sz="0" w:space="0" w:color="auto"/>
        <w:left w:val="none" w:sz="0" w:space="0" w:color="auto"/>
        <w:bottom w:val="none" w:sz="0" w:space="0" w:color="auto"/>
        <w:right w:val="none" w:sz="0" w:space="0" w:color="auto"/>
      </w:divBdr>
    </w:div>
    <w:div w:id="2033797817">
      <w:marLeft w:val="0"/>
      <w:marRight w:val="0"/>
      <w:marTop w:val="10"/>
      <w:marBottom w:val="10"/>
      <w:divBdr>
        <w:top w:val="none" w:sz="0" w:space="0" w:color="auto"/>
        <w:left w:val="none" w:sz="0" w:space="0" w:color="auto"/>
        <w:bottom w:val="none" w:sz="0" w:space="0" w:color="auto"/>
        <w:right w:val="none" w:sz="0" w:space="0" w:color="auto"/>
      </w:divBdr>
    </w:div>
    <w:div w:id="2046633880">
      <w:marLeft w:val="0"/>
      <w:marRight w:val="0"/>
      <w:marTop w:val="10"/>
      <w:marBottom w:val="10"/>
      <w:divBdr>
        <w:top w:val="none" w:sz="0" w:space="0" w:color="auto"/>
        <w:left w:val="none" w:sz="0" w:space="0" w:color="auto"/>
        <w:bottom w:val="none" w:sz="0" w:space="0" w:color="auto"/>
        <w:right w:val="none" w:sz="0" w:space="0" w:color="auto"/>
      </w:divBdr>
    </w:div>
    <w:div w:id="213447055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