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3201E5">
      <w:pPr>
        <w:spacing w:line="500" w:lineRule="atLeast"/>
        <w:jc w:val="center"/>
        <w:divId w:val="978461274"/>
        <w:rPr>
          <w:rFonts w:ascii="黑体" w:eastAsia="黑体" w:hAnsi="黑体"/>
          <w:sz w:val="36"/>
          <w:szCs w:val="36"/>
        </w:rPr>
      </w:pPr>
      <w:bookmarkStart w:id="0" w:name="_GoBack"/>
      <w:bookmarkEnd w:id="0"/>
      <w:r>
        <w:rPr>
          <w:rFonts w:ascii="黑体" w:eastAsia="黑体" w:hAnsi="黑体" w:hint="eastAsia"/>
          <w:sz w:val="36"/>
          <w:szCs w:val="36"/>
        </w:rPr>
        <w:t>贵州省遵义市中级人民法院</w:t>
      </w:r>
    </w:p>
    <w:p w:rsidR="00000000" w:rsidRDefault="003201E5">
      <w:pPr>
        <w:spacing w:line="500" w:lineRule="atLeast"/>
        <w:jc w:val="center"/>
        <w:divId w:val="194657599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3201E5">
      <w:pPr>
        <w:spacing w:line="500" w:lineRule="atLeast"/>
        <w:jc w:val="right"/>
        <w:divId w:val="1234119007"/>
        <w:rPr>
          <w:rFonts w:hint="eastAsia"/>
          <w:sz w:val="30"/>
          <w:szCs w:val="30"/>
        </w:rPr>
      </w:pPr>
      <w:r>
        <w:rPr>
          <w:rFonts w:hint="eastAsia"/>
          <w:sz w:val="30"/>
          <w:szCs w:val="30"/>
        </w:rPr>
        <w:t>（</w:t>
      </w:r>
      <w:r>
        <w:rPr>
          <w:rFonts w:hint="eastAsia"/>
          <w:sz w:val="30"/>
          <w:szCs w:val="30"/>
        </w:rPr>
        <w:t>2018</w:t>
      </w:r>
      <w:r>
        <w:rPr>
          <w:rFonts w:hint="eastAsia"/>
          <w:sz w:val="30"/>
          <w:szCs w:val="30"/>
        </w:rPr>
        <w:t>）黔</w:t>
      </w:r>
      <w:r>
        <w:rPr>
          <w:rFonts w:hint="eastAsia"/>
          <w:sz w:val="30"/>
          <w:szCs w:val="30"/>
        </w:rPr>
        <w:t>03</w:t>
      </w:r>
      <w:r>
        <w:rPr>
          <w:rFonts w:hint="eastAsia"/>
          <w:sz w:val="30"/>
          <w:szCs w:val="30"/>
        </w:rPr>
        <w:t>民终</w:t>
      </w:r>
      <w:r>
        <w:rPr>
          <w:rFonts w:hint="eastAsia"/>
          <w:sz w:val="30"/>
          <w:szCs w:val="30"/>
        </w:rPr>
        <w:t>4302</w:t>
      </w:r>
      <w:r>
        <w:rPr>
          <w:rFonts w:hint="eastAsia"/>
          <w:sz w:val="30"/>
          <w:szCs w:val="30"/>
        </w:rPr>
        <w:t>号</w:t>
      </w:r>
    </w:p>
    <w:p w:rsidR="00000000" w:rsidRDefault="003201E5">
      <w:pPr>
        <w:spacing w:line="500" w:lineRule="atLeast"/>
        <w:ind w:firstLine="600"/>
        <w:divId w:val="894894835"/>
        <w:rPr>
          <w:rFonts w:hint="eastAsia"/>
          <w:sz w:val="30"/>
          <w:szCs w:val="30"/>
        </w:rPr>
      </w:pPr>
      <w:r>
        <w:rPr>
          <w:rFonts w:hint="eastAsia"/>
          <w:sz w:val="30"/>
          <w:szCs w:val="30"/>
        </w:rPr>
        <w:t>上诉人（原审被告）：姜晓艳，遵义市人，住遵义市汇川区。</w:t>
      </w:r>
    </w:p>
    <w:p w:rsidR="00000000" w:rsidRDefault="003201E5">
      <w:pPr>
        <w:spacing w:line="500" w:lineRule="atLeast"/>
        <w:ind w:firstLine="600"/>
        <w:divId w:val="843857692"/>
        <w:rPr>
          <w:rFonts w:hint="eastAsia"/>
          <w:sz w:val="30"/>
          <w:szCs w:val="30"/>
        </w:rPr>
      </w:pPr>
      <w:r>
        <w:rPr>
          <w:rFonts w:hint="eastAsia"/>
          <w:sz w:val="30"/>
          <w:szCs w:val="30"/>
        </w:rPr>
        <w:t>委托诉讼代理人：胡良刚，贵州子尹律师事务所律师。</w:t>
      </w:r>
    </w:p>
    <w:p w:rsidR="00000000" w:rsidRDefault="003201E5">
      <w:pPr>
        <w:spacing w:line="500" w:lineRule="atLeast"/>
        <w:ind w:firstLine="600"/>
        <w:divId w:val="984822368"/>
        <w:rPr>
          <w:rFonts w:hint="eastAsia"/>
          <w:sz w:val="30"/>
          <w:szCs w:val="30"/>
        </w:rPr>
      </w:pPr>
      <w:r>
        <w:rPr>
          <w:rFonts w:hint="eastAsia"/>
          <w:sz w:val="30"/>
          <w:szCs w:val="30"/>
        </w:rPr>
        <w:t>委托诉讼代理人：陈明武，贵州子尹律师事务所律师。</w:t>
      </w:r>
    </w:p>
    <w:p w:rsidR="00000000" w:rsidRDefault="003201E5">
      <w:pPr>
        <w:spacing w:line="500" w:lineRule="atLeast"/>
        <w:ind w:firstLine="600"/>
        <w:divId w:val="898596137"/>
        <w:rPr>
          <w:rFonts w:hint="eastAsia"/>
          <w:sz w:val="30"/>
          <w:szCs w:val="30"/>
        </w:rPr>
      </w:pPr>
      <w:r>
        <w:rPr>
          <w:rFonts w:hint="eastAsia"/>
          <w:sz w:val="30"/>
          <w:szCs w:val="30"/>
        </w:rPr>
        <w:t>被上诉人（原审原告）：吴静，遵义市人，住遵义市红花岗区。</w:t>
      </w:r>
    </w:p>
    <w:p w:rsidR="00000000" w:rsidRDefault="003201E5">
      <w:pPr>
        <w:spacing w:line="500" w:lineRule="atLeast"/>
        <w:ind w:firstLine="600"/>
        <w:divId w:val="984512523"/>
        <w:rPr>
          <w:rFonts w:hint="eastAsia"/>
          <w:sz w:val="30"/>
          <w:szCs w:val="30"/>
        </w:rPr>
      </w:pPr>
      <w:r>
        <w:rPr>
          <w:rFonts w:hint="eastAsia"/>
          <w:sz w:val="30"/>
          <w:szCs w:val="30"/>
        </w:rPr>
        <w:t>被上诉人（原审原告）：吴秋，遵义市人，住遵义市红花岗区。</w:t>
      </w:r>
    </w:p>
    <w:p w:rsidR="00000000" w:rsidRDefault="003201E5">
      <w:pPr>
        <w:spacing w:line="500" w:lineRule="atLeast"/>
        <w:ind w:firstLine="600"/>
        <w:divId w:val="1950819092"/>
        <w:rPr>
          <w:rFonts w:hint="eastAsia"/>
          <w:sz w:val="30"/>
          <w:szCs w:val="30"/>
        </w:rPr>
      </w:pPr>
      <w:r>
        <w:rPr>
          <w:rFonts w:hint="eastAsia"/>
          <w:sz w:val="30"/>
          <w:szCs w:val="30"/>
        </w:rPr>
        <w:t>原审被告：吴烨，遵义市人，住遵义市红花岗区。</w:t>
      </w:r>
    </w:p>
    <w:p w:rsidR="00000000" w:rsidRDefault="003201E5">
      <w:pPr>
        <w:spacing w:line="500" w:lineRule="atLeast"/>
        <w:ind w:firstLine="600"/>
        <w:divId w:val="1322469284"/>
        <w:rPr>
          <w:rFonts w:hint="eastAsia"/>
          <w:sz w:val="30"/>
          <w:szCs w:val="30"/>
        </w:rPr>
      </w:pPr>
      <w:r>
        <w:rPr>
          <w:rFonts w:hint="eastAsia"/>
          <w:sz w:val="30"/>
          <w:szCs w:val="30"/>
        </w:rPr>
        <w:t>原审被告：吴大辉，遵义市人，住遵义市红花岗区。</w:t>
      </w:r>
    </w:p>
    <w:p w:rsidR="00000000" w:rsidRDefault="003201E5">
      <w:pPr>
        <w:spacing w:line="500" w:lineRule="atLeast"/>
        <w:ind w:firstLine="600"/>
        <w:divId w:val="1899710191"/>
        <w:rPr>
          <w:rFonts w:hint="eastAsia"/>
          <w:sz w:val="30"/>
          <w:szCs w:val="30"/>
        </w:rPr>
      </w:pPr>
      <w:r>
        <w:rPr>
          <w:rFonts w:hint="eastAsia"/>
          <w:sz w:val="30"/>
          <w:szCs w:val="30"/>
        </w:rPr>
        <w:t>原审第三人：遵义市彩印厂。</w:t>
      </w:r>
    </w:p>
    <w:p w:rsidR="00000000" w:rsidRDefault="003201E5">
      <w:pPr>
        <w:spacing w:line="500" w:lineRule="atLeast"/>
        <w:ind w:firstLine="600"/>
        <w:divId w:val="1854148069"/>
        <w:rPr>
          <w:rFonts w:hint="eastAsia"/>
          <w:sz w:val="30"/>
          <w:szCs w:val="30"/>
        </w:rPr>
      </w:pPr>
      <w:r>
        <w:rPr>
          <w:rFonts w:hint="eastAsia"/>
          <w:sz w:val="30"/>
          <w:szCs w:val="30"/>
        </w:rPr>
        <w:t>法定代表人：陈颖，厂长。</w:t>
      </w:r>
    </w:p>
    <w:p w:rsidR="00000000" w:rsidRDefault="003201E5">
      <w:pPr>
        <w:spacing w:line="500" w:lineRule="atLeast"/>
        <w:ind w:firstLine="600"/>
        <w:divId w:val="672419283"/>
        <w:rPr>
          <w:rFonts w:hint="eastAsia"/>
          <w:sz w:val="30"/>
          <w:szCs w:val="30"/>
        </w:rPr>
      </w:pPr>
      <w:r>
        <w:rPr>
          <w:rFonts w:hint="eastAsia"/>
          <w:sz w:val="30"/>
          <w:szCs w:val="30"/>
        </w:rPr>
        <w:t>委托诉讼代理人：冯国益，副经理。</w:t>
      </w:r>
    </w:p>
    <w:p w:rsidR="00000000" w:rsidRDefault="003201E5">
      <w:pPr>
        <w:spacing w:line="500" w:lineRule="atLeast"/>
        <w:ind w:firstLine="600"/>
        <w:divId w:val="903947623"/>
        <w:rPr>
          <w:rFonts w:hint="eastAsia"/>
          <w:sz w:val="30"/>
          <w:szCs w:val="30"/>
        </w:rPr>
      </w:pPr>
      <w:r>
        <w:rPr>
          <w:rFonts w:hint="eastAsia"/>
          <w:sz w:val="30"/>
          <w:szCs w:val="30"/>
        </w:rPr>
        <w:t>委托诉讼代理人：肖世文，法律事务室主任。</w:t>
      </w:r>
    </w:p>
    <w:p w:rsidR="00000000" w:rsidRDefault="003201E5">
      <w:pPr>
        <w:spacing w:line="500" w:lineRule="atLeast"/>
        <w:ind w:firstLine="600"/>
        <w:divId w:val="1966036830"/>
        <w:rPr>
          <w:rFonts w:hint="eastAsia"/>
          <w:sz w:val="30"/>
          <w:szCs w:val="30"/>
        </w:rPr>
      </w:pPr>
      <w:r>
        <w:rPr>
          <w:rFonts w:hint="eastAsia"/>
          <w:sz w:val="30"/>
          <w:szCs w:val="30"/>
        </w:rPr>
        <w:t>原审第三人：遵义市国贸拍卖有限公司。</w:t>
      </w:r>
    </w:p>
    <w:p w:rsidR="00000000" w:rsidRDefault="003201E5">
      <w:pPr>
        <w:spacing w:line="500" w:lineRule="atLeast"/>
        <w:ind w:firstLine="600"/>
        <w:divId w:val="1644461337"/>
        <w:rPr>
          <w:rFonts w:hint="eastAsia"/>
          <w:sz w:val="30"/>
          <w:szCs w:val="30"/>
        </w:rPr>
      </w:pPr>
      <w:r>
        <w:rPr>
          <w:rFonts w:hint="eastAsia"/>
          <w:sz w:val="30"/>
          <w:szCs w:val="30"/>
        </w:rPr>
        <w:t>法定代表人：吴大辉，总经理。</w:t>
      </w:r>
    </w:p>
    <w:p w:rsidR="00000000" w:rsidRDefault="003201E5">
      <w:pPr>
        <w:spacing w:line="500" w:lineRule="atLeast"/>
        <w:ind w:firstLine="600"/>
        <w:divId w:val="1340355097"/>
        <w:rPr>
          <w:rFonts w:hint="eastAsia"/>
          <w:sz w:val="30"/>
          <w:szCs w:val="30"/>
        </w:rPr>
      </w:pPr>
      <w:r>
        <w:rPr>
          <w:rFonts w:hint="eastAsia"/>
          <w:sz w:val="30"/>
          <w:szCs w:val="30"/>
        </w:rPr>
        <w:t>上诉人姜晓艳因与被上诉人吴静、吴秋、原审被告吴烨、吴大辉以及原审第三人遵义市彩印厂、遵义市国贸拍卖有限公司（以下简称国贸拍卖公司）损害公司利益责任纠纷一案，不服贵州省遵义市红花岗区人民法院（</w:t>
      </w:r>
      <w:r>
        <w:rPr>
          <w:rFonts w:hint="eastAsia"/>
          <w:sz w:val="30"/>
          <w:szCs w:val="30"/>
        </w:rPr>
        <w:t>2017</w:t>
      </w:r>
      <w:r>
        <w:rPr>
          <w:rFonts w:hint="eastAsia"/>
          <w:sz w:val="30"/>
          <w:szCs w:val="30"/>
        </w:rPr>
        <w:t>）黔</w:t>
      </w:r>
      <w:r>
        <w:rPr>
          <w:rFonts w:hint="eastAsia"/>
          <w:sz w:val="30"/>
          <w:szCs w:val="30"/>
        </w:rPr>
        <w:t>0302</w:t>
      </w:r>
      <w:r>
        <w:rPr>
          <w:rFonts w:hint="eastAsia"/>
          <w:sz w:val="30"/>
          <w:szCs w:val="30"/>
        </w:rPr>
        <w:t>民初</w:t>
      </w:r>
      <w:r>
        <w:rPr>
          <w:rFonts w:hint="eastAsia"/>
          <w:sz w:val="30"/>
          <w:szCs w:val="30"/>
        </w:rPr>
        <w:t>9414</w:t>
      </w:r>
      <w:r>
        <w:rPr>
          <w:rFonts w:hint="eastAsia"/>
          <w:sz w:val="30"/>
          <w:szCs w:val="30"/>
        </w:rPr>
        <w:t>号民事判决，向本院提起上诉。本院于</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13</w:t>
      </w:r>
      <w:r>
        <w:rPr>
          <w:rFonts w:hint="eastAsia"/>
          <w:sz w:val="30"/>
          <w:szCs w:val="30"/>
        </w:rPr>
        <w:t>日立案后，依法组成合议庭进行了审理。本案现已审理终结。</w:t>
      </w:r>
    </w:p>
    <w:p w:rsidR="00000000" w:rsidRDefault="003201E5">
      <w:pPr>
        <w:spacing w:line="500" w:lineRule="atLeast"/>
        <w:ind w:firstLine="600"/>
        <w:divId w:val="190384552"/>
        <w:rPr>
          <w:rFonts w:hint="eastAsia"/>
          <w:sz w:val="30"/>
          <w:szCs w:val="30"/>
        </w:rPr>
      </w:pPr>
      <w:r>
        <w:rPr>
          <w:rFonts w:hint="eastAsia"/>
          <w:sz w:val="30"/>
          <w:szCs w:val="30"/>
        </w:rPr>
        <w:t>姜晓艳上诉请求：依法改判或发回重审。事</w:t>
      </w:r>
      <w:r>
        <w:rPr>
          <w:rFonts w:hint="eastAsia"/>
          <w:sz w:val="30"/>
          <w:szCs w:val="30"/>
        </w:rPr>
        <w:t>实和理由：一、一审判决认定事实不清。</w:t>
      </w:r>
      <w:r>
        <w:rPr>
          <w:rFonts w:hint="eastAsia"/>
          <w:sz w:val="30"/>
          <w:szCs w:val="30"/>
        </w:rPr>
        <w:t>1</w:t>
      </w:r>
      <w:r>
        <w:rPr>
          <w:rFonts w:hint="eastAsia"/>
          <w:sz w:val="30"/>
          <w:szCs w:val="30"/>
        </w:rPr>
        <w:t>、一审判决确认二被上诉人具有</w:t>
      </w:r>
      <w:r>
        <w:rPr>
          <w:rFonts w:hint="eastAsia"/>
          <w:sz w:val="30"/>
          <w:szCs w:val="30"/>
        </w:rPr>
        <w:lastRenderedPageBreak/>
        <w:t>诉讼主体资格错误。首先，拍卖属于特种行业，拍卖公司必须经商务主管部门审核后，才能在工商部门办理营业执照，并且还要有商务主管部门颁发的《拍卖经营批准证书》才能开展经营业务，其经营活动受商务主管部门的监督。其股东、法定代表人、注册资本等事项的变更必须经贵州省商务厅审核后，才能到工商登记主管部门办理变更登记。二被上诉人股东身份在工商部门登记的时间是</w:t>
      </w:r>
      <w:r>
        <w:rPr>
          <w:rFonts w:hint="eastAsia"/>
          <w:sz w:val="30"/>
          <w:szCs w:val="30"/>
        </w:rPr>
        <w:t>2012</w:t>
      </w:r>
      <w:r>
        <w:rPr>
          <w:rFonts w:hint="eastAsia"/>
          <w:sz w:val="30"/>
          <w:szCs w:val="30"/>
        </w:rPr>
        <w:t>年</w:t>
      </w:r>
      <w:r>
        <w:rPr>
          <w:rFonts w:hint="eastAsia"/>
          <w:sz w:val="30"/>
          <w:szCs w:val="30"/>
        </w:rPr>
        <w:t>3</w:t>
      </w:r>
      <w:r>
        <w:rPr>
          <w:rFonts w:hint="eastAsia"/>
          <w:sz w:val="30"/>
          <w:szCs w:val="30"/>
        </w:rPr>
        <w:t>月，但在一年之后即</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22</w:t>
      </w:r>
      <w:r>
        <w:rPr>
          <w:rFonts w:hint="eastAsia"/>
          <w:sz w:val="30"/>
          <w:szCs w:val="30"/>
        </w:rPr>
        <w:t>日的贵州省商务厅文件黔商发（</w:t>
      </w:r>
      <w:r>
        <w:rPr>
          <w:rFonts w:hint="eastAsia"/>
          <w:sz w:val="30"/>
          <w:szCs w:val="30"/>
        </w:rPr>
        <w:t>2013</w:t>
      </w:r>
      <w:r>
        <w:rPr>
          <w:rFonts w:hint="eastAsia"/>
          <w:sz w:val="30"/>
          <w:szCs w:val="30"/>
        </w:rPr>
        <w:t>）</w:t>
      </w:r>
      <w:r>
        <w:rPr>
          <w:rFonts w:hint="eastAsia"/>
          <w:sz w:val="30"/>
          <w:szCs w:val="30"/>
        </w:rPr>
        <w:t>89</w:t>
      </w:r>
      <w:r>
        <w:rPr>
          <w:rFonts w:hint="eastAsia"/>
          <w:sz w:val="30"/>
          <w:szCs w:val="30"/>
        </w:rPr>
        <w:t>号《关于同意</w:t>
      </w:r>
      <w:r>
        <w:rPr>
          <w:rFonts w:hint="eastAsia"/>
          <w:sz w:val="30"/>
          <w:szCs w:val="30"/>
        </w:rPr>
        <w:t>贵州省遵义市国贸拍卖有限公司变更股东和法人的批复》中：“</w:t>
      </w:r>
      <w:r>
        <w:rPr>
          <w:rFonts w:hint="eastAsia"/>
          <w:sz w:val="30"/>
          <w:szCs w:val="30"/>
        </w:rPr>
        <w:t>1</w:t>
      </w:r>
      <w:r>
        <w:rPr>
          <w:rFonts w:hint="eastAsia"/>
          <w:sz w:val="30"/>
          <w:szCs w:val="30"/>
        </w:rPr>
        <w:t>、同意遵义市国贸拍卖有限公司法定代表人由吴大辉变更为朱江，</w:t>
      </w:r>
      <w:r>
        <w:rPr>
          <w:rFonts w:hint="eastAsia"/>
          <w:sz w:val="30"/>
          <w:szCs w:val="30"/>
        </w:rPr>
        <w:t>2</w:t>
      </w:r>
      <w:r>
        <w:rPr>
          <w:rFonts w:hint="eastAsia"/>
          <w:sz w:val="30"/>
          <w:szCs w:val="30"/>
        </w:rPr>
        <w:t>、同意遵义市国贸拍卖有限公司股东由吴大辉（</w:t>
      </w:r>
      <w:r>
        <w:rPr>
          <w:rFonts w:hint="eastAsia"/>
          <w:sz w:val="30"/>
          <w:szCs w:val="30"/>
        </w:rPr>
        <w:t>65%)</w:t>
      </w:r>
      <w:r>
        <w:rPr>
          <w:rFonts w:hint="eastAsia"/>
          <w:sz w:val="30"/>
          <w:szCs w:val="30"/>
        </w:rPr>
        <w:t>、舒林峰（</w:t>
      </w:r>
      <w:r>
        <w:rPr>
          <w:rFonts w:hint="eastAsia"/>
          <w:sz w:val="30"/>
          <w:szCs w:val="30"/>
        </w:rPr>
        <w:t>30%)</w:t>
      </w:r>
      <w:r>
        <w:rPr>
          <w:rFonts w:hint="eastAsia"/>
          <w:sz w:val="30"/>
          <w:szCs w:val="30"/>
        </w:rPr>
        <w:t>、吴洁昌（</w:t>
      </w:r>
      <w:r>
        <w:rPr>
          <w:rFonts w:hint="eastAsia"/>
          <w:sz w:val="30"/>
          <w:szCs w:val="30"/>
        </w:rPr>
        <w:t>5%)</w:t>
      </w:r>
      <w:r>
        <w:rPr>
          <w:rFonts w:hint="eastAsia"/>
          <w:sz w:val="30"/>
          <w:szCs w:val="30"/>
        </w:rPr>
        <w:t>变更为吴大辉（</w:t>
      </w:r>
      <w:r>
        <w:rPr>
          <w:rFonts w:hint="eastAsia"/>
          <w:sz w:val="30"/>
          <w:szCs w:val="30"/>
        </w:rPr>
        <w:t>95%)</w:t>
      </w:r>
      <w:r>
        <w:rPr>
          <w:rFonts w:hint="eastAsia"/>
          <w:sz w:val="30"/>
          <w:szCs w:val="30"/>
        </w:rPr>
        <w:t>、吴洁昌（</w:t>
      </w:r>
      <w:r>
        <w:rPr>
          <w:rFonts w:hint="eastAsia"/>
          <w:sz w:val="30"/>
          <w:szCs w:val="30"/>
        </w:rPr>
        <w:t>5%)</w:t>
      </w:r>
      <w:r>
        <w:rPr>
          <w:rFonts w:hint="eastAsia"/>
          <w:sz w:val="30"/>
          <w:szCs w:val="30"/>
        </w:rPr>
        <w:t>。请通知申请人</w:t>
      </w:r>
      <w:r>
        <w:rPr>
          <w:rFonts w:hint="eastAsia"/>
          <w:sz w:val="30"/>
          <w:szCs w:val="30"/>
        </w:rPr>
        <w:t>,</w:t>
      </w:r>
      <w:r>
        <w:rPr>
          <w:rFonts w:hint="eastAsia"/>
          <w:sz w:val="30"/>
          <w:szCs w:val="30"/>
        </w:rPr>
        <w:t>持本批复到当地工商部门办理相关变更手续”。从该批复可以看出，准许变更后的股东只有吴大辉、吴洁昌，二被上诉人没有经过商务主管部门审核和备案，从国贸拍卖公司上报的资料来看，也未认可二被上诉人是公司股东。其次，二被上诉人取得股东资格程序违法。除了没有经过商务主管</w:t>
      </w:r>
      <w:r>
        <w:rPr>
          <w:rFonts w:hint="eastAsia"/>
          <w:sz w:val="30"/>
          <w:szCs w:val="30"/>
        </w:rPr>
        <w:t>部门的审核和备案外，二被上诉人取得股东资格是在</w:t>
      </w:r>
      <w:r>
        <w:rPr>
          <w:rFonts w:hint="eastAsia"/>
          <w:sz w:val="30"/>
          <w:szCs w:val="30"/>
        </w:rPr>
        <w:t>2012</w:t>
      </w:r>
      <w:r>
        <w:rPr>
          <w:rFonts w:hint="eastAsia"/>
          <w:sz w:val="30"/>
          <w:szCs w:val="30"/>
        </w:rPr>
        <w:t>年</w:t>
      </w:r>
      <w:r>
        <w:rPr>
          <w:rFonts w:hint="eastAsia"/>
          <w:sz w:val="30"/>
          <w:szCs w:val="30"/>
        </w:rPr>
        <w:t>3</w:t>
      </w:r>
      <w:r>
        <w:rPr>
          <w:rFonts w:hint="eastAsia"/>
          <w:sz w:val="30"/>
          <w:szCs w:val="30"/>
        </w:rPr>
        <w:t>月</w:t>
      </w:r>
      <w:r>
        <w:rPr>
          <w:rFonts w:hint="eastAsia"/>
          <w:sz w:val="30"/>
          <w:szCs w:val="30"/>
        </w:rPr>
        <w:t>5</w:t>
      </w:r>
      <w:r>
        <w:rPr>
          <w:rFonts w:hint="eastAsia"/>
          <w:sz w:val="30"/>
          <w:szCs w:val="30"/>
        </w:rPr>
        <w:t>日，吴大辉、吴洁昌召开股东会并形成决议，同意吴大辉将其所有的</w:t>
      </w:r>
      <w:r>
        <w:rPr>
          <w:rFonts w:hint="eastAsia"/>
          <w:sz w:val="30"/>
          <w:szCs w:val="30"/>
        </w:rPr>
        <w:t>95%</w:t>
      </w:r>
      <w:r>
        <w:rPr>
          <w:rFonts w:hint="eastAsia"/>
          <w:sz w:val="30"/>
          <w:szCs w:val="30"/>
        </w:rPr>
        <w:t>的股权分别转让给二被上诉人和吴艳、吴洁昌，并于同日签订《股东转让出资合同》。但在此次股东会之前，即</w:t>
      </w:r>
      <w:r>
        <w:rPr>
          <w:rFonts w:hint="eastAsia"/>
          <w:sz w:val="30"/>
          <w:szCs w:val="30"/>
        </w:rPr>
        <w:t>2012</w:t>
      </w:r>
      <w:r>
        <w:rPr>
          <w:rFonts w:hint="eastAsia"/>
          <w:sz w:val="30"/>
          <w:szCs w:val="30"/>
        </w:rPr>
        <w:t>年</w:t>
      </w:r>
      <w:r>
        <w:rPr>
          <w:rFonts w:hint="eastAsia"/>
          <w:sz w:val="30"/>
          <w:szCs w:val="30"/>
        </w:rPr>
        <w:t>2</w:t>
      </w:r>
      <w:r>
        <w:rPr>
          <w:rFonts w:hint="eastAsia"/>
          <w:sz w:val="30"/>
          <w:szCs w:val="30"/>
        </w:rPr>
        <w:t>月</w:t>
      </w:r>
      <w:r>
        <w:rPr>
          <w:rFonts w:hint="eastAsia"/>
          <w:sz w:val="30"/>
          <w:szCs w:val="30"/>
        </w:rPr>
        <w:t>2</w:t>
      </w:r>
      <w:r>
        <w:rPr>
          <w:rFonts w:hint="eastAsia"/>
          <w:sz w:val="30"/>
          <w:szCs w:val="30"/>
        </w:rPr>
        <w:t>日，二被上诉人在没有取得股东资格的情况下主持召开了股东会，对股东的持股、人员的任命、章程的修改形成决议，当天通过了《章程修正案》，并用《股东会决议》和《章程修正案》到工商登记部门办理了变更手续。</w:t>
      </w:r>
      <w:r>
        <w:rPr>
          <w:rFonts w:hint="eastAsia"/>
          <w:sz w:val="30"/>
          <w:szCs w:val="30"/>
        </w:rPr>
        <w:t>2012</w:t>
      </w:r>
      <w:r>
        <w:rPr>
          <w:rFonts w:hint="eastAsia"/>
          <w:sz w:val="30"/>
          <w:szCs w:val="30"/>
        </w:rPr>
        <w:t>年</w:t>
      </w:r>
      <w:r>
        <w:rPr>
          <w:rFonts w:hint="eastAsia"/>
          <w:sz w:val="30"/>
          <w:szCs w:val="30"/>
        </w:rPr>
        <w:t>2</w:t>
      </w:r>
      <w:r>
        <w:rPr>
          <w:rFonts w:hint="eastAsia"/>
          <w:sz w:val="30"/>
          <w:szCs w:val="30"/>
        </w:rPr>
        <w:t>月</w:t>
      </w:r>
      <w:r>
        <w:rPr>
          <w:rFonts w:hint="eastAsia"/>
          <w:sz w:val="30"/>
          <w:szCs w:val="30"/>
        </w:rPr>
        <w:t>5</w:t>
      </w:r>
      <w:r>
        <w:rPr>
          <w:rFonts w:hint="eastAsia"/>
          <w:sz w:val="30"/>
          <w:szCs w:val="30"/>
        </w:rPr>
        <w:t>日二被上诉人未取得股东资格，无权作出决议，因此用于在工商登记</w:t>
      </w:r>
      <w:r>
        <w:rPr>
          <w:rFonts w:hint="eastAsia"/>
          <w:sz w:val="30"/>
          <w:szCs w:val="30"/>
        </w:rPr>
        <w:t>部门办理手续的《股东会决议》和</w:t>
      </w:r>
      <w:r>
        <w:rPr>
          <w:rFonts w:hint="eastAsia"/>
          <w:sz w:val="30"/>
          <w:szCs w:val="30"/>
        </w:rPr>
        <w:lastRenderedPageBreak/>
        <w:t>章程修正案违法无效，二被上诉人取得股东资格的程序违法。另外，二被上诉人于</w:t>
      </w:r>
      <w:r>
        <w:rPr>
          <w:rFonts w:hint="eastAsia"/>
          <w:sz w:val="30"/>
          <w:szCs w:val="30"/>
        </w:rPr>
        <w:t>2012</w:t>
      </w:r>
      <w:r>
        <w:rPr>
          <w:rFonts w:hint="eastAsia"/>
          <w:sz w:val="30"/>
          <w:szCs w:val="30"/>
        </w:rPr>
        <w:t>年</w:t>
      </w:r>
      <w:r>
        <w:rPr>
          <w:rFonts w:hint="eastAsia"/>
          <w:sz w:val="30"/>
          <w:szCs w:val="30"/>
        </w:rPr>
        <w:t>3</w:t>
      </w:r>
      <w:r>
        <w:rPr>
          <w:rFonts w:hint="eastAsia"/>
          <w:sz w:val="30"/>
          <w:szCs w:val="30"/>
        </w:rPr>
        <w:t>月</w:t>
      </w:r>
      <w:r>
        <w:rPr>
          <w:rFonts w:hint="eastAsia"/>
          <w:sz w:val="30"/>
          <w:szCs w:val="30"/>
        </w:rPr>
        <w:t>5</w:t>
      </w:r>
      <w:r>
        <w:rPr>
          <w:rFonts w:hint="eastAsia"/>
          <w:sz w:val="30"/>
          <w:szCs w:val="30"/>
        </w:rPr>
        <w:t>日和吴大辉签订的《股东转让出资合同》并未实际履行。按照《公司法》的规定，股东资格的取得必须符合下列条件：合法取得股权、在公司章程上被记载为股东并在章程上签名盖章、在工商登记的公司文件中列名为股东、被载入股东名册、取得公司签发的出资证明书、缴纳出资等。根据《股东转让出资合同》第二条规定“受让方需将转让金额全部付给乙方”，二被上诉人在庭审中已经明确自认没有支付转让金给吴大辉，并未出资购买吴大辉的</w:t>
      </w:r>
      <w:r>
        <w:rPr>
          <w:rFonts w:hint="eastAsia"/>
          <w:sz w:val="30"/>
          <w:szCs w:val="30"/>
        </w:rPr>
        <w:t>股权，没有履行出资义务，因此不具备股东资格。在国贸拍卖公司公示的</w:t>
      </w:r>
      <w:r>
        <w:rPr>
          <w:rFonts w:hint="eastAsia"/>
          <w:sz w:val="30"/>
          <w:szCs w:val="30"/>
        </w:rPr>
        <w:t>2015</w:t>
      </w:r>
      <w:r>
        <w:rPr>
          <w:rFonts w:hint="eastAsia"/>
          <w:sz w:val="30"/>
          <w:szCs w:val="30"/>
        </w:rPr>
        <w:t>年度报表中，股东也只有吴大辉和吴洁昌，股东中并没有二被上诉人的名字，也就是说在</w:t>
      </w:r>
      <w:r>
        <w:rPr>
          <w:rFonts w:hint="eastAsia"/>
          <w:sz w:val="30"/>
          <w:szCs w:val="30"/>
        </w:rPr>
        <w:t>2015</w:t>
      </w:r>
      <w:r>
        <w:rPr>
          <w:rFonts w:hint="eastAsia"/>
          <w:sz w:val="30"/>
          <w:szCs w:val="30"/>
        </w:rPr>
        <w:t>年之前，国贸拍卖公司和吴大辉都不认可二被上诉人股东资格。根据以上所述，二被上诉人取得股东资格程序违法，没有经过商务主管部门审核备案，没有缴纳出资，公司和其他股东都不认可其股东资格，因此二被上诉人不具备股东资格，无权提起诉讼。</w:t>
      </w:r>
      <w:r>
        <w:rPr>
          <w:rFonts w:hint="eastAsia"/>
          <w:sz w:val="30"/>
          <w:szCs w:val="30"/>
        </w:rPr>
        <w:t>2</w:t>
      </w:r>
      <w:r>
        <w:rPr>
          <w:rFonts w:hint="eastAsia"/>
          <w:sz w:val="30"/>
          <w:szCs w:val="30"/>
        </w:rPr>
        <w:t>、原审判决认定“国拍公司以姜晓艳的名义支付</w:t>
      </w:r>
      <w:r>
        <w:rPr>
          <w:rFonts w:hint="eastAsia"/>
          <w:sz w:val="30"/>
          <w:szCs w:val="30"/>
        </w:rPr>
        <w:t>6692000</w:t>
      </w:r>
      <w:r>
        <w:rPr>
          <w:rFonts w:hint="eastAsia"/>
          <w:sz w:val="30"/>
          <w:szCs w:val="30"/>
        </w:rPr>
        <w:t>元”与事实不符。庭审中，国贸拍卖公司的自认和转账凭证证明，通过国贸拍卖公</w:t>
      </w:r>
      <w:r>
        <w:rPr>
          <w:rFonts w:hint="eastAsia"/>
          <w:sz w:val="30"/>
          <w:szCs w:val="30"/>
        </w:rPr>
        <w:t>司账户转款给遵义市彩印厂的款项只有</w:t>
      </w:r>
      <w:r>
        <w:rPr>
          <w:rFonts w:hint="eastAsia"/>
          <w:sz w:val="30"/>
          <w:szCs w:val="30"/>
        </w:rPr>
        <w:t>2310479</w:t>
      </w:r>
      <w:r>
        <w:rPr>
          <w:rFonts w:hint="eastAsia"/>
          <w:sz w:val="30"/>
          <w:szCs w:val="30"/>
        </w:rPr>
        <w:t>元，其他款项都是由吴大辉通过其个人账户支付给遵义市彩印厂的，并且上诉人也通过个人账户向遵义市彩印厂支付了</w:t>
      </w:r>
      <w:r>
        <w:rPr>
          <w:rFonts w:hint="eastAsia"/>
          <w:sz w:val="30"/>
          <w:szCs w:val="30"/>
        </w:rPr>
        <w:t>10</w:t>
      </w:r>
      <w:r>
        <w:rPr>
          <w:rFonts w:hint="eastAsia"/>
          <w:sz w:val="30"/>
          <w:szCs w:val="30"/>
        </w:rPr>
        <w:t>万元和缴纳税收</w:t>
      </w:r>
      <w:r>
        <w:rPr>
          <w:rFonts w:hint="eastAsia"/>
          <w:sz w:val="30"/>
          <w:szCs w:val="30"/>
        </w:rPr>
        <w:t>518630</w:t>
      </w:r>
      <w:r>
        <w:rPr>
          <w:rFonts w:hint="eastAsia"/>
          <w:sz w:val="30"/>
          <w:szCs w:val="30"/>
        </w:rPr>
        <w:t>元。本案是拍卖合同纠纷，拍卖成交后，买受人向拍卖公司支付价款，拍卖公司再将价款支付给委托人。因此，上诉人向国贸拍卖公司支付拍卖价款，国贸拍卖公司向上诉人开具了收款收据，国贸拍卖公司将收到的上诉人的价款支付给遵义市彩印厂，遵义市彩印厂向国贸拍卖公司开具收据，这是正常流程。国贸拍卖公司向上诉人开具了</w:t>
      </w:r>
      <w:r>
        <w:rPr>
          <w:rFonts w:hint="eastAsia"/>
          <w:sz w:val="30"/>
          <w:szCs w:val="30"/>
        </w:rPr>
        <w:t>6692000</w:t>
      </w:r>
      <w:r>
        <w:rPr>
          <w:rFonts w:hint="eastAsia"/>
          <w:sz w:val="30"/>
          <w:szCs w:val="30"/>
        </w:rPr>
        <w:t>元的收款收据，证明其</w:t>
      </w:r>
      <w:r>
        <w:rPr>
          <w:rFonts w:hint="eastAsia"/>
          <w:sz w:val="30"/>
          <w:szCs w:val="30"/>
        </w:rPr>
        <w:t>收到了上诉人的拍卖款项，因此不能认定为国贸拍卖公司以上诉人的名义向遵义市彩印厂支付了款项。二、诉讼费分摊错误。在本案中，二被上诉人的诉请是：请求确认被告吴烨经办的以国贸拍卖公司名义于</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12</w:t>
      </w:r>
      <w:r>
        <w:rPr>
          <w:rFonts w:hint="eastAsia"/>
          <w:sz w:val="30"/>
          <w:szCs w:val="30"/>
        </w:rPr>
        <w:t>日以姜晓艳名义制作的《拍卖成交确认书》无效，红花岗区子尹南路彩印厂</w:t>
      </w:r>
      <w:r>
        <w:rPr>
          <w:rFonts w:hint="eastAsia"/>
          <w:sz w:val="30"/>
          <w:szCs w:val="30"/>
        </w:rPr>
        <w:t>3</w:t>
      </w:r>
      <w:r>
        <w:rPr>
          <w:rFonts w:hint="eastAsia"/>
          <w:sz w:val="30"/>
          <w:szCs w:val="30"/>
        </w:rPr>
        <w:t>号楼二层房屋归国贸拍卖公司所有。判决结果是：被告姜晓艳与第三人国贸拍卖公司于</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12</w:t>
      </w:r>
      <w:r>
        <w:rPr>
          <w:rFonts w:hint="eastAsia"/>
          <w:sz w:val="30"/>
          <w:szCs w:val="30"/>
        </w:rPr>
        <w:t>日签订的《拍卖成交确认书》无效。根据《诉讼费用交纳办法》的规定，确认协议无效是非财产案件，缴纳费用为</w:t>
      </w:r>
      <w:r>
        <w:rPr>
          <w:rFonts w:hint="eastAsia"/>
          <w:sz w:val="30"/>
          <w:szCs w:val="30"/>
        </w:rPr>
        <w:t>50-100</w:t>
      </w:r>
      <w:r>
        <w:rPr>
          <w:rFonts w:hint="eastAsia"/>
          <w:sz w:val="30"/>
          <w:szCs w:val="30"/>
        </w:rPr>
        <w:t>元，本案的判决并未涉及到返还财产，因此</w:t>
      </w:r>
      <w:r>
        <w:rPr>
          <w:rFonts w:hint="eastAsia"/>
          <w:sz w:val="30"/>
          <w:szCs w:val="30"/>
        </w:rPr>
        <w:t>应当承担的费用为</w:t>
      </w:r>
      <w:r>
        <w:rPr>
          <w:rFonts w:hint="eastAsia"/>
          <w:sz w:val="30"/>
          <w:szCs w:val="30"/>
        </w:rPr>
        <w:t>50-100</w:t>
      </w:r>
      <w:r>
        <w:rPr>
          <w:rFonts w:hint="eastAsia"/>
          <w:sz w:val="30"/>
          <w:szCs w:val="30"/>
        </w:rPr>
        <w:t>元。另外，本案的被告吴烨、吴大辉应当分摊诉讼费。因此，原审法院将不应由上诉人承担的诉讼费用分摊给上诉人承担，显然不当。三、原审程序违法。一审中，上诉人提交了贵州省商务厅黔商发（</w:t>
      </w:r>
      <w:r>
        <w:rPr>
          <w:rFonts w:hint="eastAsia"/>
          <w:sz w:val="30"/>
          <w:szCs w:val="30"/>
        </w:rPr>
        <w:t>2013</w:t>
      </w:r>
      <w:r>
        <w:rPr>
          <w:rFonts w:hint="eastAsia"/>
          <w:sz w:val="30"/>
          <w:szCs w:val="30"/>
        </w:rPr>
        <w:t>）</w:t>
      </w:r>
      <w:r>
        <w:rPr>
          <w:rFonts w:hint="eastAsia"/>
          <w:sz w:val="30"/>
          <w:szCs w:val="30"/>
        </w:rPr>
        <w:t>89</w:t>
      </w:r>
      <w:r>
        <w:rPr>
          <w:rFonts w:hint="eastAsia"/>
          <w:sz w:val="30"/>
          <w:szCs w:val="30"/>
        </w:rPr>
        <w:t>号文件，但原审遗漏了对该证据的认定，并且在判决中也未提到该文件，导致上诉人的诉讼权利受到侵害。综上所述，原审判决认定事实错误，程序违法，请求二审法院查明事实，依法予以改判或发回重审。</w:t>
      </w:r>
    </w:p>
    <w:p w:rsidR="00000000" w:rsidRDefault="003201E5">
      <w:pPr>
        <w:spacing w:line="500" w:lineRule="atLeast"/>
        <w:ind w:firstLine="600"/>
        <w:divId w:val="179206097"/>
        <w:rPr>
          <w:rFonts w:hint="eastAsia"/>
          <w:sz w:val="30"/>
          <w:szCs w:val="30"/>
        </w:rPr>
      </w:pPr>
      <w:r>
        <w:rPr>
          <w:rFonts w:hint="eastAsia"/>
          <w:sz w:val="30"/>
          <w:szCs w:val="30"/>
        </w:rPr>
        <w:t>被上诉人吴静、吴秋二审答辩称：一、遵义市彩印厂委托国贸拍卖公司拍卖涉案房产后，因案外人王毅在拍卖成功后以标的物</w:t>
      </w:r>
      <w:r>
        <w:rPr>
          <w:rFonts w:hint="eastAsia"/>
          <w:sz w:val="30"/>
          <w:szCs w:val="30"/>
        </w:rPr>
        <w:t>有巨大瑕疵为由解除成交确认书，解除后由国贸拍卖公司承担支付拍卖款的责任，为此遵义市彩印厂与国贸拍卖公司达成《协议书》，确定拍卖款为</w:t>
      </w:r>
      <w:r>
        <w:rPr>
          <w:rFonts w:hint="eastAsia"/>
          <w:sz w:val="30"/>
          <w:szCs w:val="30"/>
        </w:rPr>
        <w:t>956</w:t>
      </w:r>
      <w:r>
        <w:rPr>
          <w:rFonts w:hint="eastAsia"/>
          <w:sz w:val="30"/>
          <w:szCs w:val="30"/>
        </w:rPr>
        <w:t>万元，由国贸拍卖公司代遵义市彩印厂偿还诉讼债务</w:t>
      </w:r>
      <w:r>
        <w:rPr>
          <w:rFonts w:hint="eastAsia"/>
          <w:sz w:val="30"/>
          <w:szCs w:val="30"/>
        </w:rPr>
        <w:t>231</w:t>
      </w:r>
      <w:r>
        <w:rPr>
          <w:rFonts w:hint="eastAsia"/>
          <w:sz w:val="30"/>
          <w:szCs w:val="30"/>
        </w:rPr>
        <w:t>万余元，剩余款项分期支付。以上款项均是国贸拍卖公司通过公司账户或吴大辉的账户支付的，上诉人并未支付。且上诉人没有报名参加国贸拍卖公司的拍卖会，</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12</w:t>
      </w:r>
      <w:r>
        <w:rPr>
          <w:rFonts w:hint="eastAsia"/>
          <w:sz w:val="30"/>
          <w:szCs w:val="30"/>
        </w:rPr>
        <w:t>日的《拍卖成交确认书》中“姜晓艳”的签名系他人代签，所开具的收据金额为</w:t>
      </w:r>
      <w:r>
        <w:rPr>
          <w:rFonts w:hint="eastAsia"/>
          <w:sz w:val="30"/>
          <w:szCs w:val="30"/>
        </w:rPr>
        <w:t>669.2</w:t>
      </w:r>
      <w:r>
        <w:rPr>
          <w:rFonts w:hint="eastAsia"/>
          <w:sz w:val="30"/>
          <w:szCs w:val="30"/>
        </w:rPr>
        <w:t>万元，与遵义市彩印厂确定的</w:t>
      </w:r>
      <w:r>
        <w:rPr>
          <w:rFonts w:hint="eastAsia"/>
          <w:sz w:val="30"/>
          <w:szCs w:val="30"/>
        </w:rPr>
        <w:t>956</w:t>
      </w:r>
      <w:r>
        <w:rPr>
          <w:rFonts w:hint="eastAsia"/>
          <w:sz w:val="30"/>
          <w:szCs w:val="30"/>
        </w:rPr>
        <w:t>万元不符。故《拍卖成交确认书》是虚假的，违反《中华人</w:t>
      </w:r>
      <w:r>
        <w:rPr>
          <w:rFonts w:hint="eastAsia"/>
          <w:sz w:val="30"/>
          <w:szCs w:val="30"/>
        </w:rPr>
        <w:t>民共和国拍卖法》的规定，侵害了被上诉人及国贸拍卖公司的合法权利，应为无效。二、关于被上诉人是否是本案适格原告的问题。国贸拍卖公司是企业法人，被上诉人通过签订《股东转让出资合同》、《新股东会决议》、《遵义市国贸拍卖有限公司章程修正案》，确认被上诉人以合理对价受让取得国贸拍卖公司的股权，符合公司法的规定，且以上股权转让行为已经工商部门审查确认并登记。在上诉人及国贸拍卖公司部分高管侵害公司财产权利后，被上诉人向国贸拍卖公司提出维权申请但未得到公司管理者的回复，作为持股超过</w:t>
      </w:r>
      <w:r>
        <w:rPr>
          <w:rFonts w:hint="eastAsia"/>
          <w:sz w:val="30"/>
          <w:szCs w:val="30"/>
        </w:rPr>
        <w:t>1%</w:t>
      </w:r>
      <w:r>
        <w:rPr>
          <w:rFonts w:hint="eastAsia"/>
          <w:sz w:val="30"/>
          <w:szCs w:val="30"/>
        </w:rPr>
        <w:t>的股东有权按照《中华人民共和国公司法》</w:t>
      </w:r>
      <w:r>
        <w:rPr>
          <w:rFonts w:hint="eastAsia"/>
          <w:sz w:val="30"/>
          <w:szCs w:val="30"/>
        </w:rPr>
        <w:t>第一百四十九条、第一百五十一条的规定，向人民法院提起诉讼，故被上诉人作为原告主体适格。三、关于涉案</w:t>
      </w:r>
      <w:r>
        <w:rPr>
          <w:rFonts w:hint="eastAsia"/>
          <w:sz w:val="30"/>
          <w:szCs w:val="30"/>
        </w:rPr>
        <w:t>669.2</w:t>
      </w:r>
      <w:r>
        <w:rPr>
          <w:rFonts w:hint="eastAsia"/>
          <w:sz w:val="30"/>
          <w:szCs w:val="30"/>
        </w:rPr>
        <w:t>万元收据的真实性问题。一审庭审中，被上诉人提供了充分证据证明涉案房产的拍卖款为</w:t>
      </w:r>
      <w:r>
        <w:rPr>
          <w:rFonts w:hint="eastAsia"/>
          <w:sz w:val="30"/>
          <w:szCs w:val="30"/>
        </w:rPr>
        <w:t>956</w:t>
      </w:r>
      <w:r>
        <w:rPr>
          <w:rFonts w:hint="eastAsia"/>
          <w:sz w:val="30"/>
          <w:szCs w:val="30"/>
        </w:rPr>
        <w:t>万元，所有已经支付的</w:t>
      </w:r>
      <w:r>
        <w:rPr>
          <w:rFonts w:hint="eastAsia"/>
          <w:sz w:val="30"/>
          <w:szCs w:val="30"/>
        </w:rPr>
        <w:t>800</w:t>
      </w:r>
      <w:r>
        <w:rPr>
          <w:rFonts w:hint="eastAsia"/>
          <w:sz w:val="30"/>
          <w:szCs w:val="30"/>
        </w:rPr>
        <w:t>多万元款项均是国贸拍卖公司支付的，上诉人没有参加拍卖会、没有支付拍卖款，也没有在《拍卖成交确认书》上签名，故该收据在形式和实质上均与客观事实不符。四、关于诉讼费分摊的问题。一审根据案件情况，判决上诉人承担诉讼费，并未违反法律规定。五、关于上诉人提出的贵州省商务厅文件，该文件与本案无关，也不是法</w:t>
      </w:r>
      <w:r>
        <w:rPr>
          <w:rFonts w:hint="eastAsia"/>
          <w:sz w:val="30"/>
          <w:szCs w:val="30"/>
        </w:rPr>
        <w:t>律、行政法规，可以不予确认。综上，上诉人的上诉理由没有事实和法律依据，请求驳回上诉，维持原判。</w:t>
      </w:r>
    </w:p>
    <w:p w:rsidR="00000000" w:rsidRDefault="003201E5">
      <w:pPr>
        <w:spacing w:line="500" w:lineRule="atLeast"/>
        <w:ind w:firstLine="600"/>
        <w:divId w:val="957294858"/>
        <w:rPr>
          <w:rFonts w:hint="eastAsia"/>
          <w:sz w:val="30"/>
          <w:szCs w:val="30"/>
        </w:rPr>
      </w:pPr>
      <w:r>
        <w:rPr>
          <w:rFonts w:hint="eastAsia"/>
          <w:sz w:val="30"/>
          <w:szCs w:val="30"/>
        </w:rPr>
        <w:t>原审被告吴烨在二审中称其意见与一审一致，其只是国贸拍卖公司工作人员，相关行为是履行职务。</w:t>
      </w:r>
    </w:p>
    <w:p w:rsidR="00000000" w:rsidRDefault="003201E5">
      <w:pPr>
        <w:spacing w:line="500" w:lineRule="atLeast"/>
        <w:ind w:firstLine="600"/>
        <w:divId w:val="1859781064"/>
        <w:rPr>
          <w:rFonts w:hint="eastAsia"/>
          <w:sz w:val="30"/>
          <w:szCs w:val="30"/>
        </w:rPr>
      </w:pPr>
      <w:r>
        <w:rPr>
          <w:rFonts w:hint="eastAsia"/>
          <w:sz w:val="30"/>
          <w:szCs w:val="30"/>
        </w:rPr>
        <w:t>原审被告吴大辉以及原审第三人遵义市彩印厂、国贸拍卖公司在二审中称对一审判决无意见。</w:t>
      </w:r>
    </w:p>
    <w:p w:rsidR="00000000" w:rsidRDefault="003201E5">
      <w:pPr>
        <w:spacing w:line="500" w:lineRule="atLeast"/>
        <w:ind w:firstLine="600"/>
        <w:divId w:val="1519731792"/>
        <w:rPr>
          <w:rFonts w:hint="eastAsia"/>
          <w:sz w:val="30"/>
          <w:szCs w:val="30"/>
        </w:rPr>
      </w:pPr>
      <w:r>
        <w:rPr>
          <w:rFonts w:hint="eastAsia"/>
          <w:sz w:val="30"/>
          <w:szCs w:val="30"/>
        </w:rPr>
        <w:t>吴静、吴秋向一审法院起诉请求：</w:t>
      </w:r>
      <w:r>
        <w:rPr>
          <w:rFonts w:hint="eastAsia"/>
          <w:sz w:val="30"/>
          <w:szCs w:val="30"/>
        </w:rPr>
        <w:t>1</w:t>
      </w:r>
      <w:r>
        <w:rPr>
          <w:rFonts w:hint="eastAsia"/>
          <w:sz w:val="30"/>
          <w:szCs w:val="30"/>
        </w:rPr>
        <w:t>、确认吴烨经办的以遵义市国贸拍卖有限公司名义于</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12</w:t>
      </w:r>
      <w:r>
        <w:rPr>
          <w:rFonts w:hint="eastAsia"/>
          <w:sz w:val="30"/>
          <w:szCs w:val="30"/>
        </w:rPr>
        <w:t>日以姜晓艳名义制作的《拍卖成交确认书》无效，红花岗区子尹南路彩印</w:t>
      </w:r>
      <w:r>
        <w:rPr>
          <w:rFonts w:hint="eastAsia"/>
          <w:sz w:val="30"/>
          <w:szCs w:val="30"/>
        </w:rPr>
        <w:t>3</w:t>
      </w:r>
      <w:r>
        <w:rPr>
          <w:rFonts w:hint="eastAsia"/>
          <w:sz w:val="30"/>
          <w:szCs w:val="30"/>
        </w:rPr>
        <w:t>号楼二层房屋归第三人遵义市国贸拍卖有限公司所有；</w:t>
      </w:r>
      <w:r>
        <w:rPr>
          <w:rFonts w:hint="eastAsia"/>
          <w:sz w:val="30"/>
          <w:szCs w:val="30"/>
        </w:rPr>
        <w:t>2</w:t>
      </w:r>
      <w:r>
        <w:rPr>
          <w:rFonts w:hint="eastAsia"/>
          <w:sz w:val="30"/>
          <w:szCs w:val="30"/>
        </w:rPr>
        <w:t>、本案诉讼费用由被告共同承担。</w:t>
      </w:r>
    </w:p>
    <w:p w:rsidR="00000000" w:rsidRDefault="003201E5">
      <w:pPr>
        <w:spacing w:line="500" w:lineRule="atLeast"/>
        <w:ind w:firstLine="600"/>
        <w:divId w:val="1482622515"/>
        <w:rPr>
          <w:rFonts w:hint="eastAsia"/>
          <w:sz w:val="30"/>
          <w:szCs w:val="30"/>
        </w:rPr>
      </w:pPr>
      <w:r>
        <w:rPr>
          <w:rFonts w:hint="eastAsia"/>
          <w:sz w:val="30"/>
          <w:szCs w:val="30"/>
        </w:rPr>
        <w:t>一审法院认定事实：第三人国贸拍卖公司成立于</w:t>
      </w:r>
      <w:r>
        <w:rPr>
          <w:rFonts w:hint="eastAsia"/>
          <w:sz w:val="30"/>
          <w:szCs w:val="30"/>
        </w:rPr>
        <w:t>1997</w:t>
      </w:r>
      <w:r>
        <w:rPr>
          <w:rFonts w:hint="eastAsia"/>
          <w:sz w:val="30"/>
          <w:szCs w:val="30"/>
        </w:rPr>
        <w:t>年</w:t>
      </w:r>
      <w:r>
        <w:rPr>
          <w:rFonts w:hint="eastAsia"/>
          <w:sz w:val="30"/>
          <w:szCs w:val="30"/>
        </w:rPr>
        <w:t>3</w:t>
      </w:r>
      <w:r>
        <w:rPr>
          <w:rFonts w:hint="eastAsia"/>
          <w:sz w:val="30"/>
          <w:szCs w:val="30"/>
        </w:rPr>
        <w:t>月</w:t>
      </w:r>
      <w:r>
        <w:rPr>
          <w:rFonts w:hint="eastAsia"/>
          <w:sz w:val="30"/>
          <w:szCs w:val="30"/>
        </w:rPr>
        <w:t>20</w:t>
      </w:r>
      <w:r>
        <w:rPr>
          <w:rFonts w:hint="eastAsia"/>
          <w:sz w:val="30"/>
          <w:szCs w:val="30"/>
        </w:rPr>
        <w:t>日，注册资本</w:t>
      </w:r>
      <w:r>
        <w:rPr>
          <w:rFonts w:hint="eastAsia"/>
          <w:sz w:val="30"/>
          <w:szCs w:val="30"/>
        </w:rPr>
        <w:t>100</w:t>
      </w:r>
      <w:r>
        <w:rPr>
          <w:rFonts w:hint="eastAsia"/>
          <w:sz w:val="30"/>
          <w:szCs w:val="30"/>
        </w:rPr>
        <w:t>万元，经营拍卖交易。</w:t>
      </w:r>
      <w:r>
        <w:rPr>
          <w:rFonts w:hint="eastAsia"/>
          <w:sz w:val="30"/>
          <w:szCs w:val="30"/>
        </w:rPr>
        <w:t>2012</w:t>
      </w:r>
      <w:r>
        <w:rPr>
          <w:rFonts w:hint="eastAsia"/>
          <w:sz w:val="30"/>
          <w:szCs w:val="30"/>
        </w:rPr>
        <w:t>年</w:t>
      </w:r>
      <w:r>
        <w:rPr>
          <w:rFonts w:hint="eastAsia"/>
          <w:sz w:val="30"/>
          <w:szCs w:val="30"/>
        </w:rPr>
        <w:t>2</w:t>
      </w:r>
      <w:r>
        <w:rPr>
          <w:rFonts w:hint="eastAsia"/>
          <w:sz w:val="30"/>
          <w:szCs w:val="30"/>
        </w:rPr>
        <w:t>月</w:t>
      </w:r>
      <w:r>
        <w:rPr>
          <w:rFonts w:hint="eastAsia"/>
          <w:sz w:val="30"/>
          <w:szCs w:val="30"/>
        </w:rPr>
        <w:t>5</w:t>
      </w:r>
      <w:r>
        <w:rPr>
          <w:rFonts w:hint="eastAsia"/>
          <w:sz w:val="30"/>
          <w:szCs w:val="30"/>
        </w:rPr>
        <w:t>日，国贸拍卖公司召开《新股东会决议》，决议为公司股权转让后，其股权结构比例如下：吴艳占有公司</w:t>
      </w:r>
      <w:r>
        <w:rPr>
          <w:rFonts w:hint="eastAsia"/>
          <w:sz w:val="30"/>
          <w:szCs w:val="30"/>
        </w:rPr>
        <w:t>25%</w:t>
      </w:r>
      <w:r>
        <w:rPr>
          <w:rFonts w:hint="eastAsia"/>
          <w:sz w:val="30"/>
          <w:szCs w:val="30"/>
        </w:rPr>
        <w:t>股权，认缴出资</w:t>
      </w:r>
      <w:r>
        <w:rPr>
          <w:rFonts w:hint="eastAsia"/>
          <w:sz w:val="30"/>
          <w:szCs w:val="30"/>
        </w:rPr>
        <w:t>25</w:t>
      </w:r>
      <w:r>
        <w:rPr>
          <w:rFonts w:hint="eastAsia"/>
          <w:sz w:val="30"/>
          <w:szCs w:val="30"/>
        </w:rPr>
        <w:t>万元，实收资本</w:t>
      </w:r>
      <w:r>
        <w:rPr>
          <w:rFonts w:hint="eastAsia"/>
          <w:sz w:val="30"/>
          <w:szCs w:val="30"/>
        </w:rPr>
        <w:t>25</w:t>
      </w:r>
      <w:r>
        <w:rPr>
          <w:rFonts w:hint="eastAsia"/>
          <w:sz w:val="30"/>
          <w:szCs w:val="30"/>
        </w:rPr>
        <w:t>万元；吴静占有公司</w:t>
      </w:r>
      <w:r>
        <w:rPr>
          <w:rFonts w:hint="eastAsia"/>
          <w:sz w:val="30"/>
          <w:szCs w:val="30"/>
        </w:rPr>
        <w:t>25%</w:t>
      </w:r>
      <w:r>
        <w:rPr>
          <w:rFonts w:hint="eastAsia"/>
          <w:sz w:val="30"/>
          <w:szCs w:val="30"/>
        </w:rPr>
        <w:t>股权，认缴出资</w:t>
      </w:r>
      <w:r>
        <w:rPr>
          <w:rFonts w:hint="eastAsia"/>
          <w:sz w:val="30"/>
          <w:szCs w:val="30"/>
        </w:rPr>
        <w:t>25</w:t>
      </w:r>
      <w:r>
        <w:rPr>
          <w:rFonts w:hint="eastAsia"/>
          <w:sz w:val="30"/>
          <w:szCs w:val="30"/>
        </w:rPr>
        <w:t>万元，实收资本</w:t>
      </w:r>
      <w:r>
        <w:rPr>
          <w:rFonts w:hint="eastAsia"/>
          <w:sz w:val="30"/>
          <w:szCs w:val="30"/>
        </w:rPr>
        <w:t>25</w:t>
      </w:r>
      <w:r>
        <w:rPr>
          <w:rFonts w:hint="eastAsia"/>
          <w:sz w:val="30"/>
          <w:szCs w:val="30"/>
        </w:rPr>
        <w:t>万元；吴秋占有公司</w:t>
      </w:r>
      <w:r>
        <w:rPr>
          <w:rFonts w:hint="eastAsia"/>
          <w:sz w:val="30"/>
          <w:szCs w:val="30"/>
        </w:rPr>
        <w:t>25%</w:t>
      </w:r>
      <w:r>
        <w:rPr>
          <w:rFonts w:hint="eastAsia"/>
          <w:sz w:val="30"/>
          <w:szCs w:val="30"/>
        </w:rPr>
        <w:t>股权，认缴出资</w:t>
      </w:r>
      <w:r>
        <w:rPr>
          <w:rFonts w:hint="eastAsia"/>
          <w:sz w:val="30"/>
          <w:szCs w:val="30"/>
        </w:rPr>
        <w:t>25</w:t>
      </w:r>
      <w:r>
        <w:rPr>
          <w:rFonts w:hint="eastAsia"/>
          <w:sz w:val="30"/>
          <w:szCs w:val="30"/>
        </w:rPr>
        <w:t>万元，实收资本</w:t>
      </w:r>
      <w:r>
        <w:rPr>
          <w:rFonts w:hint="eastAsia"/>
          <w:sz w:val="30"/>
          <w:szCs w:val="30"/>
        </w:rPr>
        <w:t>25</w:t>
      </w:r>
      <w:r>
        <w:rPr>
          <w:rFonts w:hint="eastAsia"/>
          <w:sz w:val="30"/>
          <w:szCs w:val="30"/>
        </w:rPr>
        <w:t>万元；吴洁昌占有公司</w:t>
      </w:r>
      <w:r>
        <w:rPr>
          <w:rFonts w:hint="eastAsia"/>
          <w:sz w:val="30"/>
          <w:szCs w:val="30"/>
        </w:rPr>
        <w:t>25%</w:t>
      </w:r>
      <w:r>
        <w:rPr>
          <w:rFonts w:hint="eastAsia"/>
          <w:sz w:val="30"/>
          <w:szCs w:val="30"/>
        </w:rPr>
        <w:t>股权，认缴出资</w:t>
      </w:r>
      <w:r>
        <w:rPr>
          <w:rFonts w:hint="eastAsia"/>
          <w:sz w:val="30"/>
          <w:szCs w:val="30"/>
        </w:rPr>
        <w:t>25</w:t>
      </w:r>
      <w:r>
        <w:rPr>
          <w:rFonts w:hint="eastAsia"/>
          <w:sz w:val="30"/>
          <w:szCs w:val="30"/>
        </w:rPr>
        <w:t>万元，实收资本</w:t>
      </w:r>
      <w:r>
        <w:rPr>
          <w:rFonts w:hint="eastAsia"/>
          <w:sz w:val="30"/>
          <w:szCs w:val="30"/>
        </w:rPr>
        <w:t>25</w:t>
      </w:r>
      <w:r>
        <w:rPr>
          <w:rFonts w:hint="eastAsia"/>
          <w:sz w:val="30"/>
          <w:szCs w:val="30"/>
        </w:rPr>
        <w:t>万元。股东会选举吴艳担任公司执行董事，吴洁昌担任公司监事，朱江担任公司法人。国贸</w:t>
      </w:r>
      <w:r>
        <w:rPr>
          <w:rFonts w:hint="eastAsia"/>
          <w:sz w:val="30"/>
          <w:szCs w:val="30"/>
        </w:rPr>
        <w:t>拍卖公司并于同日修改了《遵义市国贸拍卖有限公司章程修正案》，对上述股权变更予以确认。</w:t>
      </w:r>
      <w:r>
        <w:rPr>
          <w:rFonts w:hint="eastAsia"/>
          <w:sz w:val="30"/>
          <w:szCs w:val="30"/>
        </w:rPr>
        <w:t>2012</w:t>
      </w:r>
      <w:r>
        <w:rPr>
          <w:rFonts w:hint="eastAsia"/>
          <w:sz w:val="30"/>
          <w:szCs w:val="30"/>
        </w:rPr>
        <w:t>年</w:t>
      </w:r>
      <w:r>
        <w:rPr>
          <w:rFonts w:hint="eastAsia"/>
          <w:sz w:val="30"/>
          <w:szCs w:val="30"/>
        </w:rPr>
        <w:t>3</w:t>
      </w:r>
      <w:r>
        <w:rPr>
          <w:rFonts w:hint="eastAsia"/>
          <w:sz w:val="30"/>
          <w:szCs w:val="30"/>
        </w:rPr>
        <w:t>月</w:t>
      </w:r>
      <w:r>
        <w:rPr>
          <w:rFonts w:hint="eastAsia"/>
          <w:sz w:val="30"/>
          <w:szCs w:val="30"/>
        </w:rPr>
        <w:t>5</w:t>
      </w:r>
      <w:r>
        <w:rPr>
          <w:rFonts w:hint="eastAsia"/>
          <w:sz w:val="30"/>
          <w:szCs w:val="30"/>
        </w:rPr>
        <w:t>日，国贸拍卖公司提交了《有限责任公司变更登记申请书》。</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23</w:t>
      </w:r>
      <w:r>
        <w:rPr>
          <w:rFonts w:hint="eastAsia"/>
          <w:sz w:val="30"/>
          <w:szCs w:val="30"/>
        </w:rPr>
        <w:t>日，通过了《遵义市国贸拍卖有限公司章程》，再次确认股东出资额和出资方式，吴洁昌出资</w:t>
      </w:r>
      <w:r>
        <w:rPr>
          <w:rFonts w:hint="eastAsia"/>
          <w:sz w:val="30"/>
          <w:szCs w:val="30"/>
        </w:rPr>
        <w:t>25</w:t>
      </w:r>
      <w:r>
        <w:rPr>
          <w:rFonts w:hint="eastAsia"/>
          <w:sz w:val="30"/>
          <w:szCs w:val="30"/>
        </w:rPr>
        <w:t>万元、吴静出资</w:t>
      </w:r>
      <w:r>
        <w:rPr>
          <w:rFonts w:hint="eastAsia"/>
          <w:sz w:val="30"/>
          <w:szCs w:val="30"/>
        </w:rPr>
        <w:t>25</w:t>
      </w:r>
      <w:r>
        <w:rPr>
          <w:rFonts w:hint="eastAsia"/>
          <w:sz w:val="30"/>
          <w:szCs w:val="30"/>
        </w:rPr>
        <w:t>万元、吴秋出资</w:t>
      </w:r>
      <w:r>
        <w:rPr>
          <w:rFonts w:hint="eastAsia"/>
          <w:sz w:val="30"/>
          <w:szCs w:val="30"/>
        </w:rPr>
        <w:t>25</w:t>
      </w:r>
      <w:r>
        <w:rPr>
          <w:rFonts w:hint="eastAsia"/>
          <w:sz w:val="30"/>
          <w:szCs w:val="30"/>
        </w:rPr>
        <w:t>万元、吴艳出资</w:t>
      </w:r>
      <w:r>
        <w:rPr>
          <w:rFonts w:hint="eastAsia"/>
          <w:sz w:val="30"/>
          <w:szCs w:val="30"/>
        </w:rPr>
        <w:t>25</w:t>
      </w:r>
      <w:r>
        <w:rPr>
          <w:rFonts w:hint="eastAsia"/>
          <w:sz w:val="30"/>
          <w:szCs w:val="30"/>
        </w:rPr>
        <w:t>万元。</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13</w:t>
      </w:r>
      <w:r>
        <w:rPr>
          <w:rFonts w:hint="eastAsia"/>
          <w:sz w:val="30"/>
          <w:szCs w:val="30"/>
        </w:rPr>
        <w:t>日，《遵义市国贸拍卖有限公司股东会决议》同意将吴洁昌持有的</w:t>
      </w:r>
      <w:r>
        <w:rPr>
          <w:rFonts w:hint="eastAsia"/>
          <w:sz w:val="30"/>
          <w:szCs w:val="30"/>
        </w:rPr>
        <w:t>25</w:t>
      </w:r>
      <w:r>
        <w:rPr>
          <w:rFonts w:hint="eastAsia"/>
          <w:sz w:val="30"/>
          <w:szCs w:val="30"/>
        </w:rPr>
        <w:t>万元股权转让给吴大辉，并免去吴洁昌监事职务。</w:t>
      </w:r>
    </w:p>
    <w:p w:rsidR="00000000" w:rsidRDefault="003201E5">
      <w:pPr>
        <w:spacing w:line="500" w:lineRule="atLeast"/>
        <w:ind w:firstLine="600"/>
        <w:divId w:val="1585071274"/>
        <w:rPr>
          <w:rFonts w:hint="eastAsia"/>
          <w:sz w:val="30"/>
          <w:szCs w:val="30"/>
        </w:rPr>
      </w:pP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日，遵义市彩印厂（甲方）与国贸拍卖公司（乙方）签</w:t>
      </w:r>
      <w:r>
        <w:rPr>
          <w:rFonts w:hint="eastAsia"/>
          <w:sz w:val="30"/>
          <w:szCs w:val="30"/>
        </w:rPr>
        <w:t>订《委托拍卖合同》，约定“乙方依法拍卖甲方所有的彩印厂三号楼××</w:t>
      </w:r>
      <w:r>
        <w:rPr>
          <w:rFonts w:hint="eastAsia"/>
          <w:sz w:val="30"/>
          <w:szCs w:val="30"/>
        </w:rPr>
        <w:t>1258.43</w:t>
      </w:r>
      <w:r>
        <w:rPr>
          <w:rFonts w:hint="eastAsia"/>
          <w:sz w:val="30"/>
          <w:szCs w:val="30"/>
        </w:rPr>
        <w:t>㎡营业房，即现在的七十二行精品酒店用房，甲方同意并尊重乙方在《投标书》第一页、第五页、第十页中所陈述的内容和意见，包括设定的拍卖保留价、拍卖时间、回款时间和方式，对违约责任的承担”。经过拍卖，案外人王毅以</w:t>
      </w:r>
      <w:r>
        <w:rPr>
          <w:rFonts w:hint="eastAsia"/>
          <w:sz w:val="30"/>
          <w:szCs w:val="30"/>
        </w:rPr>
        <w:t>956</w:t>
      </w:r>
      <w:r>
        <w:rPr>
          <w:rFonts w:hint="eastAsia"/>
          <w:sz w:val="30"/>
          <w:szCs w:val="30"/>
        </w:rPr>
        <w:t>万元拍卖成交，但其认为拍卖标的有巨大瑕疵，提出解除拍卖成交确认书。解除后由国贸拍卖公司承担支付拍卖价款的责任，</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5</w:t>
      </w:r>
      <w:r>
        <w:rPr>
          <w:rFonts w:hint="eastAsia"/>
          <w:sz w:val="30"/>
          <w:szCs w:val="30"/>
        </w:rPr>
        <w:t>日，遵义市彩印厂与国贸拍卖公司签订《协议书》，约定国贸拍卖公司代遵义市彩印厂垫付进入执行程序的红</w:t>
      </w:r>
      <w:r>
        <w:rPr>
          <w:rFonts w:hint="eastAsia"/>
          <w:sz w:val="30"/>
          <w:szCs w:val="30"/>
        </w:rPr>
        <w:t>花岗区信用社欠款和诉讼费、执行费</w:t>
      </w:r>
      <w:r>
        <w:rPr>
          <w:rFonts w:hint="eastAsia"/>
          <w:sz w:val="30"/>
          <w:szCs w:val="30"/>
        </w:rPr>
        <w:t>2310479</w:t>
      </w:r>
      <w:r>
        <w:rPr>
          <w:rFonts w:hint="eastAsia"/>
          <w:sz w:val="30"/>
          <w:szCs w:val="30"/>
        </w:rPr>
        <w:t>元，国贸拍卖公司再向遵义市彩印厂支付现金</w:t>
      </w:r>
      <w:r>
        <w:rPr>
          <w:rFonts w:hint="eastAsia"/>
          <w:sz w:val="30"/>
          <w:szCs w:val="30"/>
        </w:rPr>
        <w:t>2146000</w:t>
      </w:r>
      <w:r>
        <w:rPr>
          <w:rFonts w:hint="eastAsia"/>
          <w:sz w:val="30"/>
          <w:szCs w:val="30"/>
        </w:rPr>
        <w:t>元，遵义市彩印厂在老城××段××楼营业房售价</w:t>
      </w:r>
      <w:r>
        <w:rPr>
          <w:rFonts w:hint="eastAsia"/>
          <w:sz w:val="30"/>
          <w:szCs w:val="30"/>
        </w:rPr>
        <w:t>956</w:t>
      </w:r>
      <w:r>
        <w:rPr>
          <w:rFonts w:hint="eastAsia"/>
          <w:sz w:val="30"/>
          <w:szCs w:val="30"/>
        </w:rPr>
        <w:t>万元，必须在</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日前付清。后国贸拍卖公司将部分款项支付给遵义市彩印厂，还剩</w:t>
      </w:r>
      <w:r>
        <w:rPr>
          <w:rFonts w:hint="eastAsia"/>
          <w:sz w:val="30"/>
          <w:szCs w:val="30"/>
        </w:rPr>
        <w:t>100</w:t>
      </w:r>
      <w:r>
        <w:rPr>
          <w:rFonts w:hint="eastAsia"/>
          <w:sz w:val="30"/>
          <w:szCs w:val="30"/>
        </w:rPr>
        <w:t>多万元未支付。</w:t>
      </w:r>
    </w:p>
    <w:p w:rsidR="00000000" w:rsidRDefault="003201E5">
      <w:pPr>
        <w:spacing w:line="500" w:lineRule="atLeast"/>
        <w:ind w:firstLine="600"/>
        <w:divId w:val="1233157257"/>
        <w:rPr>
          <w:rFonts w:hint="eastAsia"/>
          <w:sz w:val="30"/>
          <w:szCs w:val="30"/>
        </w:rPr>
      </w:pP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12</w:t>
      </w:r>
      <w:r>
        <w:rPr>
          <w:rFonts w:hint="eastAsia"/>
          <w:sz w:val="30"/>
          <w:szCs w:val="30"/>
        </w:rPr>
        <w:t>日，国贸拍卖公司的代表人吴烨与被告姜晓艳签订《拍卖成交确认书》，由姜晓艳拍卖成功并购买争议房产，价格为</w:t>
      </w:r>
      <w:r>
        <w:rPr>
          <w:rFonts w:hint="eastAsia"/>
          <w:sz w:val="30"/>
          <w:szCs w:val="30"/>
        </w:rPr>
        <w:t>6692000</w:t>
      </w:r>
      <w:r>
        <w:rPr>
          <w:rFonts w:hint="eastAsia"/>
          <w:sz w:val="30"/>
          <w:szCs w:val="30"/>
        </w:rPr>
        <w:t>元，《拍卖成交确认书》上姜晓艳的署名为吴大辉所签。</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4</w:t>
      </w:r>
      <w:r>
        <w:rPr>
          <w:rFonts w:hint="eastAsia"/>
          <w:sz w:val="30"/>
          <w:szCs w:val="30"/>
        </w:rPr>
        <w:t>日，国贸拍卖公司以姜晓艳的名义向遵义市彩印厂支付</w:t>
      </w:r>
      <w:r>
        <w:rPr>
          <w:rFonts w:hint="eastAsia"/>
          <w:sz w:val="30"/>
          <w:szCs w:val="30"/>
        </w:rPr>
        <w:t>6</w:t>
      </w:r>
      <w:r>
        <w:rPr>
          <w:rFonts w:hint="eastAsia"/>
          <w:sz w:val="30"/>
          <w:szCs w:val="30"/>
        </w:rPr>
        <w:t>692000</w:t>
      </w:r>
      <w:r>
        <w:rPr>
          <w:rFonts w:hint="eastAsia"/>
          <w:sz w:val="30"/>
          <w:szCs w:val="30"/>
        </w:rPr>
        <w:t>元。位于遵义市××××层争议房屋现登记权利人为姜晓艳。姜晓艳和吴大辉是夫妻。</w:t>
      </w:r>
    </w:p>
    <w:p w:rsidR="00000000" w:rsidRDefault="003201E5">
      <w:pPr>
        <w:spacing w:line="500" w:lineRule="atLeast"/>
        <w:ind w:firstLine="600"/>
        <w:divId w:val="893470215"/>
        <w:rPr>
          <w:rFonts w:hint="eastAsia"/>
          <w:sz w:val="30"/>
          <w:szCs w:val="30"/>
        </w:rPr>
      </w:pPr>
      <w:r>
        <w:rPr>
          <w:rFonts w:hint="eastAsia"/>
          <w:sz w:val="30"/>
          <w:szCs w:val="30"/>
        </w:rPr>
        <w:t>一审法院认为，关于二原告是否具有诉讼主体资格。首先，国贸拍卖公司是依法成立的有限公司，注册资本</w:t>
      </w:r>
      <w:r>
        <w:rPr>
          <w:rFonts w:hint="eastAsia"/>
          <w:sz w:val="30"/>
          <w:szCs w:val="30"/>
        </w:rPr>
        <w:t>100</w:t>
      </w:r>
      <w:r>
        <w:rPr>
          <w:rFonts w:hint="eastAsia"/>
          <w:sz w:val="30"/>
          <w:szCs w:val="30"/>
        </w:rPr>
        <w:t>万元，</w:t>
      </w:r>
      <w:r>
        <w:rPr>
          <w:rFonts w:hint="eastAsia"/>
          <w:sz w:val="30"/>
          <w:szCs w:val="30"/>
        </w:rPr>
        <w:t>2012</w:t>
      </w:r>
      <w:r>
        <w:rPr>
          <w:rFonts w:hint="eastAsia"/>
          <w:sz w:val="30"/>
          <w:szCs w:val="30"/>
        </w:rPr>
        <w:t>年</w:t>
      </w:r>
      <w:r>
        <w:rPr>
          <w:rFonts w:hint="eastAsia"/>
          <w:sz w:val="30"/>
          <w:szCs w:val="30"/>
        </w:rPr>
        <w:t>2</w:t>
      </w:r>
      <w:r>
        <w:rPr>
          <w:rFonts w:hint="eastAsia"/>
          <w:sz w:val="30"/>
          <w:szCs w:val="30"/>
        </w:rPr>
        <w:t>月</w:t>
      </w:r>
      <w:r>
        <w:rPr>
          <w:rFonts w:hint="eastAsia"/>
          <w:sz w:val="30"/>
          <w:szCs w:val="30"/>
        </w:rPr>
        <w:t>5</w:t>
      </w:r>
      <w:r>
        <w:rPr>
          <w:rFonts w:hint="eastAsia"/>
          <w:sz w:val="30"/>
          <w:szCs w:val="30"/>
        </w:rPr>
        <w:t>日国贸拍卖公司召开了《新股东会决议》，确定二原告各占公司</w:t>
      </w:r>
      <w:r>
        <w:rPr>
          <w:rFonts w:hint="eastAsia"/>
          <w:sz w:val="30"/>
          <w:szCs w:val="30"/>
        </w:rPr>
        <w:t>25%</w:t>
      </w:r>
      <w:r>
        <w:rPr>
          <w:rFonts w:hint="eastAsia"/>
          <w:sz w:val="30"/>
          <w:szCs w:val="30"/>
        </w:rPr>
        <w:t>的股份，并于同日修改了《遵义市国贸拍卖有限公司章程修正案》。</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23</w:t>
      </w:r>
      <w:r>
        <w:rPr>
          <w:rFonts w:hint="eastAsia"/>
          <w:sz w:val="30"/>
          <w:szCs w:val="30"/>
        </w:rPr>
        <w:t>日，通过了《遵义市国贸拍卖有限公司章程》，再次确认股东出资额和出资方式，二原告仍各占有国贸拍卖公司</w:t>
      </w:r>
      <w:r>
        <w:rPr>
          <w:rFonts w:hint="eastAsia"/>
          <w:sz w:val="30"/>
          <w:szCs w:val="30"/>
        </w:rPr>
        <w:t>25%</w:t>
      </w:r>
      <w:r>
        <w:rPr>
          <w:rFonts w:hint="eastAsia"/>
          <w:sz w:val="30"/>
          <w:szCs w:val="30"/>
        </w:rPr>
        <w:t>的股份，故二原告在取得股东资格的程序上是合法的。根据《</w:t>
      </w:r>
      <w:r>
        <w:rPr>
          <w:rFonts w:hint="eastAsia"/>
          <w:sz w:val="30"/>
          <w:szCs w:val="30"/>
        </w:rPr>
        <w:t>中华人民共和国公司法》第一百四十九条及第一百五十一条的规定，二原告认为被告的行为侵害了其股东权益，有权以股东名义提起诉讼。关于</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12</w:t>
      </w:r>
      <w:r>
        <w:rPr>
          <w:rFonts w:hint="eastAsia"/>
          <w:sz w:val="30"/>
          <w:szCs w:val="30"/>
        </w:rPr>
        <w:t>日签订的《拍卖成交确认书》是否有效。本案争议房屋是经过拍卖程序处理的，根据《中华人民共和国拍卖法》第五十二条及第五十三条的规定，拍卖成交的应当制作拍卖笔录并签名，但被告姜晓艳并未参加报名、支付保证金、参加拍卖会竞买，并且《拍卖成交确认书》也不是其亲自签名，相关拍卖价款也并不是由其支付，故依据《中华人民共和国合同法》第五十二条的规定，被告姜晓艳与国贸拍卖公司签订《拍卖</w:t>
      </w:r>
      <w:r>
        <w:rPr>
          <w:rFonts w:hint="eastAsia"/>
          <w:sz w:val="30"/>
          <w:szCs w:val="30"/>
        </w:rPr>
        <w:t>成交确认书》的行为违反了法律规定，即</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12</w:t>
      </w:r>
      <w:r>
        <w:rPr>
          <w:rFonts w:hint="eastAsia"/>
          <w:sz w:val="30"/>
          <w:szCs w:val="30"/>
        </w:rPr>
        <w:t>日的《拍卖成交确认书》无效。对于原告主张的位于遵义市××××层房屋归第三人国贸拍卖公司所有的请求，该请求的权利主体应是国贸拍卖公司，二原告无权提起该请求，故对原告的该主张不予支持。综上所述，根据《中华人民共和国公司法》第一百四十九条、第一百五十一条、《中华人民共和国拍卖法》第五十二条、第五十三条、《中华人民共和国合同法》第五十二条之规定，判决：一、被告姜晓艳与第三人遵义市国贸拍卖有限公司于</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12</w:t>
      </w:r>
      <w:r>
        <w:rPr>
          <w:rFonts w:hint="eastAsia"/>
          <w:sz w:val="30"/>
          <w:szCs w:val="30"/>
        </w:rPr>
        <w:t>日签订的《拍卖成交确认书》无效。二、驳回原告吴静</w:t>
      </w:r>
      <w:r>
        <w:rPr>
          <w:rFonts w:hint="eastAsia"/>
          <w:sz w:val="30"/>
          <w:szCs w:val="30"/>
        </w:rPr>
        <w:t>、吴秋的其他诉讼请求。案件受理费</w:t>
      </w:r>
      <w:r>
        <w:rPr>
          <w:rFonts w:hint="eastAsia"/>
          <w:sz w:val="30"/>
          <w:szCs w:val="30"/>
        </w:rPr>
        <w:t>42450</w:t>
      </w:r>
      <w:r>
        <w:rPr>
          <w:rFonts w:hint="eastAsia"/>
          <w:sz w:val="30"/>
          <w:szCs w:val="30"/>
        </w:rPr>
        <w:t>元，本院依法减半收取</w:t>
      </w:r>
      <w:r>
        <w:rPr>
          <w:rFonts w:hint="eastAsia"/>
          <w:sz w:val="30"/>
          <w:szCs w:val="30"/>
        </w:rPr>
        <w:t>21225</w:t>
      </w:r>
      <w:r>
        <w:rPr>
          <w:rFonts w:hint="eastAsia"/>
          <w:sz w:val="30"/>
          <w:szCs w:val="30"/>
        </w:rPr>
        <w:t>元，财产保全费</w:t>
      </w:r>
      <w:r>
        <w:rPr>
          <w:rFonts w:hint="eastAsia"/>
          <w:sz w:val="30"/>
          <w:szCs w:val="30"/>
        </w:rPr>
        <w:t>5000</w:t>
      </w:r>
      <w:r>
        <w:rPr>
          <w:rFonts w:hint="eastAsia"/>
          <w:sz w:val="30"/>
          <w:szCs w:val="30"/>
        </w:rPr>
        <w:t>元，共计</w:t>
      </w:r>
      <w:r>
        <w:rPr>
          <w:rFonts w:hint="eastAsia"/>
          <w:sz w:val="30"/>
          <w:szCs w:val="30"/>
        </w:rPr>
        <w:t>26225</w:t>
      </w:r>
      <w:r>
        <w:rPr>
          <w:rFonts w:hint="eastAsia"/>
          <w:sz w:val="30"/>
          <w:szCs w:val="30"/>
        </w:rPr>
        <w:t>元，由被告姜晓艳承担。</w:t>
      </w:r>
    </w:p>
    <w:p w:rsidR="00000000" w:rsidRDefault="003201E5">
      <w:pPr>
        <w:spacing w:line="500" w:lineRule="atLeast"/>
        <w:ind w:firstLine="600"/>
        <w:divId w:val="219175719"/>
        <w:rPr>
          <w:rFonts w:hint="eastAsia"/>
          <w:sz w:val="30"/>
          <w:szCs w:val="30"/>
        </w:rPr>
      </w:pPr>
      <w:r>
        <w:rPr>
          <w:rFonts w:hint="eastAsia"/>
          <w:sz w:val="30"/>
          <w:szCs w:val="30"/>
        </w:rPr>
        <w:t>二审中，姜晓艳提供了以下四组证据：</w:t>
      </w:r>
      <w:r>
        <w:rPr>
          <w:rFonts w:hint="eastAsia"/>
          <w:sz w:val="30"/>
          <w:szCs w:val="30"/>
        </w:rPr>
        <w:t>1</w:t>
      </w:r>
      <w:r>
        <w:rPr>
          <w:rFonts w:hint="eastAsia"/>
          <w:sz w:val="30"/>
          <w:szCs w:val="30"/>
        </w:rPr>
        <w:t>、遵义市彩印厂于</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12</w:t>
      </w:r>
      <w:r>
        <w:rPr>
          <w:rFonts w:hint="eastAsia"/>
          <w:sz w:val="30"/>
          <w:szCs w:val="30"/>
        </w:rPr>
        <w:t>日发出的《通知》，拟证明（</w:t>
      </w:r>
      <w:r>
        <w:rPr>
          <w:rFonts w:hint="eastAsia"/>
          <w:sz w:val="30"/>
          <w:szCs w:val="30"/>
        </w:rPr>
        <w:t>1</w:t>
      </w:r>
      <w:r>
        <w:rPr>
          <w:rFonts w:hint="eastAsia"/>
          <w:sz w:val="30"/>
          <w:szCs w:val="30"/>
        </w:rPr>
        <w:t>）拍卖底价为</w:t>
      </w:r>
      <w:r>
        <w:rPr>
          <w:rFonts w:hint="eastAsia"/>
          <w:sz w:val="30"/>
          <w:szCs w:val="30"/>
        </w:rPr>
        <w:t>6692000</w:t>
      </w:r>
      <w:r>
        <w:rPr>
          <w:rFonts w:hint="eastAsia"/>
          <w:sz w:val="30"/>
          <w:szCs w:val="30"/>
        </w:rPr>
        <w:t>元，此价格与国贸拍卖公司出具给姜晓艳的收据金额一致；（</w:t>
      </w:r>
      <w:r>
        <w:rPr>
          <w:rFonts w:hint="eastAsia"/>
          <w:sz w:val="30"/>
          <w:szCs w:val="30"/>
        </w:rPr>
        <w:t>2</w:t>
      </w:r>
      <w:r>
        <w:rPr>
          <w:rFonts w:hint="eastAsia"/>
          <w:sz w:val="30"/>
          <w:szCs w:val="30"/>
        </w:rPr>
        <w:t>）遵义市彩印厂与国贸拍卖公司之间的拍卖关系成立，且合法有效。</w:t>
      </w:r>
      <w:r>
        <w:rPr>
          <w:rFonts w:hint="eastAsia"/>
          <w:sz w:val="30"/>
          <w:szCs w:val="30"/>
        </w:rPr>
        <w:t>2</w:t>
      </w:r>
      <w:r>
        <w:rPr>
          <w:rFonts w:hint="eastAsia"/>
          <w:sz w:val="30"/>
          <w:szCs w:val="30"/>
        </w:rPr>
        <w:t>、</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20</w:t>
      </w:r>
      <w:r>
        <w:rPr>
          <w:rFonts w:hint="eastAsia"/>
          <w:sz w:val="30"/>
          <w:szCs w:val="30"/>
        </w:rPr>
        <w:t>日国贸拍卖公司出具的《说明》，拟证明吴大辉个人购买涉案房屋</w:t>
      </w:r>
      <w:r>
        <w:rPr>
          <w:rFonts w:hint="eastAsia"/>
          <w:sz w:val="30"/>
          <w:szCs w:val="30"/>
        </w:rPr>
        <w:t>1258.43</w:t>
      </w:r>
      <w:r>
        <w:rPr>
          <w:rFonts w:hint="eastAsia"/>
          <w:sz w:val="30"/>
          <w:szCs w:val="30"/>
        </w:rPr>
        <w:t>平方米，与国贸拍卖公司无关。</w:t>
      </w:r>
      <w:r>
        <w:rPr>
          <w:rFonts w:hint="eastAsia"/>
          <w:sz w:val="30"/>
          <w:szCs w:val="30"/>
        </w:rPr>
        <w:t>3</w:t>
      </w:r>
      <w:r>
        <w:rPr>
          <w:rFonts w:hint="eastAsia"/>
          <w:sz w:val="30"/>
          <w:szCs w:val="30"/>
        </w:rPr>
        <w:t>、</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30</w:t>
      </w:r>
      <w:r>
        <w:rPr>
          <w:rFonts w:hint="eastAsia"/>
          <w:sz w:val="30"/>
          <w:szCs w:val="30"/>
        </w:rPr>
        <w:t>日的《房屋租赁合同》，拟证明姜晓艳将属于个人所有的涉案房屋</w:t>
      </w:r>
      <w:r>
        <w:rPr>
          <w:rFonts w:hint="eastAsia"/>
          <w:sz w:val="30"/>
          <w:szCs w:val="30"/>
        </w:rPr>
        <w:t>1258.43</w:t>
      </w:r>
      <w:r>
        <w:rPr>
          <w:rFonts w:hint="eastAsia"/>
          <w:sz w:val="30"/>
          <w:szCs w:val="30"/>
        </w:rPr>
        <w:t>平方米出租给案外人，属于有权处分，与吴大辉、国贸拍卖公司</w:t>
      </w:r>
      <w:r>
        <w:rPr>
          <w:rFonts w:hint="eastAsia"/>
          <w:sz w:val="30"/>
          <w:szCs w:val="30"/>
        </w:rPr>
        <w:t>均无关。</w:t>
      </w:r>
      <w:r>
        <w:rPr>
          <w:rFonts w:hint="eastAsia"/>
          <w:sz w:val="30"/>
          <w:szCs w:val="30"/>
        </w:rPr>
        <w:t>4</w:t>
      </w:r>
      <w:r>
        <w:rPr>
          <w:rFonts w:hint="eastAsia"/>
          <w:sz w:val="30"/>
          <w:szCs w:val="30"/>
        </w:rPr>
        <w:t>、</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28</w:t>
      </w:r>
      <w:r>
        <w:rPr>
          <w:rFonts w:hint="eastAsia"/>
          <w:sz w:val="30"/>
          <w:szCs w:val="30"/>
        </w:rPr>
        <w:t>日姜晓艳交通银行转款记录</w:t>
      </w:r>
      <w:r>
        <w:rPr>
          <w:rFonts w:hint="eastAsia"/>
          <w:sz w:val="30"/>
          <w:szCs w:val="30"/>
        </w:rPr>
        <w:t>2</w:t>
      </w:r>
      <w:r>
        <w:rPr>
          <w:rFonts w:hint="eastAsia"/>
          <w:sz w:val="30"/>
          <w:szCs w:val="30"/>
        </w:rPr>
        <w:t>份，拟证明姜晓艳支付的房款以及代遵义市彩印厂交的税费。吴静、吴秋对前三组证据的真实性都有异议，认为不能达到对方的证明目的，对第四组证据的真实性不清楚，认为姜晓艳转账与其二人无关。吴烨对前两组证据的真实性有异议，不清楚情况，无法确认真实性，后两组证据与其无关，当时其不在公司。吴大辉质证意见为，《通知》是真的，不清楚《说明》，租赁合同是真实的，不清楚转账情况。遵义市彩印厂质证意见为，不认可《通知》，加盖的公章不是该厂的，其他证据与该厂无关。</w:t>
      </w:r>
    </w:p>
    <w:p w:rsidR="00000000" w:rsidRDefault="003201E5">
      <w:pPr>
        <w:spacing w:line="500" w:lineRule="atLeast"/>
        <w:ind w:firstLine="600"/>
        <w:divId w:val="239220514"/>
        <w:rPr>
          <w:rFonts w:hint="eastAsia"/>
          <w:sz w:val="30"/>
          <w:szCs w:val="30"/>
        </w:rPr>
      </w:pPr>
      <w:r>
        <w:rPr>
          <w:rFonts w:hint="eastAsia"/>
          <w:sz w:val="30"/>
          <w:szCs w:val="30"/>
        </w:rPr>
        <w:t>吴静、吴秋、</w:t>
      </w:r>
      <w:r>
        <w:rPr>
          <w:rFonts w:hint="eastAsia"/>
          <w:sz w:val="30"/>
          <w:szCs w:val="30"/>
        </w:rPr>
        <w:t>原审被告吴烨、吴大辉以及原审第三人遵义市彩印厂、国贸拍卖公司二审中均未提交新证据。</w:t>
      </w:r>
    </w:p>
    <w:p w:rsidR="00000000" w:rsidRDefault="003201E5">
      <w:pPr>
        <w:spacing w:line="500" w:lineRule="atLeast"/>
        <w:ind w:firstLine="600"/>
        <w:divId w:val="737242374"/>
        <w:rPr>
          <w:rFonts w:hint="eastAsia"/>
          <w:sz w:val="30"/>
          <w:szCs w:val="30"/>
        </w:rPr>
      </w:pPr>
      <w:r>
        <w:rPr>
          <w:rFonts w:hint="eastAsia"/>
          <w:sz w:val="30"/>
          <w:szCs w:val="30"/>
        </w:rPr>
        <w:t>二审查明，吴烨代表国贸拍卖公司与吴大辉以姜晓艳名义签订《拍卖成交确认书》的时间并非</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12</w:t>
      </w:r>
      <w:r>
        <w:rPr>
          <w:rFonts w:hint="eastAsia"/>
          <w:sz w:val="30"/>
          <w:szCs w:val="30"/>
        </w:rPr>
        <w:t>日；</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4</w:t>
      </w:r>
      <w:r>
        <w:rPr>
          <w:rFonts w:hint="eastAsia"/>
          <w:sz w:val="30"/>
          <w:szCs w:val="30"/>
        </w:rPr>
        <w:t>日，国贸拍卖公司并未以姜晓艳的名义向遵义市彩印厂支付</w:t>
      </w:r>
      <w:r>
        <w:rPr>
          <w:rFonts w:hint="eastAsia"/>
          <w:sz w:val="30"/>
          <w:szCs w:val="30"/>
        </w:rPr>
        <w:t>669.2</w:t>
      </w:r>
      <w:r>
        <w:rPr>
          <w:rFonts w:hint="eastAsia"/>
          <w:sz w:val="30"/>
          <w:szCs w:val="30"/>
        </w:rPr>
        <w:t>万元，而是吴大辉为办理房屋过户而自行出具了一份收取姜晓艳拍卖款</w:t>
      </w:r>
      <w:r>
        <w:rPr>
          <w:rFonts w:hint="eastAsia"/>
          <w:sz w:val="30"/>
          <w:szCs w:val="30"/>
        </w:rPr>
        <w:t>669.2</w:t>
      </w:r>
      <w:r>
        <w:rPr>
          <w:rFonts w:hint="eastAsia"/>
          <w:sz w:val="30"/>
          <w:szCs w:val="30"/>
        </w:rPr>
        <w:t>万元的收据。除此之外，一审查明的其余事实与二审查明的事实一致，本院予以确认。</w:t>
      </w:r>
    </w:p>
    <w:p w:rsidR="00000000" w:rsidRDefault="003201E5">
      <w:pPr>
        <w:spacing w:line="500" w:lineRule="atLeast"/>
        <w:ind w:firstLine="600"/>
        <w:divId w:val="537284850"/>
        <w:rPr>
          <w:rFonts w:hint="eastAsia"/>
          <w:sz w:val="30"/>
          <w:szCs w:val="30"/>
        </w:rPr>
      </w:pPr>
      <w:r>
        <w:rPr>
          <w:rFonts w:hint="eastAsia"/>
          <w:sz w:val="30"/>
          <w:szCs w:val="30"/>
        </w:rPr>
        <w:t>另查明，国贸拍卖公司的工商登记信息显示，吴静是该公司监事。案外人王毅以</w:t>
      </w:r>
      <w:r>
        <w:rPr>
          <w:rFonts w:hint="eastAsia"/>
          <w:sz w:val="30"/>
          <w:szCs w:val="30"/>
        </w:rPr>
        <w:t>956</w:t>
      </w:r>
      <w:r>
        <w:rPr>
          <w:rFonts w:hint="eastAsia"/>
          <w:sz w:val="30"/>
          <w:szCs w:val="30"/>
        </w:rPr>
        <w:t>万元拍卖成交的时间是</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12</w:t>
      </w:r>
      <w:r>
        <w:rPr>
          <w:rFonts w:hint="eastAsia"/>
          <w:sz w:val="30"/>
          <w:szCs w:val="30"/>
        </w:rPr>
        <w:t>日。一审庭审中，对于法庭询问“</w:t>
      </w:r>
      <w:r>
        <w:rPr>
          <w:rFonts w:hint="eastAsia"/>
          <w:sz w:val="30"/>
          <w:szCs w:val="30"/>
        </w:rPr>
        <w:t>600</w:t>
      </w:r>
      <w:r>
        <w:rPr>
          <w:rFonts w:hint="eastAsia"/>
          <w:sz w:val="30"/>
          <w:szCs w:val="30"/>
        </w:rPr>
        <w:t>多万元拍卖款是怎么支付的”，姜晓艳的代理人称“是以吴大辉账户支付的，是我们拿出来的”。二审中，姜晓艳称第二次拍卖（即以其名义拍卖成交）其没有参加，系吴大辉参加并签字的。遵义市彩印厂称经过其与国贸拍卖公司商量，不再进行拍卖，按照当时国贸拍卖公司的承诺，由该公司出资</w:t>
      </w:r>
      <w:r>
        <w:rPr>
          <w:rFonts w:hint="eastAsia"/>
          <w:sz w:val="30"/>
          <w:szCs w:val="30"/>
        </w:rPr>
        <w:t>956</w:t>
      </w:r>
      <w:r>
        <w:rPr>
          <w:rFonts w:hint="eastAsia"/>
          <w:sz w:val="30"/>
          <w:szCs w:val="30"/>
        </w:rPr>
        <w:t>万元购买，其中</w:t>
      </w:r>
      <w:r>
        <w:rPr>
          <w:rFonts w:hint="eastAsia"/>
          <w:sz w:val="30"/>
          <w:szCs w:val="30"/>
        </w:rPr>
        <w:t>214.6</w:t>
      </w:r>
      <w:r>
        <w:rPr>
          <w:rFonts w:hint="eastAsia"/>
          <w:sz w:val="30"/>
          <w:szCs w:val="30"/>
        </w:rPr>
        <w:t>万元是国贸拍卖公司一次性支付的，后面的款项是国贸拍卖公司和吴大辉支付的。吴大辉在二审中称姜晓艳的收据是其自己出具的，目的是用于办理过户。吴烨在二审中称涉案成交确认书是</w:t>
      </w:r>
      <w:r>
        <w:rPr>
          <w:rFonts w:hint="eastAsia"/>
          <w:sz w:val="30"/>
          <w:szCs w:val="30"/>
        </w:rPr>
        <w:t>吴大辉安排其打印的。</w:t>
      </w:r>
    </w:p>
    <w:p w:rsidR="00000000" w:rsidRDefault="003201E5">
      <w:pPr>
        <w:spacing w:line="500" w:lineRule="atLeast"/>
        <w:ind w:firstLine="600"/>
        <w:divId w:val="1662195130"/>
        <w:rPr>
          <w:rFonts w:hint="eastAsia"/>
          <w:sz w:val="30"/>
          <w:szCs w:val="30"/>
        </w:rPr>
      </w:pPr>
      <w:r>
        <w:rPr>
          <w:rFonts w:hint="eastAsia"/>
          <w:sz w:val="30"/>
          <w:szCs w:val="30"/>
        </w:rPr>
        <w:t>本院认为，本案二审的争议焦点为：一、吴静、吴秋是否具备提起本案诉讼的原告主体资格；二、涉案《拍卖成交确认书》是否损害了国贸拍卖公司的利益以及吴静、吴秋能否主张该确认书无效。</w:t>
      </w:r>
    </w:p>
    <w:p w:rsidR="00000000" w:rsidRDefault="003201E5">
      <w:pPr>
        <w:spacing w:line="500" w:lineRule="atLeast"/>
        <w:ind w:firstLine="600"/>
        <w:divId w:val="2123835659"/>
        <w:rPr>
          <w:rFonts w:hint="eastAsia"/>
          <w:sz w:val="30"/>
          <w:szCs w:val="30"/>
        </w:rPr>
      </w:pPr>
      <w:r>
        <w:rPr>
          <w:rFonts w:hint="eastAsia"/>
          <w:sz w:val="30"/>
          <w:szCs w:val="30"/>
        </w:rPr>
        <w:t>关于第一个焦点。根据工商登记信息，国贸拍卖公司的现任股东为吴静、吴秋、吴大辉及案外人吴艳，对于吴静、吴秋的股东身份，国贸拍卖公司及其余股东均未提出异议，且吴静、吴秋提供了《股东转让出资合同书》等证据证明其通过受让取得股权，至于二人是否支付股权转让对价的问题，属于二人与股权转让人吴大辉之间的法律关系，姜晓艳作为外部相</w:t>
      </w:r>
      <w:r>
        <w:rPr>
          <w:rFonts w:hint="eastAsia"/>
          <w:sz w:val="30"/>
          <w:szCs w:val="30"/>
        </w:rPr>
        <w:t>对人不能以此否认吴静、吴秋的股东身份。因此，根据《中华人民共和国公司法》第一百五十一条关于“董事、高级管理人员有本法第一百四十九条规定的情形的，有限责任公司的股东、股份有限公司连续一百八十日以上单独或者合计持有公司百分之一以上股份的股东，可以书面请求监事会或者不设监事会的有限责任公司的监事向人民法院提起诉讼；监事有本法第一百四十九条规定的情形的，前述股东可以书面请求董事会或者不设董事会的有限责任公司的执行董事向人民法院提起诉讼。监事会、不设监事会的有限责任公司的监事，或者董事会、执行董事收到前款规定的股东书</w:t>
      </w:r>
      <w:r>
        <w:rPr>
          <w:rFonts w:hint="eastAsia"/>
          <w:sz w:val="30"/>
          <w:szCs w:val="30"/>
        </w:rPr>
        <w:t>面请求后拒绝提起诉讼，或者自收到请求之日起三十日内未提起诉讼，或者情况紧急、不立即提起诉讼将会使公司利益受到难以弥补的损害的，前款规定的股东有权为了公司的利益以自己的名义直接向人民法院提起诉讼。他人侵犯公司合法权益，给公司造成损失的，本条第一款规定的股东可以依照前两款的规定向人民法院提起诉讼”的规定，吴静作为国贸拍卖公司股东和监事、吴秋作为股东有权以自己名义提起本案诉讼。至于姜晓艳提出吴静、吴秋登记为股东未经商务主管部门审核和备案的问题，根据《中华人民共和国公司法》第三十二条第三款关于“公司应当将股东的姓名</w:t>
      </w:r>
      <w:r>
        <w:rPr>
          <w:rFonts w:hint="eastAsia"/>
          <w:sz w:val="30"/>
          <w:szCs w:val="30"/>
        </w:rPr>
        <w:t>或者名称向公司登记机关登记；登记事项发生变更的，应当办理变更登记。未经登记或者变更登记的，不得对抗第三人”的规定，因二人的股东资格已经在工商部门办理了登记，故即便未经商务部门的审核，也不影响二人以股东身份提起诉讼。</w:t>
      </w:r>
    </w:p>
    <w:p w:rsidR="00000000" w:rsidRDefault="003201E5">
      <w:pPr>
        <w:spacing w:line="500" w:lineRule="atLeast"/>
        <w:ind w:firstLine="600"/>
        <w:divId w:val="525215761"/>
        <w:rPr>
          <w:rFonts w:hint="eastAsia"/>
          <w:sz w:val="30"/>
          <w:szCs w:val="30"/>
        </w:rPr>
      </w:pPr>
      <w:r>
        <w:rPr>
          <w:rFonts w:hint="eastAsia"/>
          <w:sz w:val="30"/>
          <w:szCs w:val="30"/>
        </w:rPr>
        <w:t>关于第二个焦点。根据查明的事实，因案外人王毅拍卖成功后以标的物存在重大瑕疵为由解除了拍卖确认书，国贸拍卖公司于</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5</w:t>
      </w:r>
      <w:r>
        <w:rPr>
          <w:rFonts w:hint="eastAsia"/>
          <w:sz w:val="30"/>
          <w:szCs w:val="30"/>
        </w:rPr>
        <w:t>日与遵义市彩印厂签订《协议书》，约定由国贸拍卖公司以</w:t>
      </w:r>
      <w:r>
        <w:rPr>
          <w:rFonts w:hint="eastAsia"/>
          <w:sz w:val="30"/>
          <w:szCs w:val="30"/>
        </w:rPr>
        <w:t>956</w:t>
      </w:r>
      <w:r>
        <w:rPr>
          <w:rFonts w:hint="eastAsia"/>
          <w:sz w:val="30"/>
          <w:szCs w:val="30"/>
        </w:rPr>
        <w:t>万元购买涉案房产。其后，吴大辉通过国贸拍卖公司及个人账户向遵义市彩印厂支付了</w:t>
      </w:r>
      <w:r>
        <w:rPr>
          <w:rFonts w:hint="eastAsia"/>
          <w:sz w:val="30"/>
          <w:szCs w:val="30"/>
        </w:rPr>
        <w:t>800</w:t>
      </w:r>
      <w:r>
        <w:rPr>
          <w:rFonts w:hint="eastAsia"/>
          <w:sz w:val="30"/>
          <w:szCs w:val="30"/>
        </w:rPr>
        <w:t>多万元房款，并安排吴烨打印了</w:t>
      </w:r>
      <w:r>
        <w:rPr>
          <w:rFonts w:hint="eastAsia"/>
          <w:sz w:val="30"/>
          <w:szCs w:val="30"/>
        </w:rPr>
        <w:t>姜晓艳拍卖成交的《拍卖成交确认书》，由吴烨代表国贸拍卖公司签字并盖章，吴大辉代表姜晓艳签名。其后，吴大辉以国贸拍卖公司名义给姜晓艳出具了收到拍卖款</w:t>
      </w:r>
      <w:r>
        <w:rPr>
          <w:rFonts w:hint="eastAsia"/>
          <w:sz w:val="30"/>
          <w:szCs w:val="30"/>
        </w:rPr>
        <w:t>669.2</w:t>
      </w:r>
      <w:r>
        <w:rPr>
          <w:rFonts w:hint="eastAsia"/>
          <w:sz w:val="30"/>
          <w:szCs w:val="30"/>
        </w:rPr>
        <w:t>万元的收据，载明时间为</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4</w:t>
      </w:r>
      <w:r>
        <w:rPr>
          <w:rFonts w:hint="eastAsia"/>
          <w:sz w:val="30"/>
          <w:szCs w:val="30"/>
        </w:rPr>
        <w:t>日。其后，吴大辉、姜晓艳以此《拍卖成交确认书》和收据办理了房屋产权过户登记。从查明的事实看，国贸拍卖公司就涉案房产只举行了案外人王毅参加的一次拍卖，吴大辉以姜晓艳名义与吴烨签订的《拍卖成交确认书》并非通过真实拍卖成交而签订，而是吴大辉以姜晓艳名义通过虚假拍卖而购买，根据《中华人民共和国民法总则》第一百四十六条第一款关</w:t>
      </w:r>
      <w:r>
        <w:rPr>
          <w:rFonts w:hint="eastAsia"/>
          <w:sz w:val="30"/>
          <w:szCs w:val="30"/>
        </w:rPr>
        <w:t>于“行为人与相对人以虚假的意思表示实施的民事法律行为无效。”的规定，《拍卖成交确认书》应为无效。而且，所谓的拍卖价款</w:t>
      </w:r>
      <w:r>
        <w:rPr>
          <w:rFonts w:hint="eastAsia"/>
          <w:sz w:val="30"/>
          <w:szCs w:val="30"/>
        </w:rPr>
        <w:t>669.2</w:t>
      </w:r>
      <w:r>
        <w:rPr>
          <w:rFonts w:hint="eastAsia"/>
          <w:sz w:val="30"/>
          <w:szCs w:val="30"/>
        </w:rPr>
        <w:t>万元明显低于国贸拍卖公司与遵义市彩印厂达成的</w:t>
      </w:r>
      <w:r>
        <w:rPr>
          <w:rFonts w:hint="eastAsia"/>
          <w:sz w:val="30"/>
          <w:szCs w:val="30"/>
        </w:rPr>
        <w:t>956</w:t>
      </w:r>
      <w:r>
        <w:rPr>
          <w:rFonts w:hint="eastAsia"/>
          <w:sz w:val="30"/>
          <w:szCs w:val="30"/>
        </w:rPr>
        <w:t>万元，如果吴大辉、姜晓艳以此价格购得涉案房产，则国贸拍卖公司要向遵义市彩印厂承担拍卖差价，显然吴大辉此举有损公司利益。根据《中华人民共和国公司法》第一百四十八条关于“董事、高级管理人员不得有下列行为：……（四）违反公司章程的规定或者未经股东会、股东大会同意，与本公司订立合同或者进行交易；（五）未经股东会或者股东大会同意，利用职务便利为</w:t>
      </w:r>
      <w:r>
        <w:rPr>
          <w:rFonts w:hint="eastAsia"/>
          <w:sz w:val="30"/>
          <w:szCs w:val="30"/>
        </w:rPr>
        <w:t>自己或者他人谋取属于公司的商业机会，自营或者为他人经营与所任职公司同类的业务；……。董事、高级管理人员违反前款规定所得的收入应当归公司所有”的规定，吴大辉在作为国贸拍卖公司的高级管理人员以及其与姜晓艳系夫妻关系的情况下，将涉案房产通过虚假拍卖的方式登记在姜晓艳名下的行为损害了国贸拍卖公司的利益，故根据《中华人民共和国公司法》第一百四十九条、第一百五十一条的规定，吴静、吴秋可以主张吴大辉代姜晓艳签订的《拍卖成交确认书》无效。</w:t>
      </w:r>
    </w:p>
    <w:p w:rsidR="00000000" w:rsidRDefault="003201E5">
      <w:pPr>
        <w:spacing w:line="500" w:lineRule="atLeast"/>
        <w:ind w:firstLine="600"/>
        <w:divId w:val="486938670"/>
        <w:rPr>
          <w:rFonts w:hint="eastAsia"/>
          <w:sz w:val="30"/>
          <w:szCs w:val="30"/>
        </w:rPr>
      </w:pPr>
      <w:r>
        <w:rPr>
          <w:rFonts w:hint="eastAsia"/>
          <w:sz w:val="30"/>
          <w:szCs w:val="30"/>
        </w:rPr>
        <w:t>关于一审诉讼费的分担问题。因吴静、吴秋的诉讼请求为确认《拍卖成交确认书》无效以及房屋</w:t>
      </w:r>
      <w:r>
        <w:rPr>
          <w:rFonts w:hint="eastAsia"/>
          <w:sz w:val="30"/>
          <w:szCs w:val="30"/>
        </w:rPr>
        <w:t>归国贸拍卖公司所有，一审支持了确认《拍卖成交确认书》无效的请求，驳回了其余诉讼请求，根据《诉讼费用交纳办法》第二十九条第二款关于“部分胜诉、部分败诉的，人民法院根据案件的具体情况决定当事人各自负担的诉讼费用数额。”的规定，吴静、吴秋应分担部分诉讼费，吴大辉作为原审被告应共同与姜晓艳负担诉讼费，故一审在诉讼费的分担上确有不当，本院予以纠正。至于二审案件受理费的问题，因姜晓艳针对《拍卖成交确认书》的效力提出上诉，未涉及财产交付及争议金额，故二审案件受理费应按非财产案件标准按件交纳，即二审案件受理费应为</w:t>
      </w:r>
      <w:r>
        <w:rPr>
          <w:rFonts w:hint="eastAsia"/>
          <w:sz w:val="30"/>
          <w:szCs w:val="30"/>
        </w:rPr>
        <w:t>100</w:t>
      </w:r>
      <w:r>
        <w:rPr>
          <w:rFonts w:hint="eastAsia"/>
          <w:sz w:val="30"/>
          <w:szCs w:val="30"/>
        </w:rPr>
        <w:t>元，</w:t>
      </w:r>
      <w:r>
        <w:rPr>
          <w:rFonts w:hint="eastAsia"/>
          <w:sz w:val="30"/>
          <w:szCs w:val="30"/>
        </w:rPr>
        <w:t>故对于姜晓艳多交的</w:t>
      </w:r>
      <w:r>
        <w:rPr>
          <w:rFonts w:hint="eastAsia"/>
          <w:sz w:val="30"/>
          <w:szCs w:val="30"/>
        </w:rPr>
        <w:t>42350</w:t>
      </w:r>
      <w:r>
        <w:rPr>
          <w:rFonts w:hint="eastAsia"/>
          <w:sz w:val="30"/>
          <w:szCs w:val="30"/>
        </w:rPr>
        <w:t>元二审案件受理费，本院予以退回。</w:t>
      </w:r>
    </w:p>
    <w:p w:rsidR="00000000" w:rsidRDefault="003201E5">
      <w:pPr>
        <w:spacing w:line="500" w:lineRule="atLeast"/>
        <w:ind w:firstLine="600"/>
        <w:divId w:val="854074190"/>
        <w:rPr>
          <w:rFonts w:hint="eastAsia"/>
          <w:sz w:val="30"/>
          <w:szCs w:val="30"/>
        </w:rPr>
      </w:pPr>
      <w:r>
        <w:rPr>
          <w:rFonts w:hint="eastAsia"/>
          <w:sz w:val="30"/>
          <w:szCs w:val="30"/>
        </w:rPr>
        <w:t>综上所述，姜晓艳的上诉请求不能成立，应予驳回。一审判决认定事实清楚，适用法律正确，应予维持。依照《中华人民共和国民事诉讼法》第一百七十条第一款第一项规定，判决如下：</w:t>
      </w:r>
    </w:p>
    <w:p w:rsidR="00000000" w:rsidRDefault="003201E5">
      <w:pPr>
        <w:spacing w:line="500" w:lineRule="atLeast"/>
        <w:ind w:firstLine="600"/>
        <w:divId w:val="1773360257"/>
        <w:rPr>
          <w:rFonts w:hint="eastAsia"/>
          <w:sz w:val="30"/>
          <w:szCs w:val="30"/>
        </w:rPr>
      </w:pPr>
      <w:r>
        <w:rPr>
          <w:rFonts w:hint="eastAsia"/>
          <w:sz w:val="30"/>
          <w:szCs w:val="30"/>
        </w:rPr>
        <w:t>驳回上诉，维持原判。</w:t>
      </w:r>
    </w:p>
    <w:p w:rsidR="00000000" w:rsidRDefault="003201E5">
      <w:pPr>
        <w:spacing w:line="500" w:lineRule="atLeast"/>
        <w:ind w:firstLine="600"/>
        <w:divId w:val="2079592849"/>
        <w:rPr>
          <w:rFonts w:hint="eastAsia"/>
          <w:sz w:val="30"/>
          <w:szCs w:val="30"/>
        </w:rPr>
      </w:pPr>
      <w:r>
        <w:rPr>
          <w:rFonts w:hint="eastAsia"/>
          <w:sz w:val="30"/>
          <w:szCs w:val="30"/>
        </w:rPr>
        <w:t>一审案件受理费</w:t>
      </w:r>
      <w:r>
        <w:rPr>
          <w:rFonts w:hint="eastAsia"/>
          <w:sz w:val="30"/>
          <w:szCs w:val="30"/>
        </w:rPr>
        <w:t>42450</w:t>
      </w:r>
      <w:r>
        <w:rPr>
          <w:rFonts w:hint="eastAsia"/>
          <w:sz w:val="30"/>
          <w:szCs w:val="30"/>
        </w:rPr>
        <w:t>元，减半收取</w:t>
      </w:r>
      <w:r>
        <w:rPr>
          <w:rFonts w:hint="eastAsia"/>
          <w:sz w:val="30"/>
          <w:szCs w:val="30"/>
        </w:rPr>
        <w:t>21225</w:t>
      </w:r>
      <w:r>
        <w:rPr>
          <w:rFonts w:hint="eastAsia"/>
          <w:sz w:val="30"/>
          <w:szCs w:val="30"/>
        </w:rPr>
        <w:t>元，财产保全费</w:t>
      </w:r>
      <w:r>
        <w:rPr>
          <w:rFonts w:hint="eastAsia"/>
          <w:sz w:val="30"/>
          <w:szCs w:val="30"/>
        </w:rPr>
        <w:t>5000</w:t>
      </w:r>
      <w:r>
        <w:rPr>
          <w:rFonts w:hint="eastAsia"/>
          <w:sz w:val="30"/>
          <w:szCs w:val="30"/>
        </w:rPr>
        <w:t>元，共计</w:t>
      </w:r>
      <w:r>
        <w:rPr>
          <w:rFonts w:hint="eastAsia"/>
          <w:sz w:val="30"/>
          <w:szCs w:val="30"/>
        </w:rPr>
        <w:t>26225</w:t>
      </w:r>
      <w:r>
        <w:rPr>
          <w:rFonts w:hint="eastAsia"/>
          <w:sz w:val="30"/>
          <w:szCs w:val="30"/>
        </w:rPr>
        <w:t>元，由吴静、吴秋负担</w:t>
      </w:r>
      <w:r>
        <w:rPr>
          <w:rFonts w:hint="eastAsia"/>
          <w:sz w:val="30"/>
          <w:szCs w:val="30"/>
        </w:rPr>
        <w:t>21125</w:t>
      </w:r>
      <w:r>
        <w:rPr>
          <w:rFonts w:hint="eastAsia"/>
          <w:sz w:val="30"/>
          <w:szCs w:val="30"/>
        </w:rPr>
        <w:t>元，吴大辉、姜晓艳负担</w:t>
      </w:r>
      <w:r>
        <w:rPr>
          <w:rFonts w:hint="eastAsia"/>
          <w:sz w:val="30"/>
          <w:szCs w:val="30"/>
        </w:rPr>
        <w:t>5100</w:t>
      </w:r>
      <w:r>
        <w:rPr>
          <w:rFonts w:hint="eastAsia"/>
          <w:sz w:val="30"/>
          <w:szCs w:val="30"/>
        </w:rPr>
        <w:t>元；二审案件受理费</w:t>
      </w:r>
      <w:r>
        <w:rPr>
          <w:rFonts w:hint="eastAsia"/>
          <w:sz w:val="30"/>
          <w:szCs w:val="30"/>
        </w:rPr>
        <w:t>42450</w:t>
      </w:r>
      <w:r>
        <w:rPr>
          <w:rFonts w:hint="eastAsia"/>
          <w:sz w:val="30"/>
          <w:szCs w:val="30"/>
        </w:rPr>
        <w:t>元，由姜晓艳负担</w:t>
      </w:r>
      <w:r>
        <w:rPr>
          <w:rFonts w:hint="eastAsia"/>
          <w:sz w:val="30"/>
          <w:szCs w:val="30"/>
        </w:rPr>
        <w:t>100</w:t>
      </w:r>
      <w:r>
        <w:rPr>
          <w:rFonts w:hint="eastAsia"/>
          <w:sz w:val="30"/>
          <w:szCs w:val="30"/>
        </w:rPr>
        <w:t>元，本院退回姜晓艳</w:t>
      </w:r>
      <w:r>
        <w:rPr>
          <w:rFonts w:hint="eastAsia"/>
          <w:sz w:val="30"/>
          <w:szCs w:val="30"/>
        </w:rPr>
        <w:t>42350</w:t>
      </w:r>
      <w:r>
        <w:rPr>
          <w:rFonts w:hint="eastAsia"/>
          <w:sz w:val="30"/>
          <w:szCs w:val="30"/>
        </w:rPr>
        <w:t>元。</w:t>
      </w:r>
    </w:p>
    <w:p w:rsidR="00000000" w:rsidRDefault="003201E5">
      <w:pPr>
        <w:spacing w:line="500" w:lineRule="atLeast"/>
        <w:ind w:firstLine="600"/>
        <w:divId w:val="75130330"/>
        <w:rPr>
          <w:rFonts w:hint="eastAsia"/>
          <w:sz w:val="30"/>
          <w:szCs w:val="30"/>
        </w:rPr>
      </w:pPr>
      <w:r>
        <w:rPr>
          <w:rFonts w:hint="eastAsia"/>
          <w:sz w:val="30"/>
          <w:szCs w:val="30"/>
        </w:rPr>
        <w:t>本判决为终审判决。</w:t>
      </w:r>
    </w:p>
    <w:p w:rsidR="00000000" w:rsidRDefault="003201E5">
      <w:pPr>
        <w:spacing w:line="500" w:lineRule="atLeast"/>
        <w:ind w:firstLine="600"/>
        <w:divId w:val="2139251591"/>
        <w:rPr>
          <w:rFonts w:hint="eastAsia"/>
          <w:sz w:val="30"/>
          <w:szCs w:val="30"/>
        </w:rPr>
      </w:pPr>
      <w:r>
        <w:rPr>
          <w:rFonts w:hint="eastAsia"/>
          <w:sz w:val="30"/>
          <w:szCs w:val="30"/>
        </w:rPr>
        <w:t>（此页无正文</w:t>
      </w:r>
      <w:r>
        <w:rPr>
          <w:rFonts w:hint="eastAsia"/>
          <w:sz w:val="30"/>
          <w:szCs w:val="30"/>
        </w:rPr>
        <w:t>）</w:t>
      </w:r>
    </w:p>
    <w:p w:rsidR="00000000" w:rsidRDefault="003201E5">
      <w:pPr>
        <w:spacing w:line="500" w:lineRule="atLeast"/>
        <w:jc w:val="right"/>
        <w:divId w:val="1603491578"/>
        <w:rPr>
          <w:rFonts w:hint="eastAsia"/>
          <w:sz w:val="30"/>
          <w:szCs w:val="30"/>
        </w:rPr>
      </w:pPr>
      <w:r>
        <w:rPr>
          <w:rFonts w:hint="eastAsia"/>
          <w:sz w:val="30"/>
          <w:szCs w:val="30"/>
        </w:rPr>
        <w:t>审判长　　张洪</w:t>
      </w:r>
    </w:p>
    <w:p w:rsidR="00000000" w:rsidRDefault="003201E5">
      <w:pPr>
        <w:spacing w:line="500" w:lineRule="atLeast"/>
        <w:jc w:val="right"/>
        <w:divId w:val="1147547280"/>
        <w:rPr>
          <w:rFonts w:hint="eastAsia"/>
          <w:sz w:val="30"/>
          <w:szCs w:val="30"/>
        </w:rPr>
      </w:pPr>
      <w:r>
        <w:rPr>
          <w:rFonts w:hint="eastAsia"/>
          <w:sz w:val="30"/>
          <w:szCs w:val="30"/>
        </w:rPr>
        <w:t>审判员　　康龙</w:t>
      </w:r>
    </w:p>
    <w:p w:rsidR="00000000" w:rsidRDefault="003201E5">
      <w:pPr>
        <w:spacing w:line="500" w:lineRule="atLeast"/>
        <w:jc w:val="right"/>
        <w:divId w:val="1443645716"/>
        <w:rPr>
          <w:rFonts w:hint="eastAsia"/>
          <w:sz w:val="30"/>
          <w:szCs w:val="30"/>
        </w:rPr>
      </w:pPr>
      <w:r>
        <w:rPr>
          <w:rFonts w:hint="eastAsia"/>
          <w:sz w:val="30"/>
          <w:szCs w:val="30"/>
        </w:rPr>
        <w:t>审判员　　娄强</w:t>
      </w:r>
    </w:p>
    <w:p w:rsidR="00000000" w:rsidRDefault="003201E5">
      <w:pPr>
        <w:spacing w:line="500" w:lineRule="atLeast"/>
        <w:jc w:val="right"/>
        <w:divId w:val="612783263"/>
        <w:rPr>
          <w:rFonts w:hint="eastAsia"/>
          <w:sz w:val="30"/>
          <w:szCs w:val="30"/>
        </w:rPr>
      </w:pPr>
      <w:r>
        <w:rPr>
          <w:rFonts w:hint="eastAsia"/>
          <w:sz w:val="30"/>
          <w:szCs w:val="30"/>
        </w:rPr>
        <w:t>二〇一八年十月十日</w:t>
      </w:r>
    </w:p>
    <w:p w:rsidR="00000000" w:rsidRDefault="003201E5">
      <w:pPr>
        <w:spacing w:line="500" w:lineRule="atLeast"/>
        <w:jc w:val="right"/>
        <w:divId w:val="4751160"/>
        <w:rPr>
          <w:rFonts w:hint="eastAsia"/>
          <w:sz w:val="30"/>
          <w:szCs w:val="30"/>
        </w:rPr>
      </w:pPr>
      <w:r>
        <w:rPr>
          <w:rFonts w:hint="eastAsia"/>
          <w:sz w:val="30"/>
          <w:szCs w:val="30"/>
        </w:rPr>
        <w:t>书记员　　魏莱</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01E5" w:rsidRDefault="003201E5" w:rsidP="003201E5">
      <w:r>
        <w:separator/>
      </w:r>
    </w:p>
  </w:endnote>
  <w:endnote w:type="continuationSeparator" w:id="0">
    <w:p w:rsidR="003201E5" w:rsidRDefault="003201E5" w:rsidP="00320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01E5" w:rsidRDefault="003201E5" w:rsidP="003201E5">
      <w:r>
        <w:separator/>
      </w:r>
    </w:p>
  </w:footnote>
  <w:footnote w:type="continuationSeparator" w:id="0">
    <w:p w:rsidR="003201E5" w:rsidRDefault="003201E5" w:rsidP="003201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201E5"/>
    <w:rsid w:val="00320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3201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01E5"/>
    <w:rPr>
      <w:rFonts w:ascii="宋体" w:eastAsia="宋体" w:hAnsi="宋体" w:cs="宋体"/>
      <w:sz w:val="18"/>
      <w:szCs w:val="18"/>
    </w:rPr>
  </w:style>
  <w:style w:type="paragraph" w:styleId="a5">
    <w:name w:val="footer"/>
    <w:basedOn w:val="a"/>
    <w:link w:val="a6"/>
    <w:uiPriority w:val="99"/>
    <w:unhideWhenUsed/>
    <w:rsid w:val="003201E5"/>
    <w:pPr>
      <w:tabs>
        <w:tab w:val="center" w:pos="4153"/>
        <w:tab w:val="right" w:pos="8306"/>
      </w:tabs>
      <w:snapToGrid w:val="0"/>
    </w:pPr>
    <w:rPr>
      <w:sz w:val="18"/>
      <w:szCs w:val="18"/>
    </w:rPr>
  </w:style>
  <w:style w:type="character" w:customStyle="1" w:styleId="a6">
    <w:name w:val="页脚 字符"/>
    <w:basedOn w:val="a0"/>
    <w:link w:val="a5"/>
    <w:uiPriority w:val="99"/>
    <w:rsid w:val="003201E5"/>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1160">
      <w:marLeft w:val="0"/>
      <w:marRight w:val="720"/>
      <w:marTop w:val="10"/>
      <w:marBottom w:val="10"/>
      <w:divBdr>
        <w:top w:val="none" w:sz="0" w:space="0" w:color="auto"/>
        <w:left w:val="none" w:sz="0" w:space="0" w:color="auto"/>
        <w:bottom w:val="none" w:sz="0" w:space="0" w:color="auto"/>
        <w:right w:val="none" w:sz="0" w:space="0" w:color="auto"/>
      </w:divBdr>
    </w:div>
    <w:div w:id="75130330">
      <w:marLeft w:val="0"/>
      <w:marRight w:val="0"/>
      <w:marTop w:val="10"/>
      <w:marBottom w:val="10"/>
      <w:divBdr>
        <w:top w:val="none" w:sz="0" w:space="0" w:color="auto"/>
        <w:left w:val="none" w:sz="0" w:space="0" w:color="auto"/>
        <w:bottom w:val="none" w:sz="0" w:space="0" w:color="auto"/>
        <w:right w:val="none" w:sz="0" w:space="0" w:color="auto"/>
      </w:divBdr>
    </w:div>
    <w:div w:id="179206097">
      <w:marLeft w:val="0"/>
      <w:marRight w:val="0"/>
      <w:marTop w:val="10"/>
      <w:marBottom w:val="10"/>
      <w:divBdr>
        <w:top w:val="none" w:sz="0" w:space="0" w:color="auto"/>
        <w:left w:val="none" w:sz="0" w:space="0" w:color="auto"/>
        <w:bottom w:val="none" w:sz="0" w:space="0" w:color="auto"/>
        <w:right w:val="none" w:sz="0" w:space="0" w:color="auto"/>
      </w:divBdr>
    </w:div>
    <w:div w:id="190384552">
      <w:marLeft w:val="0"/>
      <w:marRight w:val="0"/>
      <w:marTop w:val="10"/>
      <w:marBottom w:val="10"/>
      <w:divBdr>
        <w:top w:val="none" w:sz="0" w:space="0" w:color="auto"/>
        <w:left w:val="none" w:sz="0" w:space="0" w:color="auto"/>
        <w:bottom w:val="none" w:sz="0" w:space="0" w:color="auto"/>
        <w:right w:val="none" w:sz="0" w:space="0" w:color="auto"/>
      </w:divBdr>
    </w:div>
    <w:div w:id="219175719">
      <w:marLeft w:val="0"/>
      <w:marRight w:val="0"/>
      <w:marTop w:val="10"/>
      <w:marBottom w:val="10"/>
      <w:divBdr>
        <w:top w:val="none" w:sz="0" w:space="0" w:color="auto"/>
        <w:left w:val="none" w:sz="0" w:space="0" w:color="auto"/>
        <w:bottom w:val="none" w:sz="0" w:space="0" w:color="auto"/>
        <w:right w:val="none" w:sz="0" w:space="0" w:color="auto"/>
      </w:divBdr>
    </w:div>
    <w:div w:id="239220514">
      <w:marLeft w:val="0"/>
      <w:marRight w:val="0"/>
      <w:marTop w:val="10"/>
      <w:marBottom w:val="10"/>
      <w:divBdr>
        <w:top w:val="none" w:sz="0" w:space="0" w:color="auto"/>
        <w:left w:val="none" w:sz="0" w:space="0" w:color="auto"/>
        <w:bottom w:val="none" w:sz="0" w:space="0" w:color="auto"/>
        <w:right w:val="none" w:sz="0" w:space="0" w:color="auto"/>
      </w:divBdr>
    </w:div>
    <w:div w:id="486938670">
      <w:marLeft w:val="0"/>
      <w:marRight w:val="0"/>
      <w:marTop w:val="10"/>
      <w:marBottom w:val="10"/>
      <w:divBdr>
        <w:top w:val="none" w:sz="0" w:space="0" w:color="auto"/>
        <w:left w:val="none" w:sz="0" w:space="0" w:color="auto"/>
        <w:bottom w:val="none" w:sz="0" w:space="0" w:color="auto"/>
        <w:right w:val="none" w:sz="0" w:space="0" w:color="auto"/>
      </w:divBdr>
    </w:div>
    <w:div w:id="525215761">
      <w:marLeft w:val="0"/>
      <w:marRight w:val="0"/>
      <w:marTop w:val="10"/>
      <w:marBottom w:val="10"/>
      <w:divBdr>
        <w:top w:val="none" w:sz="0" w:space="0" w:color="auto"/>
        <w:left w:val="none" w:sz="0" w:space="0" w:color="auto"/>
        <w:bottom w:val="none" w:sz="0" w:space="0" w:color="auto"/>
        <w:right w:val="none" w:sz="0" w:space="0" w:color="auto"/>
      </w:divBdr>
    </w:div>
    <w:div w:id="537284850">
      <w:marLeft w:val="0"/>
      <w:marRight w:val="0"/>
      <w:marTop w:val="10"/>
      <w:marBottom w:val="10"/>
      <w:divBdr>
        <w:top w:val="none" w:sz="0" w:space="0" w:color="auto"/>
        <w:left w:val="none" w:sz="0" w:space="0" w:color="auto"/>
        <w:bottom w:val="none" w:sz="0" w:space="0" w:color="auto"/>
        <w:right w:val="none" w:sz="0" w:space="0" w:color="auto"/>
      </w:divBdr>
    </w:div>
    <w:div w:id="612783263">
      <w:marLeft w:val="0"/>
      <w:marRight w:val="720"/>
      <w:marTop w:val="10"/>
      <w:marBottom w:val="10"/>
      <w:divBdr>
        <w:top w:val="none" w:sz="0" w:space="0" w:color="auto"/>
        <w:left w:val="none" w:sz="0" w:space="0" w:color="auto"/>
        <w:bottom w:val="none" w:sz="0" w:space="0" w:color="auto"/>
        <w:right w:val="none" w:sz="0" w:space="0" w:color="auto"/>
      </w:divBdr>
    </w:div>
    <w:div w:id="672419283">
      <w:marLeft w:val="0"/>
      <w:marRight w:val="0"/>
      <w:marTop w:val="10"/>
      <w:marBottom w:val="10"/>
      <w:divBdr>
        <w:top w:val="none" w:sz="0" w:space="0" w:color="auto"/>
        <w:left w:val="none" w:sz="0" w:space="0" w:color="auto"/>
        <w:bottom w:val="none" w:sz="0" w:space="0" w:color="auto"/>
        <w:right w:val="none" w:sz="0" w:space="0" w:color="auto"/>
      </w:divBdr>
    </w:div>
    <w:div w:id="737242374">
      <w:marLeft w:val="0"/>
      <w:marRight w:val="0"/>
      <w:marTop w:val="10"/>
      <w:marBottom w:val="10"/>
      <w:divBdr>
        <w:top w:val="none" w:sz="0" w:space="0" w:color="auto"/>
        <w:left w:val="none" w:sz="0" w:space="0" w:color="auto"/>
        <w:bottom w:val="none" w:sz="0" w:space="0" w:color="auto"/>
        <w:right w:val="none" w:sz="0" w:space="0" w:color="auto"/>
      </w:divBdr>
    </w:div>
    <w:div w:id="843857692">
      <w:marLeft w:val="0"/>
      <w:marRight w:val="0"/>
      <w:marTop w:val="10"/>
      <w:marBottom w:val="10"/>
      <w:divBdr>
        <w:top w:val="none" w:sz="0" w:space="0" w:color="auto"/>
        <w:left w:val="none" w:sz="0" w:space="0" w:color="auto"/>
        <w:bottom w:val="none" w:sz="0" w:space="0" w:color="auto"/>
        <w:right w:val="none" w:sz="0" w:space="0" w:color="auto"/>
      </w:divBdr>
    </w:div>
    <w:div w:id="854074190">
      <w:marLeft w:val="0"/>
      <w:marRight w:val="0"/>
      <w:marTop w:val="10"/>
      <w:marBottom w:val="10"/>
      <w:divBdr>
        <w:top w:val="none" w:sz="0" w:space="0" w:color="auto"/>
        <w:left w:val="none" w:sz="0" w:space="0" w:color="auto"/>
        <w:bottom w:val="none" w:sz="0" w:space="0" w:color="auto"/>
        <w:right w:val="none" w:sz="0" w:space="0" w:color="auto"/>
      </w:divBdr>
    </w:div>
    <w:div w:id="893470215">
      <w:marLeft w:val="0"/>
      <w:marRight w:val="0"/>
      <w:marTop w:val="10"/>
      <w:marBottom w:val="10"/>
      <w:divBdr>
        <w:top w:val="none" w:sz="0" w:space="0" w:color="auto"/>
        <w:left w:val="none" w:sz="0" w:space="0" w:color="auto"/>
        <w:bottom w:val="none" w:sz="0" w:space="0" w:color="auto"/>
        <w:right w:val="none" w:sz="0" w:space="0" w:color="auto"/>
      </w:divBdr>
    </w:div>
    <w:div w:id="894894835">
      <w:marLeft w:val="0"/>
      <w:marRight w:val="0"/>
      <w:marTop w:val="10"/>
      <w:marBottom w:val="10"/>
      <w:divBdr>
        <w:top w:val="none" w:sz="0" w:space="0" w:color="auto"/>
        <w:left w:val="none" w:sz="0" w:space="0" w:color="auto"/>
        <w:bottom w:val="none" w:sz="0" w:space="0" w:color="auto"/>
        <w:right w:val="none" w:sz="0" w:space="0" w:color="auto"/>
      </w:divBdr>
    </w:div>
    <w:div w:id="898596137">
      <w:marLeft w:val="0"/>
      <w:marRight w:val="0"/>
      <w:marTop w:val="10"/>
      <w:marBottom w:val="10"/>
      <w:divBdr>
        <w:top w:val="none" w:sz="0" w:space="0" w:color="auto"/>
        <w:left w:val="none" w:sz="0" w:space="0" w:color="auto"/>
        <w:bottom w:val="none" w:sz="0" w:space="0" w:color="auto"/>
        <w:right w:val="none" w:sz="0" w:space="0" w:color="auto"/>
      </w:divBdr>
    </w:div>
    <w:div w:id="903947623">
      <w:marLeft w:val="0"/>
      <w:marRight w:val="0"/>
      <w:marTop w:val="10"/>
      <w:marBottom w:val="10"/>
      <w:divBdr>
        <w:top w:val="none" w:sz="0" w:space="0" w:color="auto"/>
        <w:left w:val="none" w:sz="0" w:space="0" w:color="auto"/>
        <w:bottom w:val="none" w:sz="0" w:space="0" w:color="auto"/>
        <w:right w:val="none" w:sz="0" w:space="0" w:color="auto"/>
      </w:divBdr>
    </w:div>
    <w:div w:id="957294858">
      <w:marLeft w:val="0"/>
      <w:marRight w:val="0"/>
      <w:marTop w:val="10"/>
      <w:marBottom w:val="10"/>
      <w:divBdr>
        <w:top w:val="none" w:sz="0" w:space="0" w:color="auto"/>
        <w:left w:val="none" w:sz="0" w:space="0" w:color="auto"/>
        <w:bottom w:val="none" w:sz="0" w:space="0" w:color="auto"/>
        <w:right w:val="none" w:sz="0" w:space="0" w:color="auto"/>
      </w:divBdr>
    </w:div>
    <w:div w:id="978461274">
      <w:marLeft w:val="0"/>
      <w:marRight w:val="0"/>
      <w:marTop w:val="10"/>
      <w:marBottom w:val="10"/>
      <w:divBdr>
        <w:top w:val="none" w:sz="0" w:space="0" w:color="auto"/>
        <w:left w:val="none" w:sz="0" w:space="0" w:color="auto"/>
        <w:bottom w:val="none" w:sz="0" w:space="0" w:color="auto"/>
        <w:right w:val="none" w:sz="0" w:space="0" w:color="auto"/>
      </w:divBdr>
    </w:div>
    <w:div w:id="984512523">
      <w:marLeft w:val="0"/>
      <w:marRight w:val="0"/>
      <w:marTop w:val="10"/>
      <w:marBottom w:val="10"/>
      <w:divBdr>
        <w:top w:val="none" w:sz="0" w:space="0" w:color="auto"/>
        <w:left w:val="none" w:sz="0" w:space="0" w:color="auto"/>
        <w:bottom w:val="none" w:sz="0" w:space="0" w:color="auto"/>
        <w:right w:val="none" w:sz="0" w:space="0" w:color="auto"/>
      </w:divBdr>
    </w:div>
    <w:div w:id="984822368">
      <w:marLeft w:val="0"/>
      <w:marRight w:val="0"/>
      <w:marTop w:val="10"/>
      <w:marBottom w:val="10"/>
      <w:divBdr>
        <w:top w:val="none" w:sz="0" w:space="0" w:color="auto"/>
        <w:left w:val="none" w:sz="0" w:space="0" w:color="auto"/>
        <w:bottom w:val="none" w:sz="0" w:space="0" w:color="auto"/>
        <w:right w:val="none" w:sz="0" w:space="0" w:color="auto"/>
      </w:divBdr>
    </w:div>
    <w:div w:id="1147547280">
      <w:marLeft w:val="0"/>
      <w:marRight w:val="720"/>
      <w:marTop w:val="10"/>
      <w:marBottom w:val="10"/>
      <w:divBdr>
        <w:top w:val="none" w:sz="0" w:space="0" w:color="auto"/>
        <w:left w:val="none" w:sz="0" w:space="0" w:color="auto"/>
        <w:bottom w:val="none" w:sz="0" w:space="0" w:color="auto"/>
        <w:right w:val="none" w:sz="0" w:space="0" w:color="auto"/>
      </w:divBdr>
    </w:div>
    <w:div w:id="1233157257">
      <w:marLeft w:val="0"/>
      <w:marRight w:val="0"/>
      <w:marTop w:val="10"/>
      <w:marBottom w:val="10"/>
      <w:divBdr>
        <w:top w:val="none" w:sz="0" w:space="0" w:color="auto"/>
        <w:left w:val="none" w:sz="0" w:space="0" w:color="auto"/>
        <w:bottom w:val="none" w:sz="0" w:space="0" w:color="auto"/>
        <w:right w:val="none" w:sz="0" w:space="0" w:color="auto"/>
      </w:divBdr>
    </w:div>
    <w:div w:id="1234119007">
      <w:marLeft w:val="0"/>
      <w:marRight w:val="0"/>
      <w:marTop w:val="10"/>
      <w:marBottom w:val="10"/>
      <w:divBdr>
        <w:top w:val="none" w:sz="0" w:space="0" w:color="auto"/>
        <w:left w:val="none" w:sz="0" w:space="0" w:color="auto"/>
        <w:bottom w:val="none" w:sz="0" w:space="0" w:color="auto"/>
        <w:right w:val="none" w:sz="0" w:space="0" w:color="auto"/>
      </w:divBdr>
    </w:div>
    <w:div w:id="1322469284">
      <w:marLeft w:val="0"/>
      <w:marRight w:val="0"/>
      <w:marTop w:val="10"/>
      <w:marBottom w:val="10"/>
      <w:divBdr>
        <w:top w:val="none" w:sz="0" w:space="0" w:color="auto"/>
        <w:left w:val="none" w:sz="0" w:space="0" w:color="auto"/>
        <w:bottom w:val="none" w:sz="0" w:space="0" w:color="auto"/>
        <w:right w:val="none" w:sz="0" w:space="0" w:color="auto"/>
      </w:divBdr>
    </w:div>
    <w:div w:id="1340355097">
      <w:marLeft w:val="0"/>
      <w:marRight w:val="0"/>
      <w:marTop w:val="10"/>
      <w:marBottom w:val="10"/>
      <w:divBdr>
        <w:top w:val="none" w:sz="0" w:space="0" w:color="auto"/>
        <w:left w:val="none" w:sz="0" w:space="0" w:color="auto"/>
        <w:bottom w:val="none" w:sz="0" w:space="0" w:color="auto"/>
        <w:right w:val="none" w:sz="0" w:space="0" w:color="auto"/>
      </w:divBdr>
    </w:div>
    <w:div w:id="1443645716">
      <w:marLeft w:val="0"/>
      <w:marRight w:val="720"/>
      <w:marTop w:val="10"/>
      <w:marBottom w:val="10"/>
      <w:divBdr>
        <w:top w:val="none" w:sz="0" w:space="0" w:color="auto"/>
        <w:left w:val="none" w:sz="0" w:space="0" w:color="auto"/>
        <w:bottom w:val="none" w:sz="0" w:space="0" w:color="auto"/>
        <w:right w:val="none" w:sz="0" w:space="0" w:color="auto"/>
      </w:divBdr>
    </w:div>
    <w:div w:id="1482622515">
      <w:marLeft w:val="0"/>
      <w:marRight w:val="0"/>
      <w:marTop w:val="10"/>
      <w:marBottom w:val="10"/>
      <w:divBdr>
        <w:top w:val="none" w:sz="0" w:space="0" w:color="auto"/>
        <w:left w:val="none" w:sz="0" w:space="0" w:color="auto"/>
        <w:bottom w:val="none" w:sz="0" w:space="0" w:color="auto"/>
        <w:right w:val="none" w:sz="0" w:space="0" w:color="auto"/>
      </w:divBdr>
    </w:div>
    <w:div w:id="1519731792">
      <w:marLeft w:val="0"/>
      <w:marRight w:val="0"/>
      <w:marTop w:val="10"/>
      <w:marBottom w:val="10"/>
      <w:divBdr>
        <w:top w:val="none" w:sz="0" w:space="0" w:color="auto"/>
        <w:left w:val="none" w:sz="0" w:space="0" w:color="auto"/>
        <w:bottom w:val="none" w:sz="0" w:space="0" w:color="auto"/>
        <w:right w:val="none" w:sz="0" w:space="0" w:color="auto"/>
      </w:divBdr>
    </w:div>
    <w:div w:id="1585071274">
      <w:marLeft w:val="0"/>
      <w:marRight w:val="0"/>
      <w:marTop w:val="10"/>
      <w:marBottom w:val="10"/>
      <w:divBdr>
        <w:top w:val="none" w:sz="0" w:space="0" w:color="auto"/>
        <w:left w:val="none" w:sz="0" w:space="0" w:color="auto"/>
        <w:bottom w:val="none" w:sz="0" w:space="0" w:color="auto"/>
        <w:right w:val="none" w:sz="0" w:space="0" w:color="auto"/>
      </w:divBdr>
    </w:div>
    <w:div w:id="1603491578">
      <w:marLeft w:val="0"/>
      <w:marRight w:val="720"/>
      <w:marTop w:val="10"/>
      <w:marBottom w:val="10"/>
      <w:divBdr>
        <w:top w:val="none" w:sz="0" w:space="0" w:color="auto"/>
        <w:left w:val="none" w:sz="0" w:space="0" w:color="auto"/>
        <w:bottom w:val="none" w:sz="0" w:space="0" w:color="auto"/>
        <w:right w:val="none" w:sz="0" w:space="0" w:color="auto"/>
      </w:divBdr>
    </w:div>
    <w:div w:id="1644461337">
      <w:marLeft w:val="0"/>
      <w:marRight w:val="0"/>
      <w:marTop w:val="10"/>
      <w:marBottom w:val="10"/>
      <w:divBdr>
        <w:top w:val="none" w:sz="0" w:space="0" w:color="auto"/>
        <w:left w:val="none" w:sz="0" w:space="0" w:color="auto"/>
        <w:bottom w:val="none" w:sz="0" w:space="0" w:color="auto"/>
        <w:right w:val="none" w:sz="0" w:space="0" w:color="auto"/>
      </w:divBdr>
    </w:div>
    <w:div w:id="1662195130">
      <w:marLeft w:val="0"/>
      <w:marRight w:val="0"/>
      <w:marTop w:val="10"/>
      <w:marBottom w:val="10"/>
      <w:divBdr>
        <w:top w:val="none" w:sz="0" w:space="0" w:color="auto"/>
        <w:left w:val="none" w:sz="0" w:space="0" w:color="auto"/>
        <w:bottom w:val="none" w:sz="0" w:space="0" w:color="auto"/>
        <w:right w:val="none" w:sz="0" w:space="0" w:color="auto"/>
      </w:divBdr>
    </w:div>
    <w:div w:id="1773360257">
      <w:marLeft w:val="0"/>
      <w:marRight w:val="0"/>
      <w:marTop w:val="10"/>
      <w:marBottom w:val="10"/>
      <w:divBdr>
        <w:top w:val="none" w:sz="0" w:space="0" w:color="auto"/>
        <w:left w:val="none" w:sz="0" w:space="0" w:color="auto"/>
        <w:bottom w:val="none" w:sz="0" w:space="0" w:color="auto"/>
        <w:right w:val="none" w:sz="0" w:space="0" w:color="auto"/>
      </w:divBdr>
    </w:div>
    <w:div w:id="1854148069">
      <w:marLeft w:val="0"/>
      <w:marRight w:val="0"/>
      <w:marTop w:val="10"/>
      <w:marBottom w:val="10"/>
      <w:divBdr>
        <w:top w:val="none" w:sz="0" w:space="0" w:color="auto"/>
        <w:left w:val="none" w:sz="0" w:space="0" w:color="auto"/>
        <w:bottom w:val="none" w:sz="0" w:space="0" w:color="auto"/>
        <w:right w:val="none" w:sz="0" w:space="0" w:color="auto"/>
      </w:divBdr>
    </w:div>
    <w:div w:id="1859781064">
      <w:marLeft w:val="0"/>
      <w:marRight w:val="0"/>
      <w:marTop w:val="10"/>
      <w:marBottom w:val="10"/>
      <w:divBdr>
        <w:top w:val="none" w:sz="0" w:space="0" w:color="auto"/>
        <w:left w:val="none" w:sz="0" w:space="0" w:color="auto"/>
        <w:bottom w:val="none" w:sz="0" w:space="0" w:color="auto"/>
        <w:right w:val="none" w:sz="0" w:space="0" w:color="auto"/>
      </w:divBdr>
    </w:div>
    <w:div w:id="1899710191">
      <w:marLeft w:val="0"/>
      <w:marRight w:val="0"/>
      <w:marTop w:val="10"/>
      <w:marBottom w:val="10"/>
      <w:divBdr>
        <w:top w:val="none" w:sz="0" w:space="0" w:color="auto"/>
        <w:left w:val="none" w:sz="0" w:space="0" w:color="auto"/>
        <w:bottom w:val="none" w:sz="0" w:space="0" w:color="auto"/>
        <w:right w:val="none" w:sz="0" w:space="0" w:color="auto"/>
      </w:divBdr>
    </w:div>
    <w:div w:id="1946575991">
      <w:marLeft w:val="0"/>
      <w:marRight w:val="0"/>
      <w:marTop w:val="10"/>
      <w:marBottom w:val="10"/>
      <w:divBdr>
        <w:top w:val="none" w:sz="0" w:space="0" w:color="auto"/>
        <w:left w:val="none" w:sz="0" w:space="0" w:color="auto"/>
        <w:bottom w:val="none" w:sz="0" w:space="0" w:color="auto"/>
        <w:right w:val="none" w:sz="0" w:space="0" w:color="auto"/>
      </w:divBdr>
    </w:div>
    <w:div w:id="1950819092">
      <w:marLeft w:val="0"/>
      <w:marRight w:val="0"/>
      <w:marTop w:val="10"/>
      <w:marBottom w:val="10"/>
      <w:divBdr>
        <w:top w:val="none" w:sz="0" w:space="0" w:color="auto"/>
        <w:left w:val="none" w:sz="0" w:space="0" w:color="auto"/>
        <w:bottom w:val="none" w:sz="0" w:space="0" w:color="auto"/>
        <w:right w:val="none" w:sz="0" w:space="0" w:color="auto"/>
      </w:divBdr>
    </w:div>
    <w:div w:id="1966036830">
      <w:marLeft w:val="0"/>
      <w:marRight w:val="0"/>
      <w:marTop w:val="10"/>
      <w:marBottom w:val="10"/>
      <w:divBdr>
        <w:top w:val="none" w:sz="0" w:space="0" w:color="auto"/>
        <w:left w:val="none" w:sz="0" w:space="0" w:color="auto"/>
        <w:bottom w:val="none" w:sz="0" w:space="0" w:color="auto"/>
        <w:right w:val="none" w:sz="0" w:space="0" w:color="auto"/>
      </w:divBdr>
    </w:div>
    <w:div w:id="2079592849">
      <w:marLeft w:val="0"/>
      <w:marRight w:val="0"/>
      <w:marTop w:val="10"/>
      <w:marBottom w:val="10"/>
      <w:divBdr>
        <w:top w:val="none" w:sz="0" w:space="0" w:color="auto"/>
        <w:left w:val="none" w:sz="0" w:space="0" w:color="auto"/>
        <w:bottom w:val="none" w:sz="0" w:space="0" w:color="auto"/>
        <w:right w:val="none" w:sz="0" w:space="0" w:color="auto"/>
      </w:divBdr>
    </w:div>
    <w:div w:id="2123835659">
      <w:marLeft w:val="0"/>
      <w:marRight w:val="0"/>
      <w:marTop w:val="10"/>
      <w:marBottom w:val="10"/>
      <w:divBdr>
        <w:top w:val="none" w:sz="0" w:space="0" w:color="auto"/>
        <w:left w:val="none" w:sz="0" w:space="0" w:color="auto"/>
        <w:bottom w:val="none" w:sz="0" w:space="0" w:color="auto"/>
        <w:right w:val="none" w:sz="0" w:space="0" w:color="auto"/>
      </w:divBdr>
    </w:div>
    <w:div w:id="2139251591">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1314</Words>
  <Characters>7496</Characters>
  <Application>Microsoft Office Word</Application>
  <DocSecurity>0</DocSecurity>
  <Lines>62</Lines>
  <Paragraphs>17</Paragraphs>
  <ScaleCrop>false</ScaleCrop>
  <Company/>
  <LinksUpToDate>false</LinksUpToDate>
  <CharactersWithSpaces>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2021-12-15T08:47:00Z</dcterms:created>
  <dcterms:modified xsi:type="dcterms:W3CDTF">2021-12-15T08:47:00Z</dcterms:modified>
</cp:coreProperties>
</file>