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513" w:rsidRDefault="00364383">
      <w:pPr>
        <w:spacing w:line="500" w:lineRule="atLeast"/>
        <w:jc w:val="center"/>
        <w:divId w:val="1088229017"/>
        <w:rPr>
          <w:rFonts w:ascii="黑体" w:eastAsia="黑体" w:hAnsi="黑体"/>
          <w:sz w:val="36"/>
          <w:szCs w:val="36"/>
        </w:rPr>
      </w:pPr>
      <w:r>
        <w:rPr>
          <w:rFonts w:ascii="黑体" w:eastAsia="黑体" w:hAnsi="黑体" w:hint="eastAsia"/>
          <w:sz w:val="36"/>
          <w:szCs w:val="36"/>
        </w:rPr>
        <w:t>浙江省</w:t>
      </w:r>
      <w:bookmarkStart w:id="0" w:name="_GoBack"/>
      <w:bookmarkEnd w:id="0"/>
      <w:r w:rsidR="00A63384">
        <w:rPr>
          <w:rFonts w:ascii="黑体" w:eastAsia="黑体" w:hAnsi="黑体" w:hint="eastAsia"/>
          <w:sz w:val="36"/>
          <w:szCs w:val="36"/>
        </w:rPr>
        <w:t>温州市鹿城区人民法院</w:t>
      </w:r>
    </w:p>
    <w:p w:rsidR="00B63513" w:rsidRDefault="00A63384">
      <w:pPr>
        <w:spacing w:line="500" w:lineRule="atLeast"/>
        <w:jc w:val="center"/>
        <w:divId w:val="374889702"/>
        <w:rPr>
          <w:rFonts w:ascii="黑体" w:eastAsia="黑体" w:hAnsi="黑体"/>
          <w:sz w:val="36"/>
          <w:szCs w:val="36"/>
        </w:rPr>
      </w:pPr>
      <w:r>
        <w:rPr>
          <w:rFonts w:ascii="黑体" w:eastAsia="黑体" w:hAnsi="黑体" w:hint="eastAsia"/>
          <w:sz w:val="36"/>
          <w:szCs w:val="36"/>
        </w:rPr>
        <w:t>民 事 判 决 书</w:t>
      </w:r>
    </w:p>
    <w:p w:rsidR="00B63513" w:rsidRDefault="00A63384">
      <w:pPr>
        <w:spacing w:line="500" w:lineRule="atLeast"/>
        <w:jc w:val="right"/>
        <w:divId w:val="318004062"/>
        <w:rPr>
          <w:sz w:val="30"/>
          <w:szCs w:val="30"/>
        </w:rPr>
      </w:pPr>
      <w:r>
        <w:rPr>
          <w:rFonts w:hint="eastAsia"/>
          <w:sz w:val="30"/>
          <w:szCs w:val="30"/>
        </w:rPr>
        <w:t>（2019）浙0302民初260号</w:t>
      </w:r>
    </w:p>
    <w:p w:rsidR="00B63513" w:rsidRDefault="00A63384">
      <w:pPr>
        <w:spacing w:line="500" w:lineRule="atLeast"/>
        <w:ind w:firstLine="600"/>
        <w:divId w:val="1211066164"/>
        <w:rPr>
          <w:sz w:val="30"/>
          <w:szCs w:val="30"/>
        </w:rPr>
      </w:pPr>
      <w:r>
        <w:rPr>
          <w:rFonts w:hint="eastAsia"/>
          <w:sz w:val="30"/>
          <w:szCs w:val="30"/>
        </w:rPr>
        <w:t>原告：张俊红，女，1980年7月10日出生，汉族，住浙江省温州市鹿城区。</w:t>
      </w:r>
    </w:p>
    <w:p w:rsidR="00B63513" w:rsidRDefault="00A63384">
      <w:pPr>
        <w:spacing w:line="500" w:lineRule="atLeast"/>
        <w:ind w:firstLine="600"/>
        <w:divId w:val="1551073136"/>
        <w:rPr>
          <w:sz w:val="30"/>
          <w:szCs w:val="30"/>
        </w:rPr>
      </w:pPr>
      <w:r>
        <w:rPr>
          <w:rFonts w:hint="eastAsia"/>
          <w:sz w:val="30"/>
          <w:szCs w:val="30"/>
        </w:rPr>
        <w:t>委托诉讼代理人：马铭蔚，上海虹桥正瀚律师事务所律师。</w:t>
      </w:r>
    </w:p>
    <w:p w:rsidR="00B63513" w:rsidRDefault="00A63384">
      <w:pPr>
        <w:spacing w:line="500" w:lineRule="atLeast"/>
        <w:ind w:firstLine="600"/>
        <w:divId w:val="501555573"/>
        <w:rPr>
          <w:sz w:val="30"/>
          <w:szCs w:val="30"/>
        </w:rPr>
      </w:pPr>
      <w:r>
        <w:rPr>
          <w:rFonts w:hint="eastAsia"/>
          <w:sz w:val="30"/>
          <w:szCs w:val="30"/>
        </w:rPr>
        <w:t>被告：陆义，男，1988年10月7日出生，汉族，住浙江省温州市鹿城区。</w:t>
      </w:r>
    </w:p>
    <w:p w:rsidR="00B63513" w:rsidRDefault="00A63384">
      <w:pPr>
        <w:spacing w:line="500" w:lineRule="atLeast"/>
        <w:ind w:firstLine="600"/>
        <w:divId w:val="657922065"/>
        <w:rPr>
          <w:sz w:val="30"/>
          <w:szCs w:val="30"/>
        </w:rPr>
      </w:pPr>
      <w:r>
        <w:rPr>
          <w:rFonts w:hint="eastAsia"/>
          <w:sz w:val="30"/>
          <w:szCs w:val="30"/>
        </w:rPr>
        <w:t>委托诉讼代理人：余隐，北京京师（温州）律师事务所律师。</w:t>
      </w:r>
    </w:p>
    <w:p w:rsidR="00B63513" w:rsidRDefault="00A63384">
      <w:pPr>
        <w:spacing w:line="500" w:lineRule="atLeast"/>
        <w:ind w:firstLine="600"/>
        <w:divId w:val="1124270592"/>
        <w:rPr>
          <w:sz w:val="30"/>
          <w:szCs w:val="30"/>
        </w:rPr>
      </w:pPr>
      <w:r>
        <w:rPr>
          <w:rFonts w:hint="eastAsia"/>
          <w:sz w:val="30"/>
          <w:szCs w:val="30"/>
        </w:rPr>
        <w:t>第三人：江西易富科技有限公司，住所地：江西省赣州市宁都县工业园。</w:t>
      </w:r>
    </w:p>
    <w:p w:rsidR="00B63513" w:rsidRDefault="00A63384">
      <w:pPr>
        <w:spacing w:line="500" w:lineRule="atLeast"/>
        <w:ind w:firstLine="600"/>
        <w:divId w:val="978732654"/>
        <w:rPr>
          <w:sz w:val="30"/>
          <w:szCs w:val="30"/>
        </w:rPr>
      </w:pPr>
      <w:r>
        <w:rPr>
          <w:rFonts w:hint="eastAsia"/>
          <w:sz w:val="30"/>
          <w:szCs w:val="30"/>
        </w:rPr>
        <w:t>法定代表人：易淳（已故），该公司执行董事。</w:t>
      </w:r>
    </w:p>
    <w:p w:rsidR="00B63513" w:rsidRDefault="00A63384">
      <w:pPr>
        <w:spacing w:line="500" w:lineRule="atLeast"/>
        <w:ind w:firstLine="600"/>
        <w:divId w:val="170417712"/>
        <w:rPr>
          <w:sz w:val="30"/>
          <w:szCs w:val="30"/>
        </w:rPr>
      </w:pPr>
      <w:r>
        <w:rPr>
          <w:rFonts w:hint="eastAsia"/>
          <w:sz w:val="30"/>
          <w:szCs w:val="30"/>
        </w:rPr>
        <w:t>第三人：江西易立服饰有限公司，住所地：江西省赣州市宁都县工业园田头路北侧。</w:t>
      </w:r>
    </w:p>
    <w:p w:rsidR="00B63513" w:rsidRDefault="00A63384">
      <w:pPr>
        <w:spacing w:line="500" w:lineRule="atLeast"/>
        <w:ind w:firstLine="600"/>
        <w:divId w:val="2030180922"/>
        <w:rPr>
          <w:sz w:val="30"/>
          <w:szCs w:val="30"/>
        </w:rPr>
      </w:pPr>
      <w:r>
        <w:rPr>
          <w:rFonts w:hint="eastAsia"/>
          <w:sz w:val="30"/>
          <w:szCs w:val="30"/>
        </w:rPr>
        <w:t>法定代表人：易莉莉，该公司执行董事。</w:t>
      </w:r>
    </w:p>
    <w:p w:rsidR="00B63513" w:rsidRDefault="00A63384">
      <w:pPr>
        <w:spacing w:line="500" w:lineRule="atLeast"/>
        <w:ind w:firstLine="600"/>
        <w:divId w:val="1146437330"/>
        <w:rPr>
          <w:sz w:val="30"/>
          <w:szCs w:val="30"/>
        </w:rPr>
      </w:pPr>
      <w:r>
        <w:rPr>
          <w:rFonts w:hint="eastAsia"/>
          <w:sz w:val="30"/>
          <w:szCs w:val="30"/>
        </w:rPr>
        <w:t>原告张俊红与被告陆义、第三人江西易富科技有限公司（以下简称易富公司）、第三人江西易立服饰有限公司（以下简称易立公司）损害公司利益责任纠纷一案，本院于2019年1月3日立案后，依法适用普通程序，公开开庭进行了审理。原告张俊红的委托诉讼代理人马铭蔚，被告陆义的委托诉讼代理人余隐到庭参加诉讼，第三人易富公司、易立公司经本院合法传唤无正当理由拒不到庭。本案现已审理终结。</w:t>
      </w:r>
    </w:p>
    <w:p w:rsidR="00B63513" w:rsidRDefault="00A63384">
      <w:pPr>
        <w:spacing w:line="500" w:lineRule="atLeast"/>
        <w:ind w:firstLine="600"/>
        <w:divId w:val="97409102"/>
        <w:rPr>
          <w:sz w:val="30"/>
          <w:szCs w:val="30"/>
        </w:rPr>
      </w:pPr>
      <w:r>
        <w:rPr>
          <w:rFonts w:hint="eastAsia"/>
          <w:sz w:val="30"/>
          <w:szCs w:val="30"/>
        </w:rPr>
        <w:t>原告张俊红向本院提出诉讼请求：1.判令被告陆义停止从事与第三人易富公司经营范围类似或相同的竞业行为，具体为被告陆义停止在第三人易立公司继续持股并担任高级管理人</w:t>
      </w:r>
      <w:r>
        <w:rPr>
          <w:rFonts w:hint="eastAsia"/>
          <w:sz w:val="30"/>
          <w:szCs w:val="30"/>
        </w:rPr>
        <w:lastRenderedPageBreak/>
        <w:t>员；2.判令被告陆义投资经营第三人易立公司所得收入归第三人易富科技所有；3.判令被告陆义赔偿第三人易富公司损失500万元。事实和理由：第三人易富公司最初由案外人陈晓新、易淳投资设立，陈晓新持股17%，易淳持股83%，登记经营范围为：服装、鞋、纺织品、服装辅料、皮件制造、销售；房地产投资、建筑材料销售、酒店管理服务，主要业务系为海澜之家提供男士西装、夹克及大衣等加工服务。</w:t>
      </w:r>
    </w:p>
    <w:p w:rsidR="00B63513" w:rsidRDefault="00A63384">
      <w:pPr>
        <w:spacing w:line="500" w:lineRule="atLeast"/>
        <w:ind w:firstLine="600"/>
        <w:divId w:val="1105923220"/>
        <w:rPr>
          <w:sz w:val="30"/>
          <w:szCs w:val="30"/>
        </w:rPr>
      </w:pPr>
      <w:r>
        <w:rPr>
          <w:rFonts w:hint="eastAsia"/>
          <w:sz w:val="30"/>
          <w:szCs w:val="30"/>
        </w:rPr>
        <w:t>2011年6月24日，原告与易淳登记结婚。2017年8月3日易淳因病去世。鹿城区人民法院于2018年3月2日作出的（2017）浙0302民初10937号民事调解书，确认易淳持有的第三人易富公司股权的41%由原告继承，42%由易淳之女易莉莉继承。自此，原告成为第三人易富公司股东。</w:t>
      </w:r>
    </w:p>
    <w:p w:rsidR="00B63513" w:rsidRDefault="00A63384">
      <w:pPr>
        <w:spacing w:line="500" w:lineRule="atLeast"/>
        <w:ind w:firstLine="600"/>
        <w:divId w:val="151337257"/>
        <w:rPr>
          <w:sz w:val="30"/>
          <w:szCs w:val="30"/>
        </w:rPr>
      </w:pPr>
      <w:r>
        <w:rPr>
          <w:rFonts w:hint="eastAsia"/>
          <w:sz w:val="30"/>
          <w:szCs w:val="30"/>
        </w:rPr>
        <w:t>被告陆义系易莉莉配偶，现任第三人易富公司采购销售负责人，主要负责易富公司面料及辅料的采购及与海澜之家的销售。被告陆义与另外两名高管陈晓新、王晓冬实际操控第三人易富公司运营管理。同时被告陆义拒绝原告进入易富公司行使股东权利。</w:t>
      </w:r>
    </w:p>
    <w:p w:rsidR="00B63513" w:rsidRDefault="00A63384">
      <w:pPr>
        <w:spacing w:line="500" w:lineRule="atLeast"/>
        <w:ind w:firstLine="600"/>
        <w:divId w:val="76828326"/>
        <w:rPr>
          <w:sz w:val="30"/>
          <w:szCs w:val="30"/>
        </w:rPr>
      </w:pPr>
      <w:r>
        <w:rPr>
          <w:rFonts w:hint="eastAsia"/>
          <w:sz w:val="30"/>
          <w:szCs w:val="30"/>
        </w:rPr>
        <w:t>2017年11月2日，被告与易莉莉设立易立公司，持股5%，并担任易立公司监事。第三人易立公司登记经营范围为：服装、鞋、纺织品、服装辅料、皮件制造、销售与第三人易富公司经营范围高度一致。</w:t>
      </w:r>
    </w:p>
    <w:p w:rsidR="00B63513" w:rsidRDefault="00A63384">
      <w:pPr>
        <w:spacing w:line="500" w:lineRule="atLeast"/>
        <w:ind w:firstLine="600"/>
        <w:divId w:val="1285961040"/>
        <w:rPr>
          <w:sz w:val="30"/>
          <w:szCs w:val="30"/>
        </w:rPr>
      </w:pPr>
      <w:r>
        <w:rPr>
          <w:rFonts w:hint="eastAsia"/>
          <w:sz w:val="30"/>
          <w:szCs w:val="30"/>
        </w:rPr>
        <w:t>被告陆义的行为违反竞业禁止，其投资经营第三人易立公司所得收入应当归第三人易富公司所有，且其利用其职务便利，将海澜之家与第三人易富公司签订的订单转移至易立公司，并利用第三人易富公司的全套生产流水线为易立公司完成订单，将所有订单利益归属于易立公司，而由易富公司承担全部生产、制造成本。且之后被告操作公司，直接操控易立公司</w:t>
      </w:r>
      <w:r>
        <w:rPr>
          <w:rFonts w:hint="eastAsia"/>
          <w:sz w:val="30"/>
          <w:szCs w:val="30"/>
        </w:rPr>
        <w:lastRenderedPageBreak/>
        <w:t>与海澜之家签订合同，剥夺了第三人易富公司的商业机会，对第三人易富公司造成严重损失，被告应当承担赔偿责任。</w:t>
      </w:r>
    </w:p>
    <w:p w:rsidR="00B63513" w:rsidRDefault="00A63384">
      <w:pPr>
        <w:spacing w:line="500" w:lineRule="atLeast"/>
        <w:ind w:firstLine="600"/>
        <w:divId w:val="1713457859"/>
        <w:rPr>
          <w:sz w:val="30"/>
          <w:szCs w:val="30"/>
        </w:rPr>
      </w:pPr>
      <w:r>
        <w:rPr>
          <w:rFonts w:hint="eastAsia"/>
          <w:sz w:val="30"/>
          <w:szCs w:val="30"/>
        </w:rPr>
        <w:t>易富公司监事陈晓新严重违反竞业禁止义务，原告已另案提起诉讼。本案原告实际已经无法履行股东代表诉讼的前置程序，因此直接提起诉讼，望判如所请。</w:t>
      </w:r>
    </w:p>
    <w:p w:rsidR="00B63513" w:rsidRDefault="00A63384">
      <w:pPr>
        <w:spacing w:line="500" w:lineRule="atLeast"/>
        <w:ind w:firstLine="600"/>
        <w:divId w:val="1193301805"/>
        <w:rPr>
          <w:sz w:val="30"/>
          <w:szCs w:val="30"/>
        </w:rPr>
      </w:pPr>
      <w:r>
        <w:rPr>
          <w:rFonts w:hint="eastAsia"/>
          <w:sz w:val="30"/>
          <w:szCs w:val="30"/>
        </w:rPr>
        <w:t>被告陆义辩称：一、原告主体不适格：1.原告仅提供了民事调解书，虽然调解书确认易富公司41%的股份由原告继承，但是原告并未完成股东身份的工商登记手续，也未被记载于公司章程，原告是否系易富公司的股东，是否有权提起本案诉讼，无法确定。2.假设原告系易富公司的股东，其有权依据《公司法》的相关规定提起本案诉讼，也应当依法先履行相应前置程序。二、被告陆义不是易富公司的高管，其只是采购部的工作人员之一。即使陆义是高管，陆义也没有违反《公司法》第148条规定的竞业禁止规定，没有利用职务之便谋取易富公司的商业机会。易立公司获取海澜之家的订单不属于陆义的职权范围。三、被告陆义没有自营或为他人经营与所任职企业同类的行为。其只是易立公司的监事，不是高级管理人员，不是经营管理人员，不存在自营和为他人经营易立公司的情况。四、海澜之家暂停与易富公司的订单，系易富公司自身原因，与陆义无关。五、原告主张的第2项诉讼请求不明确。六、原告请求被告陆义赔偿易富公司的损失500万元缺乏证据支撑：1.原告没有证据证明陆义投资并参与经营易立公司；2.原告并没有证据证明陆义将海澜之家的订单转移给易立公司；3.原告没有提供证据证明陆义利用易富公司的流水线并将利益归入易立公司，易立公司所有订单都和易富公司不存在任何业务联系，也不存在代工加工业务。因此，原告主张500万元损失缺乏法律依据。</w:t>
      </w:r>
    </w:p>
    <w:p w:rsidR="00B63513" w:rsidRDefault="00A63384">
      <w:pPr>
        <w:spacing w:line="500" w:lineRule="atLeast"/>
        <w:ind w:firstLine="600"/>
        <w:divId w:val="181434596"/>
        <w:rPr>
          <w:sz w:val="30"/>
          <w:szCs w:val="30"/>
        </w:rPr>
      </w:pPr>
      <w:r>
        <w:rPr>
          <w:rFonts w:hint="eastAsia"/>
          <w:sz w:val="30"/>
          <w:szCs w:val="30"/>
        </w:rPr>
        <w:lastRenderedPageBreak/>
        <w:t>综上，被告陆义认为法院应当依法驳回原告的起诉或者全部诉讼请求。</w:t>
      </w:r>
    </w:p>
    <w:p w:rsidR="00B63513" w:rsidRDefault="00A63384">
      <w:pPr>
        <w:spacing w:line="500" w:lineRule="atLeast"/>
        <w:ind w:firstLine="600"/>
        <w:divId w:val="1973557861"/>
        <w:rPr>
          <w:sz w:val="30"/>
          <w:szCs w:val="30"/>
        </w:rPr>
      </w:pPr>
      <w:r>
        <w:rPr>
          <w:rFonts w:hint="eastAsia"/>
          <w:sz w:val="30"/>
          <w:szCs w:val="30"/>
        </w:rPr>
        <w:t>第三人易富公司、易立公司均未作陈述。</w:t>
      </w:r>
    </w:p>
    <w:p w:rsidR="00B63513" w:rsidRDefault="00A63384">
      <w:pPr>
        <w:spacing w:line="500" w:lineRule="atLeast"/>
        <w:ind w:firstLine="600"/>
        <w:divId w:val="536505148"/>
        <w:rPr>
          <w:sz w:val="30"/>
          <w:szCs w:val="30"/>
        </w:rPr>
      </w:pPr>
      <w:r>
        <w:rPr>
          <w:rFonts w:hint="eastAsia"/>
          <w:sz w:val="30"/>
          <w:szCs w:val="30"/>
        </w:rPr>
        <w:t>当事人围绕诉讼请求依法提交了证据，本院组织当事人进行了证据交换和质证。原告张俊红提供的证据，被告陆义对（2017）浙0302民初10937号民事调解书、易富公司财务尽职调查报告、易立公司企业信息信用报告的证明对象有异议，对费用报销单、行政人员工资表的真实性无异议，对合法性、关联性有异议，对其余证据无异议；被告陆义提供的证据，原告张俊红对情况说明的证明对象有异议，对借款合同、借款凭证、还款凭证的真实性、关联性有异议。对本院调取的证据，原告对真实性合法性无异议，对关联性有异议，被告对三性无异议，对证明对象有异议。对当事人无异议的证据，本院予以确认并在卷佐证。对有争议的证据，本院认定如下：</w:t>
      </w:r>
    </w:p>
    <w:p w:rsidR="00B63513" w:rsidRDefault="00A63384">
      <w:pPr>
        <w:spacing w:line="500" w:lineRule="atLeast"/>
        <w:ind w:firstLine="600"/>
        <w:divId w:val="1993826194"/>
        <w:rPr>
          <w:sz w:val="30"/>
          <w:szCs w:val="30"/>
        </w:rPr>
      </w:pPr>
      <w:r>
        <w:rPr>
          <w:rFonts w:hint="eastAsia"/>
          <w:sz w:val="30"/>
          <w:szCs w:val="30"/>
        </w:rPr>
        <w:t>1.原告提供的（2017）浙0302民初10937号民事调解书，该项证据可以证明原告因继承取得易富公司41%股权的事实，本院予以认定。</w:t>
      </w:r>
    </w:p>
    <w:p w:rsidR="00B63513" w:rsidRDefault="00A63384">
      <w:pPr>
        <w:spacing w:line="500" w:lineRule="atLeast"/>
        <w:ind w:firstLine="600"/>
        <w:divId w:val="2023892261"/>
        <w:rPr>
          <w:sz w:val="30"/>
          <w:szCs w:val="30"/>
        </w:rPr>
      </w:pPr>
      <w:r>
        <w:rPr>
          <w:rFonts w:hint="eastAsia"/>
          <w:sz w:val="30"/>
          <w:szCs w:val="30"/>
        </w:rPr>
        <w:t>2.原告提供的易富公司财务尽职调查报告，该份证据可以证明2014年至2016年间易富公司的经营情况以及被告陆义当时在易富公司采购部任职，大部分面料的采购由易淳负责，小部分面料的采购由陆义审批后再执行合同盖章流程的事实，本院予以认定。</w:t>
      </w:r>
    </w:p>
    <w:p w:rsidR="00B63513" w:rsidRDefault="00A63384">
      <w:pPr>
        <w:spacing w:line="500" w:lineRule="atLeast"/>
        <w:ind w:firstLine="600"/>
        <w:divId w:val="225266959"/>
        <w:rPr>
          <w:sz w:val="30"/>
          <w:szCs w:val="30"/>
        </w:rPr>
      </w:pPr>
      <w:r>
        <w:rPr>
          <w:rFonts w:hint="eastAsia"/>
          <w:sz w:val="30"/>
          <w:szCs w:val="30"/>
        </w:rPr>
        <w:t>3.原告提供的行政人员工资表，该份证据可证明被告在易富公司行政人员工资表上的序号为1号，领取每月10000元的工资的事实，本院予以认定。</w:t>
      </w:r>
    </w:p>
    <w:p w:rsidR="00B63513" w:rsidRDefault="00A63384">
      <w:pPr>
        <w:spacing w:line="500" w:lineRule="atLeast"/>
        <w:ind w:firstLine="600"/>
        <w:divId w:val="1664502670"/>
        <w:rPr>
          <w:sz w:val="30"/>
          <w:szCs w:val="30"/>
        </w:rPr>
      </w:pPr>
      <w:r>
        <w:rPr>
          <w:rFonts w:hint="eastAsia"/>
          <w:sz w:val="30"/>
          <w:szCs w:val="30"/>
        </w:rPr>
        <w:t>4.原告提供的的费用报销单、用款申请单，该组证据可以证明陆义对易富公司的日常办公用品支出、旅行支出、凉亭花</w:t>
      </w:r>
      <w:r>
        <w:rPr>
          <w:rFonts w:hint="eastAsia"/>
          <w:sz w:val="30"/>
          <w:szCs w:val="30"/>
        </w:rPr>
        <w:lastRenderedPageBreak/>
        <w:t>架围栏工程款支出、宿舍楼梯扶手工程款支出等行使审批权限的事实，本院予以认定。</w:t>
      </w:r>
    </w:p>
    <w:p w:rsidR="00B63513" w:rsidRDefault="00A63384">
      <w:pPr>
        <w:spacing w:line="500" w:lineRule="atLeast"/>
        <w:ind w:firstLine="600"/>
        <w:divId w:val="812138510"/>
        <w:rPr>
          <w:sz w:val="30"/>
          <w:szCs w:val="30"/>
        </w:rPr>
      </w:pPr>
      <w:r>
        <w:rPr>
          <w:rFonts w:hint="eastAsia"/>
          <w:sz w:val="30"/>
          <w:szCs w:val="30"/>
        </w:rPr>
        <w:t>5.被告提供的情况说明，该项证据与原告在庭审中的陈述可以相互印证，证明海澜之家与易富公司停止合作与被告陆义到第三人易立公司任职无关的事实，本院予以认定。</w:t>
      </w:r>
    </w:p>
    <w:p w:rsidR="00B63513" w:rsidRDefault="00A63384">
      <w:pPr>
        <w:spacing w:line="500" w:lineRule="atLeast"/>
        <w:ind w:firstLine="600"/>
        <w:divId w:val="2089879358"/>
        <w:rPr>
          <w:sz w:val="30"/>
          <w:szCs w:val="30"/>
        </w:rPr>
      </w:pPr>
      <w:r>
        <w:rPr>
          <w:rFonts w:hint="eastAsia"/>
          <w:sz w:val="30"/>
          <w:szCs w:val="30"/>
        </w:rPr>
        <w:t>6.被告陆义提供的借款合同、借款借据、还款凭证，该组证据的内容是易富公司的贷款情况，没有原件相印证，且与本案不具有关联性，本院不予认定。</w:t>
      </w:r>
    </w:p>
    <w:p w:rsidR="00B63513" w:rsidRDefault="00A63384">
      <w:pPr>
        <w:spacing w:line="500" w:lineRule="atLeast"/>
        <w:ind w:firstLine="600"/>
        <w:divId w:val="1873883269"/>
        <w:rPr>
          <w:sz w:val="30"/>
          <w:szCs w:val="30"/>
        </w:rPr>
      </w:pPr>
      <w:r>
        <w:rPr>
          <w:rFonts w:hint="eastAsia"/>
          <w:sz w:val="30"/>
          <w:szCs w:val="30"/>
        </w:rPr>
        <w:t>7.本院依职权调取的易立公司2017年度、2018年度、2019年度的《企业年度报告》，原、被告对真实性、合法性均无异议，在各方当事人均未提供证据否认《企业年度报告》记载的内容的真实性的情况下，该份证据可以证明易立公司成立以来的利润情况，本院予以认定。</w:t>
      </w:r>
    </w:p>
    <w:p w:rsidR="00B63513" w:rsidRDefault="00A63384">
      <w:pPr>
        <w:spacing w:line="500" w:lineRule="atLeast"/>
        <w:ind w:firstLine="600"/>
        <w:divId w:val="1702048544"/>
        <w:rPr>
          <w:sz w:val="30"/>
          <w:szCs w:val="30"/>
        </w:rPr>
      </w:pPr>
      <w:r>
        <w:rPr>
          <w:rFonts w:hint="eastAsia"/>
          <w:sz w:val="30"/>
          <w:szCs w:val="30"/>
        </w:rPr>
        <w:t>本院经审理认定，易富公司成立于2011年6月14日，案外人易淳出资4150万元，持股比例83%，担任执行董事兼总经理，被告陈晓新出资85万元，持股比例17%，任公司监事。工商登记的住所地为江西省赣州市宁都县工业园，经营范围为服装、鞋、纺织品、服装辅料、皮件制造、销售；房地产投资、建筑材料销售、酒店管理服务（国家有专项规定除外）。该公司主要业务系为海澜之家提供服装加工。</w:t>
      </w:r>
    </w:p>
    <w:p w:rsidR="00B63513" w:rsidRDefault="00A63384">
      <w:pPr>
        <w:spacing w:line="500" w:lineRule="atLeast"/>
        <w:ind w:firstLine="600"/>
        <w:divId w:val="1527908462"/>
        <w:rPr>
          <w:sz w:val="30"/>
          <w:szCs w:val="30"/>
        </w:rPr>
      </w:pPr>
      <w:r>
        <w:rPr>
          <w:rFonts w:hint="eastAsia"/>
          <w:sz w:val="30"/>
          <w:szCs w:val="30"/>
        </w:rPr>
        <w:t>原告张俊红与易淳于2011年6月24日登记结婚。2017年8月3日，易淳因病去世。同年8月21日，本院受理原告张俊红与案外人易莉莉（易淳的女儿）法定继承纠纷一案，经调解，双方同意易淳名下易富公司83%的股权由张俊红继承41%，由易莉莉继承42%。易淳去世后，易富公司仍在继续生产经营，公司股东名册、公司章程均未发生变更。</w:t>
      </w:r>
    </w:p>
    <w:p w:rsidR="00B63513" w:rsidRDefault="00A63384">
      <w:pPr>
        <w:spacing w:line="500" w:lineRule="atLeast"/>
        <w:ind w:firstLine="600"/>
        <w:divId w:val="1684358436"/>
        <w:rPr>
          <w:sz w:val="30"/>
          <w:szCs w:val="30"/>
        </w:rPr>
      </w:pPr>
      <w:r>
        <w:rPr>
          <w:rFonts w:hint="eastAsia"/>
          <w:sz w:val="30"/>
          <w:szCs w:val="30"/>
        </w:rPr>
        <w:lastRenderedPageBreak/>
        <w:t>2017年11月2日，被告陆义未经易富公司股东会同意，与其妻易莉莉共同出资设立易立公司，被告陆义出资25万元，持股5%，担任公司监事，易莉莉出资475万元，持股95%，担任公司执行董事兼总经理，登记住所地为江西省赣州市宁都县工业园田头路北侧，公司经营范围为服装、鞋、纺织品、服装辅料、皮件制造、销售（依法须经批准的项目，经相关部门批准后方可开展经营活动）。易立公司与海澜之家存在业务往来。</w:t>
      </w:r>
    </w:p>
    <w:p w:rsidR="00B63513" w:rsidRDefault="00A63384">
      <w:pPr>
        <w:spacing w:line="500" w:lineRule="atLeast"/>
        <w:ind w:firstLine="600"/>
        <w:divId w:val="115221227"/>
        <w:rPr>
          <w:sz w:val="30"/>
          <w:szCs w:val="30"/>
        </w:rPr>
      </w:pPr>
      <w:r>
        <w:rPr>
          <w:rFonts w:hint="eastAsia"/>
          <w:sz w:val="30"/>
          <w:szCs w:val="30"/>
        </w:rPr>
        <w:t>另查明：1.易立公司2017年度、2018年度、2019年度的企业年度报告显示该公司2017年度净利润为0元、2018年度净利润为82.93万元、2019年度净利润为184.11万元；被告陆义自认其在易立公司取得的税后收入为每月7910元；易富公司的监事陈晓新在接受本院询问时明确表示陆义不是易富公司的董事、高级管理人员，在目前的情况下，不会以监事身份对陆义的行为提起诉讼。</w:t>
      </w:r>
    </w:p>
    <w:p w:rsidR="00B63513" w:rsidRDefault="00A63384">
      <w:pPr>
        <w:spacing w:line="500" w:lineRule="atLeast"/>
        <w:ind w:firstLine="600"/>
        <w:divId w:val="808281273"/>
        <w:rPr>
          <w:sz w:val="30"/>
          <w:szCs w:val="30"/>
        </w:rPr>
      </w:pPr>
      <w:r>
        <w:rPr>
          <w:rFonts w:hint="eastAsia"/>
          <w:sz w:val="30"/>
          <w:szCs w:val="30"/>
        </w:rPr>
        <w:t>8.原告主张，被告应当赔偿的损失是指易富公司丧失与海澜之家进行交易的商业机会被易立公司抢夺，造成易富公司无法继续与海澜之家交易所造成的损失。同时原告又明确指出，易立公司与海澜之家交易的机会，是张俊红、易莉莉作为易淳的继承人与海澜之家的关系取得的。</w:t>
      </w:r>
    </w:p>
    <w:p w:rsidR="00B63513" w:rsidRDefault="00A63384">
      <w:pPr>
        <w:spacing w:line="500" w:lineRule="atLeast"/>
        <w:ind w:firstLine="600"/>
        <w:divId w:val="1127159696"/>
        <w:rPr>
          <w:sz w:val="30"/>
          <w:szCs w:val="30"/>
        </w:rPr>
      </w:pPr>
      <w:r>
        <w:rPr>
          <w:rFonts w:hint="eastAsia"/>
          <w:sz w:val="30"/>
          <w:szCs w:val="30"/>
        </w:rPr>
        <w:t>本案的争议焦点为：一、被告陆义是否系易富公司的高级管理人员；二、竞业禁止归入权的范围及计算依据；三、被告陆义停止竞业禁止行为的范围。</w:t>
      </w:r>
    </w:p>
    <w:p w:rsidR="00B63513" w:rsidRDefault="00A63384">
      <w:pPr>
        <w:spacing w:line="500" w:lineRule="atLeast"/>
        <w:ind w:firstLine="600"/>
        <w:divId w:val="101612260"/>
        <w:rPr>
          <w:sz w:val="30"/>
          <w:szCs w:val="30"/>
        </w:rPr>
      </w:pPr>
      <w:r>
        <w:rPr>
          <w:rFonts w:hint="eastAsia"/>
          <w:sz w:val="30"/>
          <w:szCs w:val="30"/>
        </w:rPr>
        <w:t>关于争议焦点一，本院认为，《公司法》第二百一十六条规定，高级管理人员是指公司的经理、副经理、财务负责人，上市公司董事会秘书和公司章程规定的其他人员。因易富公司的实际控制人易淳去世后，公司仍在生产经营，但没有明确登</w:t>
      </w:r>
      <w:r>
        <w:rPr>
          <w:rFonts w:hint="eastAsia"/>
          <w:sz w:val="30"/>
          <w:szCs w:val="30"/>
        </w:rPr>
        <w:lastRenderedPageBreak/>
        <w:t>记符合公司法规定的高级管理人员。故本院认为高级管理人员的认定应结合当事人在公司中实际的职权及其公司决策的影响力予以综合判断。</w:t>
      </w:r>
    </w:p>
    <w:p w:rsidR="00B63513" w:rsidRDefault="00A63384">
      <w:pPr>
        <w:spacing w:line="500" w:lineRule="atLeast"/>
        <w:ind w:firstLine="600"/>
        <w:divId w:val="897398049"/>
        <w:rPr>
          <w:sz w:val="30"/>
          <w:szCs w:val="30"/>
        </w:rPr>
      </w:pPr>
      <w:r>
        <w:rPr>
          <w:rFonts w:hint="eastAsia"/>
          <w:sz w:val="30"/>
          <w:szCs w:val="30"/>
        </w:rPr>
        <w:t>首先，被告确认2017年8月3日易淳去世后，易富科技公司管理混乱，没有明确以董事和高级管理人员身份行使权利、履行职责的人员。同时，易富公司尚在生产经营。显然，只有实际有人员履行了公司董事以及经理、财务负责人等高级管理人员的职责，才能使公司在长达两年半的时间里继续生产经营。</w:t>
      </w:r>
    </w:p>
    <w:p w:rsidR="00B63513" w:rsidRDefault="00A63384">
      <w:pPr>
        <w:spacing w:line="500" w:lineRule="atLeast"/>
        <w:ind w:firstLine="600"/>
        <w:divId w:val="977077201"/>
        <w:rPr>
          <w:sz w:val="30"/>
          <w:szCs w:val="30"/>
        </w:rPr>
      </w:pPr>
      <w:r>
        <w:rPr>
          <w:rFonts w:hint="eastAsia"/>
          <w:sz w:val="30"/>
          <w:szCs w:val="30"/>
        </w:rPr>
        <w:t>其次，被告陆义系易富公司创始人易淳的女婿，其自认负责易富科技公司销售部的部分工作，且不需向其他人汇报工作，即其在销售事务上享有决策权。此外，陆义有权作为审批人在易富公司的费用审批单、用款申请单上签字，决定公司款项的支出。即其在财务审批方面亦享有一定的决策权。综上，被告陆义享有财务负责人关于财务审批的部分职权和经理关于主持公司的生产经营管理工作的部分职权。</w:t>
      </w:r>
    </w:p>
    <w:p w:rsidR="00B63513" w:rsidRDefault="00A63384">
      <w:pPr>
        <w:spacing w:line="500" w:lineRule="atLeast"/>
        <w:ind w:firstLine="600"/>
        <w:divId w:val="2073457505"/>
        <w:rPr>
          <w:sz w:val="30"/>
          <w:szCs w:val="30"/>
        </w:rPr>
      </w:pPr>
      <w:r>
        <w:rPr>
          <w:rFonts w:hint="eastAsia"/>
          <w:sz w:val="30"/>
          <w:szCs w:val="30"/>
        </w:rPr>
        <w:t>此外，根据原告提供的易富公司行政人员工资表记载，被告陆义名列工资表首位，与案外人陈晓新、王晓东的工资金额均为10000元。</w:t>
      </w:r>
    </w:p>
    <w:p w:rsidR="00B63513" w:rsidRDefault="00A63384">
      <w:pPr>
        <w:spacing w:line="500" w:lineRule="atLeast"/>
        <w:ind w:firstLine="600"/>
        <w:divId w:val="1844122655"/>
        <w:rPr>
          <w:sz w:val="30"/>
          <w:szCs w:val="30"/>
        </w:rPr>
      </w:pPr>
      <w:r>
        <w:rPr>
          <w:rFonts w:hint="eastAsia"/>
          <w:sz w:val="30"/>
          <w:szCs w:val="30"/>
        </w:rPr>
        <w:t>综上，被告陆义行使了易富公司高级管理人员的部分职权，而易富公司已不存在享有更高管理权限的其他人员，原告主张被告系易富公司的高级管理人员，本院予以采信。被告陆义以工商登记表未登记为由否认其高级管理人员地位，本院不予采信。</w:t>
      </w:r>
    </w:p>
    <w:p w:rsidR="00B63513" w:rsidRDefault="00A63384">
      <w:pPr>
        <w:spacing w:line="500" w:lineRule="atLeast"/>
        <w:ind w:firstLine="600"/>
        <w:divId w:val="31929771"/>
        <w:rPr>
          <w:sz w:val="30"/>
          <w:szCs w:val="30"/>
        </w:rPr>
      </w:pPr>
      <w:r>
        <w:rPr>
          <w:rFonts w:hint="eastAsia"/>
          <w:sz w:val="30"/>
          <w:szCs w:val="30"/>
        </w:rPr>
        <w:t>关于争议焦点二，本院认为，《公司法》第一百四十八条规定，董事、高级管理人员违反竞业禁止义务，经营或为他人经营与所任职公司同类业务所得的收入应当归公司所有。被告</w:t>
      </w:r>
      <w:r>
        <w:rPr>
          <w:rFonts w:hint="eastAsia"/>
          <w:sz w:val="30"/>
          <w:szCs w:val="30"/>
        </w:rPr>
        <w:lastRenderedPageBreak/>
        <w:t>陆义投资设立易立公司，与其妻易莉莉共同经营与易富公司经营范围相同的公司，所得的收入不仅包括工资收入，也应当包括经营所得的收入。故被告在易立公司持有股权可获得的分红亦应认定为被告的收入。综上，陆义应归入易富公司的收入应当包括工资收入和股权收入。</w:t>
      </w:r>
    </w:p>
    <w:p w:rsidR="00B63513" w:rsidRDefault="00A63384">
      <w:pPr>
        <w:spacing w:line="500" w:lineRule="atLeast"/>
        <w:ind w:firstLine="600"/>
        <w:divId w:val="2003241117"/>
        <w:rPr>
          <w:sz w:val="30"/>
          <w:szCs w:val="30"/>
        </w:rPr>
      </w:pPr>
      <w:r>
        <w:rPr>
          <w:rFonts w:hint="eastAsia"/>
          <w:sz w:val="30"/>
          <w:szCs w:val="30"/>
        </w:rPr>
        <w:t>关于收入金额的计算，在两案审理过程中，原告曾申请对三家第三人企业进行审计，但被告及第三人均以可能涉及商业秘密，应当先确定被告存在竞业禁止行为，再确定是否要对相应账册进行审计为由拒绝配合。故本院酌情以易立公司2017年度、2018年度、2019年度的企业年度报告记载的利润额为准计算被告的收入。被告陆义持有第三人易立公司5%的股份，扣除个人所得税后，其持有股权所对应的可得利润为（184.11万元+82.93万元）×5%×80%=106600元。被告陆义自认其从2019年2月起从易立公司以每月7910元的标准领取工资，结合其在易立公司的任职时间，本院认定其可得工资收入为7910×31=245210元，两者合计351810元。</w:t>
      </w:r>
    </w:p>
    <w:p w:rsidR="00B63513" w:rsidRDefault="00A63384">
      <w:pPr>
        <w:spacing w:line="500" w:lineRule="atLeast"/>
        <w:ind w:firstLine="600"/>
        <w:divId w:val="2073431228"/>
        <w:rPr>
          <w:sz w:val="30"/>
          <w:szCs w:val="30"/>
        </w:rPr>
      </w:pPr>
      <w:r>
        <w:rPr>
          <w:rFonts w:hint="eastAsia"/>
          <w:sz w:val="30"/>
          <w:szCs w:val="30"/>
        </w:rPr>
        <w:t>关于争议焦点三，本院认为，易立公司的股东仅有陆义与易莉莉两人，易莉莉担任执行董事、总经理，陆义担任监事。基于陆义与易莉莉之间的夫妻关系，陆义显然不可能真正以公司法的规定行使监事职权，故本院认定其在易立公司持有并担任监事，属于经营与所任职公司同类业务的行为。被告陆义既在易富公司担任高管，又担任易立公司股东和监事，属于公司法规定的禁止行为的范围。</w:t>
      </w:r>
    </w:p>
    <w:p w:rsidR="00B63513" w:rsidRDefault="00A63384">
      <w:pPr>
        <w:spacing w:line="500" w:lineRule="atLeast"/>
        <w:ind w:firstLine="600"/>
        <w:divId w:val="277445391"/>
        <w:rPr>
          <w:sz w:val="30"/>
          <w:szCs w:val="30"/>
        </w:rPr>
      </w:pPr>
      <w:r>
        <w:rPr>
          <w:rFonts w:hint="eastAsia"/>
          <w:sz w:val="30"/>
          <w:szCs w:val="30"/>
        </w:rPr>
        <w:t>本院认为，董事、高级管理人员自营或者为他人经营与所任职公司同类的业务，发生与公司争夺商业机会的道德风险会大大增加。因此，从事这类业务，应当经股东会或者股东大会同意，未经股东会或者股东大会同意，自营或者为他人经营与</w:t>
      </w:r>
      <w:r>
        <w:rPr>
          <w:rFonts w:hint="eastAsia"/>
          <w:sz w:val="30"/>
          <w:szCs w:val="30"/>
        </w:rPr>
        <w:lastRenderedPageBreak/>
        <w:t>所任职公司同类的业务，是违反忠实义务的行为，应当予以禁止。原告张俊红因继承取得易富公司的股权，在易富公司明确不同意起诉的情况下，有权以自己的名义请求禁止被告陆义的竞业行为，并要求将陆义因竞业行为取得的财产351810元应当归入公司。但公司法仅禁止行为人既担任公司的董事、高级管理人员又在未获同意的情况下经营或为他人经营同类业务，被告陆义享有停止担任易富公司高级管理人员或者停止经营同类业务的选择权，不宜直接禁止陆义在易立公司持股并担任监事。原告主张，被告应当赔偿的损失是指易富公司丧失与海澜之家进行交易的商业机会被易立公司抢夺，造成易富公司无法继续与海澜之家交易所造成的损失，但其同时又认为易立公司所获得的商业机会系海澜之家给予易莉莉和张俊红的，则该商业机会的丧失与陆义的行为无关，原告请求陆义赔偿损失，本院不予支持。综上，本院根据《中华人民共和国公司法》第七十五条、第一百四十八条第一款第五项、第二款、第一百五十一条之规定，判决如下：</w:t>
      </w:r>
    </w:p>
    <w:p w:rsidR="00B63513" w:rsidRDefault="00A63384">
      <w:pPr>
        <w:spacing w:line="500" w:lineRule="atLeast"/>
        <w:ind w:firstLine="600"/>
        <w:divId w:val="568424139"/>
        <w:rPr>
          <w:sz w:val="30"/>
          <w:szCs w:val="30"/>
        </w:rPr>
      </w:pPr>
      <w:r>
        <w:rPr>
          <w:rFonts w:hint="eastAsia"/>
          <w:sz w:val="30"/>
          <w:szCs w:val="30"/>
        </w:rPr>
        <w:t>一、被告陆义于本判决生效之日起三十日内停止既在第三人江西易富科技有限公司行使高级管理人员职权又在第三人江西易立服饰有限公司持有股权、担任监事的行为；</w:t>
      </w:r>
    </w:p>
    <w:p w:rsidR="00B63513" w:rsidRDefault="00A63384">
      <w:pPr>
        <w:spacing w:line="500" w:lineRule="atLeast"/>
        <w:ind w:firstLine="600"/>
        <w:divId w:val="2123186487"/>
        <w:rPr>
          <w:sz w:val="30"/>
          <w:szCs w:val="30"/>
        </w:rPr>
      </w:pPr>
      <w:r>
        <w:rPr>
          <w:rFonts w:hint="eastAsia"/>
          <w:sz w:val="30"/>
          <w:szCs w:val="30"/>
        </w:rPr>
        <w:t>二、被告陆义应于本判决生效之日起十日内将其在第三人江西易立服饰有限公司所得的收入351810元支付给第三人江西易富科技有限公司。</w:t>
      </w:r>
    </w:p>
    <w:p w:rsidR="00B63513" w:rsidRDefault="00A63384">
      <w:pPr>
        <w:spacing w:line="500" w:lineRule="atLeast"/>
        <w:ind w:firstLine="600"/>
        <w:divId w:val="2088916586"/>
        <w:rPr>
          <w:sz w:val="30"/>
          <w:szCs w:val="30"/>
        </w:rPr>
      </w:pPr>
      <w:r>
        <w:rPr>
          <w:rFonts w:hint="eastAsia"/>
          <w:sz w:val="30"/>
          <w:szCs w:val="30"/>
        </w:rPr>
        <w:t>三、驳回原告张俊红的其他诉讼请求。</w:t>
      </w:r>
    </w:p>
    <w:p w:rsidR="00B63513" w:rsidRDefault="00A63384">
      <w:pPr>
        <w:spacing w:line="500" w:lineRule="atLeast"/>
        <w:ind w:firstLine="600"/>
        <w:divId w:val="1042287095"/>
        <w:rPr>
          <w:sz w:val="30"/>
          <w:szCs w:val="30"/>
        </w:rPr>
      </w:pPr>
      <w:r>
        <w:rPr>
          <w:rFonts w:hint="eastAsia"/>
          <w:sz w:val="30"/>
          <w:szCs w:val="30"/>
        </w:rPr>
        <w:t>如果未按本判决指定的期间履行给付金钱义务，应当依照《中华人民共和国民事诉讼法》第二百五十三条之规定，加倍支付迟延履行期间的债务利息。案件受理费46800元，由原告张俊红负担40223元，被告陆义负担6577元。</w:t>
      </w:r>
    </w:p>
    <w:p w:rsidR="00B63513" w:rsidRDefault="00A63384">
      <w:pPr>
        <w:spacing w:line="500" w:lineRule="atLeast"/>
        <w:ind w:firstLine="600"/>
        <w:divId w:val="1234002942"/>
        <w:rPr>
          <w:sz w:val="30"/>
          <w:szCs w:val="30"/>
        </w:rPr>
      </w:pPr>
      <w:r>
        <w:rPr>
          <w:rFonts w:hint="eastAsia"/>
          <w:sz w:val="30"/>
          <w:szCs w:val="30"/>
        </w:rPr>
        <w:lastRenderedPageBreak/>
        <w:t>如不服本判决，可以在判决书送达之日起十五日内，向本院递交上诉状，并按对方当事人的人数提出副本，上诉于浙江省温州市中级人民法院。</w:t>
      </w:r>
    </w:p>
    <w:p w:rsidR="00B63513" w:rsidRDefault="00A63384">
      <w:pPr>
        <w:spacing w:line="500" w:lineRule="atLeast"/>
        <w:jc w:val="right"/>
        <w:divId w:val="485361644"/>
        <w:rPr>
          <w:sz w:val="30"/>
          <w:szCs w:val="30"/>
        </w:rPr>
      </w:pPr>
      <w:r>
        <w:rPr>
          <w:rFonts w:hint="eastAsia"/>
          <w:sz w:val="30"/>
          <w:szCs w:val="30"/>
        </w:rPr>
        <w:t>审　判　长　　陈　默</w:t>
      </w:r>
    </w:p>
    <w:p w:rsidR="00B63513" w:rsidRDefault="00A63384">
      <w:pPr>
        <w:spacing w:line="500" w:lineRule="atLeast"/>
        <w:jc w:val="right"/>
        <w:divId w:val="2020541420"/>
        <w:rPr>
          <w:sz w:val="30"/>
          <w:szCs w:val="30"/>
        </w:rPr>
      </w:pPr>
      <w:r>
        <w:rPr>
          <w:rFonts w:hint="eastAsia"/>
          <w:sz w:val="30"/>
          <w:szCs w:val="30"/>
        </w:rPr>
        <w:t>人民陪审员　　戴飞虎</w:t>
      </w:r>
    </w:p>
    <w:p w:rsidR="00B63513" w:rsidRDefault="00A63384">
      <w:pPr>
        <w:spacing w:line="500" w:lineRule="atLeast"/>
        <w:jc w:val="right"/>
        <w:divId w:val="2097628468"/>
        <w:rPr>
          <w:sz w:val="30"/>
          <w:szCs w:val="30"/>
        </w:rPr>
      </w:pPr>
      <w:r>
        <w:rPr>
          <w:rFonts w:hint="eastAsia"/>
          <w:sz w:val="30"/>
          <w:szCs w:val="30"/>
        </w:rPr>
        <w:t>人民陪审员　　李曼云</w:t>
      </w:r>
    </w:p>
    <w:p w:rsidR="00B63513" w:rsidRDefault="00A63384">
      <w:pPr>
        <w:spacing w:line="500" w:lineRule="atLeast"/>
        <w:jc w:val="right"/>
        <w:divId w:val="153958849"/>
        <w:rPr>
          <w:sz w:val="30"/>
          <w:szCs w:val="30"/>
        </w:rPr>
      </w:pPr>
      <w:r>
        <w:rPr>
          <w:rFonts w:hint="eastAsia"/>
          <w:sz w:val="30"/>
          <w:szCs w:val="30"/>
        </w:rPr>
        <w:t>二〇二〇年六月三十日</w:t>
      </w:r>
    </w:p>
    <w:p w:rsidR="00B63513" w:rsidRDefault="00A63384">
      <w:pPr>
        <w:spacing w:line="500" w:lineRule="atLeast"/>
        <w:jc w:val="right"/>
        <w:divId w:val="968166088"/>
        <w:rPr>
          <w:sz w:val="30"/>
          <w:szCs w:val="30"/>
        </w:rPr>
      </w:pPr>
      <w:r>
        <w:rPr>
          <w:rFonts w:hint="eastAsia"/>
          <w:sz w:val="30"/>
          <w:szCs w:val="30"/>
        </w:rPr>
        <w:t>法官　助理　　胡剑辉</w:t>
      </w:r>
    </w:p>
    <w:p w:rsidR="00B63513" w:rsidRDefault="00A63384">
      <w:pPr>
        <w:spacing w:line="500" w:lineRule="atLeast"/>
        <w:jc w:val="right"/>
        <w:divId w:val="450711710"/>
        <w:rPr>
          <w:sz w:val="30"/>
          <w:szCs w:val="30"/>
        </w:rPr>
      </w:pPr>
      <w:r>
        <w:rPr>
          <w:rFonts w:hint="eastAsia"/>
          <w:sz w:val="30"/>
          <w:szCs w:val="30"/>
        </w:rPr>
        <w:t>书　记　员　　陈慧慧</w:t>
      </w:r>
    </w:p>
    <w:sectPr w:rsidR="00B63513">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2BE" w:rsidRDefault="00EC42BE" w:rsidP="00A63384">
      <w:r>
        <w:separator/>
      </w:r>
    </w:p>
  </w:endnote>
  <w:endnote w:type="continuationSeparator" w:id="0">
    <w:p w:rsidR="00EC42BE" w:rsidRDefault="00EC42BE" w:rsidP="00A6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2BE" w:rsidRDefault="00EC42BE" w:rsidP="00A63384">
      <w:r>
        <w:separator/>
      </w:r>
    </w:p>
  </w:footnote>
  <w:footnote w:type="continuationSeparator" w:id="0">
    <w:p w:rsidR="00EC42BE" w:rsidRDefault="00EC42BE" w:rsidP="00A63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84"/>
    <w:rsid w:val="00364383"/>
    <w:rsid w:val="00A63384"/>
    <w:rsid w:val="00B63513"/>
    <w:rsid w:val="00EC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B6ABE3"/>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633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3384"/>
    <w:rPr>
      <w:rFonts w:ascii="宋体" w:eastAsia="宋体" w:hAnsi="宋体" w:cs="宋体"/>
      <w:sz w:val="18"/>
      <w:szCs w:val="18"/>
    </w:rPr>
  </w:style>
  <w:style w:type="paragraph" w:styleId="a5">
    <w:name w:val="footer"/>
    <w:basedOn w:val="a"/>
    <w:link w:val="a6"/>
    <w:uiPriority w:val="99"/>
    <w:unhideWhenUsed/>
    <w:rsid w:val="00A63384"/>
    <w:pPr>
      <w:tabs>
        <w:tab w:val="center" w:pos="4153"/>
        <w:tab w:val="right" w:pos="8306"/>
      </w:tabs>
      <w:snapToGrid w:val="0"/>
    </w:pPr>
    <w:rPr>
      <w:sz w:val="18"/>
      <w:szCs w:val="18"/>
    </w:rPr>
  </w:style>
  <w:style w:type="character" w:customStyle="1" w:styleId="a6">
    <w:name w:val="页脚 字符"/>
    <w:basedOn w:val="a0"/>
    <w:link w:val="a5"/>
    <w:uiPriority w:val="99"/>
    <w:rsid w:val="00A6338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9771">
      <w:marLeft w:val="0"/>
      <w:marRight w:val="0"/>
      <w:marTop w:val="10"/>
      <w:marBottom w:val="10"/>
      <w:divBdr>
        <w:top w:val="none" w:sz="0" w:space="0" w:color="auto"/>
        <w:left w:val="none" w:sz="0" w:space="0" w:color="auto"/>
        <w:bottom w:val="none" w:sz="0" w:space="0" w:color="auto"/>
        <w:right w:val="none" w:sz="0" w:space="0" w:color="auto"/>
      </w:divBdr>
    </w:div>
    <w:div w:id="76828326">
      <w:marLeft w:val="0"/>
      <w:marRight w:val="0"/>
      <w:marTop w:val="10"/>
      <w:marBottom w:val="10"/>
      <w:divBdr>
        <w:top w:val="none" w:sz="0" w:space="0" w:color="auto"/>
        <w:left w:val="none" w:sz="0" w:space="0" w:color="auto"/>
        <w:bottom w:val="none" w:sz="0" w:space="0" w:color="auto"/>
        <w:right w:val="none" w:sz="0" w:space="0" w:color="auto"/>
      </w:divBdr>
    </w:div>
    <w:div w:id="97409102">
      <w:marLeft w:val="0"/>
      <w:marRight w:val="0"/>
      <w:marTop w:val="10"/>
      <w:marBottom w:val="10"/>
      <w:divBdr>
        <w:top w:val="none" w:sz="0" w:space="0" w:color="auto"/>
        <w:left w:val="none" w:sz="0" w:space="0" w:color="auto"/>
        <w:bottom w:val="none" w:sz="0" w:space="0" w:color="auto"/>
        <w:right w:val="none" w:sz="0" w:space="0" w:color="auto"/>
      </w:divBdr>
    </w:div>
    <w:div w:id="101612260">
      <w:marLeft w:val="0"/>
      <w:marRight w:val="0"/>
      <w:marTop w:val="10"/>
      <w:marBottom w:val="10"/>
      <w:divBdr>
        <w:top w:val="none" w:sz="0" w:space="0" w:color="auto"/>
        <w:left w:val="none" w:sz="0" w:space="0" w:color="auto"/>
        <w:bottom w:val="none" w:sz="0" w:space="0" w:color="auto"/>
        <w:right w:val="none" w:sz="0" w:space="0" w:color="auto"/>
      </w:divBdr>
    </w:div>
    <w:div w:id="115221227">
      <w:marLeft w:val="0"/>
      <w:marRight w:val="0"/>
      <w:marTop w:val="10"/>
      <w:marBottom w:val="10"/>
      <w:divBdr>
        <w:top w:val="none" w:sz="0" w:space="0" w:color="auto"/>
        <w:left w:val="none" w:sz="0" w:space="0" w:color="auto"/>
        <w:bottom w:val="none" w:sz="0" w:space="0" w:color="auto"/>
        <w:right w:val="none" w:sz="0" w:space="0" w:color="auto"/>
      </w:divBdr>
    </w:div>
    <w:div w:id="151337257">
      <w:marLeft w:val="0"/>
      <w:marRight w:val="0"/>
      <w:marTop w:val="10"/>
      <w:marBottom w:val="10"/>
      <w:divBdr>
        <w:top w:val="none" w:sz="0" w:space="0" w:color="auto"/>
        <w:left w:val="none" w:sz="0" w:space="0" w:color="auto"/>
        <w:bottom w:val="none" w:sz="0" w:space="0" w:color="auto"/>
        <w:right w:val="none" w:sz="0" w:space="0" w:color="auto"/>
      </w:divBdr>
    </w:div>
    <w:div w:id="153958849">
      <w:marLeft w:val="0"/>
      <w:marRight w:val="720"/>
      <w:marTop w:val="10"/>
      <w:marBottom w:val="10"/>
      <w:divBdr>
        <w:top w:val="none" w:sz="0" w:space="0" w:color="auto"/>
        <w:left w:val="none" w:sz="0" w:space="0" w:color="auto"/>
        <w:bottom w:val="none" w:sz="0" w:space="0" w:color="auto"/>
        <w:right w:val="none" w:sz="0" w:space="0" w:color="auto"/>
      </w:divBdr>
    </w:div>
    <w:div w:id="170417712">
      <w:marLeft w:val="0"/>
      <w:marRight w:val="0"/>
      <w:marTop w:val="10"/>
      <w:marBottom w:val="10"/>
      <w:divBdr>
        <w:top w:val="none" w:sz="0" w:space="0" w:color="auto"/>
        <w:left w:val="none" w:sz="0" w:space="0" w:color="auto"/>
        <w:bottom w:val="none" w:sz="0" w:space="0" w:color="auto"/>
        <w:right w:val="none" w:sz="0" w:space="0" w:color="auto"/>
      </w:divBdr>
    </w:div>
    <w:div w:id="181434596">
      <w:marLeft w:val="0"/>
      <w:marRight w:val="0"/>
      <w:marTop w:val="10"/>
      <w:marBottom w:val="10"/>
      <w:divBdr>
        <w:top w:val="none" w:sz="0" w:space="0" w:color="auto"/>
        <w:left w:val="none" w:sz="0" w:space="0" w:color="auto"/>
        <w:bottom w:val="none" w:sz="0" w:space="0" w:color="auto"/>
        <w:right w:val="none" w:sz="0" w:space="0" w:color="auto"/>
      </w:divBdr>
    </w:div>
    <w:div w:id="225266959">
      <w:marLeft w:val="0"/>
      <w:marRight w:val="0"/>
      <w:marTop w:val="10"/>
      <w:marBottom w:val="10"/>
      <w:divBdr>
        <w:top w:val="none" w:sz="0" w:space="0" w:color="auto"/>
        <w:left w:val="none" w:sz="0" w:space="0" w:color="auto"/>
        <w:bottom w:val="none" w:sz="0" w:space="0" w:color="auto"/>
        <w:right w:val="none" w:sz="0" w:space="0" w:color="auto"/>
      </w:divBdr>
    </w:div>
    <w:div w:id="277445391">
      <w:marLeft w:val="0"/>
      <w:marRight w:val="0"/>
      <w:marTop w:val="10"/>
      <w:marBottom w:val="10"/>
      <w:divBdr>
        <w:top w:val="none" w:sz="0" w:space="0" w:color="auto"/>
        <w:left w:val="none" w:sz="0" w:space="0" w:color="auto"/>
        <w:bottom w:val="none" w:sz="0" w:space="0" w:color="auto"/>
        <w:right w:val="none" w:sz="0" w:space="0" w:color="auto"/>
      </w:divBdr>
    </w:div>
    <w:div w:id="318004062">
      <w:marLeft w:val="0"/>
      <w:marRight w:val="0"/>
      <w:marTop w:val="10"/>
      <w:marBottom w:val="10"/>
      <w:divBdr>
        <w:top w:val="none" w:sz="0" w:space="0" w:color="auto"/>
        <w:left w:val="none" w:sz="0" w:space="0" w:color="auto"/>
        <w:bottom w:val="none" w:sz="0" w:space="0" w:color="auto"/>
        <w:right w:val="none" w:sz="0" w:space="0" w:color="auto"/>
      </w:divBdr>
    </w:div>
    <w:div w:id="374889702">
      <w:marLeft w:val="0"/>
      <w:marRight w:val="0"/>
      <w:marTop w:val="10"/>
      <w:marBottom w:val="10"/>
      <w:divBdr>
        <w:top w:val="none" w:sz="0" w:space="0" w:color="auto"/>
        <w:left w:val="none" w:sz="0" w:space="0" w:color="auto"/>
        <w:bottom w:val="none" w:sz="0" w:space="0" w:color="auto"/>
        <w:right w:val="none" w:sz="0" w:space="0" w:color="auto"/>
      </w:divBdr>
    </w:div>
    <w:div w:id="450711710">
      <w:marLeft w:val="0"/>
      <w:marRight w:val="720"/>
      <w:marTop w:val="10"/>
      <w:marBottom w:val="10"/>
      <w:divBdr>
        <w:top w:val="none" w:sz="0" w:space="0" w:color="auto"/>
        <w:left w:val="none" w:sz="0" w:space="0" w:color="auto"/>
        <w:bottom w:val="none" w:sz="0" w:space="0" w:color="auto"/>
        <w:right w:val="none" w:sz="0" w:space="0" w:color="auto"/>
      </w:divBdr>
    </w:div>
    <w:div w:id="485361644">
      <w:marLeft w:val="0"/>
      <w:marRight w:val="720"/>
      <w:marTop w:val="10"/>
      <w:marBottom w:val="10"/>
      <w:divBdr>
        <w:top w:val="none" w:sz="0" w:space="0" w:color="auto"/>
        <w:left w:val="none" w:sz="0" w:space="0" w:color="auto"/>
        <w:bottom w:val="none" w:sz="0" w:space="0" w:color="auto"/>
        <w:right w:val="none" w:sz="0" w:space="0" w:color="auto"/>
      </w:divBdr>
    </w:div>
    <w:div w:id="501555573">
      <w:marLeft w:val="0"/>
      <w:marRight w:val="0"/>
      <w:marTop w:val="10"/>
      <w:marBottom w:val="10"/>
      <w:divBdr>
        <w:top w:val="none" w:sz="0" w:space="0" w:color="auto"/>
        <w:left w:val="none" w:sz="0" w:space="0" w:color="auto"/>
        <w:bottom w:val="none" w:sz="0" w:space="0" w:color="auto"/>
        <w:right w:val="none" w:sz="0" w:space="0" w:color="auto"/>
      </w:divBdr>
    </w:div>
    <w:div w:id="536505148">
      <w:marLeft w:val="0"/>
      <w:marRight w:val="0"/>
      <w:marTop w:val="10"/>
      <w:marBottom w:val="10"/>
      <w:divBdr>
        <w:top w:val="none" w:sz="0" w:space="0" w:color="auto"/>
        <w:left w:val="none" w:sz="0" w:space="0" w:color="auto"/>
        <w:bottom w:val="none" w:sz="0" w:space="0" w:color="auto"/>
        <w:right w:val="none" w:sz="0" w:space="0" w:color="auto"/>
      </w:divBdr>
    </w:div>
    <w:div w:id="568424139">
      <w:marLeft w:val="0"/>
      <w:marRight w:val="0"/>
      <w:marTop w:val="10"/>
      <w:marBottom w:val="10"/>
      <w:divBdr>
        <w:top w:val="none" w:sz="0" w:space="0" w:color="auto"/>
        <w:left w:val="none" w:sz="0" w:space="0" w:color="auto"/>
        <w:bottom w:val="none" w:sz="0" w:space="0" w:color="auto"/>
        <w:right w:val="none" w:sz="0" w:space="0" w:color="auto"/>
      </w:divBdr>
    </w:div>
    <w:div w:id="657922065">
      <w:marLeft w:val="0"/>
      <w:marRight w:val="0"/>
      <w:marTop w:val="10"/>
      <w:marBottom w:val="10"/>
      <w:divBdr>
        <w:top w:val="none" w:sz="0" w:space="0" w:color="auto"/>
        <w:left w:val="none" w:sz="0" w:space="0" w:color="auto"/>
        <w:bottom w:val="none" w:sz="0" w:space="0" w:color="auto"/>
        <w:right w:val="none" w:sz="0" w:space="0" w:color="auto"/>
      </w:divBdr>
    </w:div>
    <w:div w:id="808281273">
      <w:marLeft w:val="0"/>
      <w:marRight w:val="0"/>
      <w:marTop w:val="10"/>
      <w:marBottom w:val="10"/>
      <w:divBdr>
        <w:top w:val="none" w:sz="0" w:space="0" w:color="auto"/>
        <w:left w:val="none" w:sz="0" w:space="0" w:color="auto"/>
        <w:bottom w:val="none" w:sz="0" w:space="0" w:color="auto"/>
        <w:right w:val="none" w:sz="0" w:space="0" w:color="auto"/>
      </w:divBdr>
    </w:div>
    <w:div w:id="812138510">
      <w:marLeft w:val="0"/>
      <w:marRight w:val="0"/>
      <w:marTop w:val="10"/>
      <w:marBottom w:val="10"/>
      <w:divBdr>
        <w:top w:val="none" w:sz="0" w:space="0" w:color="auto"/>
        <w:left w:val="none" w:sz="0" w:space="0" w:color="auto"/>
        <w:bottom w:val="none" w:sz="0" w:space="0" w:color="auto"/>
        <w:right w:val="none" w:sz="0" w:space="0" w:color="auto"/>
      </w:divBdr>
    </w:div>
    <w:div w:id="897398049">
      <w:marLeft w:val="0"/>
      <w:marRight w:val="0"/>
      <w:marTop w:val="10"/>
      <w:marBottom w:val="10"/>
      <w:divBdr>
        <w:top w:val="none" w:sz="0" w:space="0" w:color="auto"/>
        <w:left w:val="none" w:sz="0" w:space="0" w:color="auto"/>
        <w:bottom w:val="none" w:sz="0" w:space="0" w:color="auto"/>
        <w:right w:val="none" w:sz="0" w:space="0" w:color="auto"/>
      </w:divBdr>
    </w:div>
    <w:div w:id="968166088">
      <w:marLeft w:val="0"/>
      <w:marRight w:val="720"/>
      <w:marTop w:val="10"/>
      <w:marBottom w:val="10"/>
      <w:divBdr>
        <w:top w:val="none" w:sz="0" w:space="0" w:color="auto"/>
        <w:left w:val="none" w:sz="0" w:space="0" w:color="auto"/>
        <w:bottom w:val="none" w:sz="0" w:space="0" w:color="auto"/>
        <w:right w:val="none" w:sz="0" w:space="0" w:color="auto"/>
      </w:divBdr>
    </w:div>
    <w:div w:id="977077201">
      <w:marLeft w:val="0"/>
      <w:marRight w:val="0"/>
      <w:marTop w:val="10"/>
      <w:marBottom w:val="10"/>
      <w:divBdr>
        <w:top w:val="none" w:sz="0" w:space="0" w:color="auto"/>
        <w:left w:val="none" w:sz="0" w:space="0" w:color="auto"/>
        <w:bottom w:val="none" w:sz="0" w:space="0" w:color="auto"/>
        <w:right w:val="none" w:sz="0" w:space="0" w:color="auto"/>
      </w:divBdr>
    </w:div>
    <w:div w:id="978732654">
      <w:marLeft w:val="0"/>
      <w:marRight w:val="0"/>
      <w:marTop w:val="10"/>
      <w:marBottom w:val="10"/>
      <w:divBdr>
        <w:top w:val="none" w:sz="0" w:space="0" w:color="auto"/>
        <w:left w:val="none" w:sz="0" w:space="0" w:color="auto"/>
        <w:bottom w:val="none" w:sz="0" w:space="0" w:color="auto"/>
        <w:right w:val="none" w:sz="0" w:space="0" w:color="auto"/>
      </w:divBdr>
    </w:div>
    <w:div w:id="1042287095">
      <w:marLeft w:val="0"/>
      <w:marRight w:val="0"/>
      <w:marTop w:val="10"/>
      <w:marBottom w:val="10"/>
      <w:divBdr>
        <w:top w:val="none" w:sz="0" w:space="0" w:color="auto"/>
        <w:left w:val="none" w:sz="0" w:space="0" w:color="auto"/>
        <w:bottom w:val="none" w:sz="0" w:space="0" w:color="auto"/>
        <w:right w:val="none" w:sz="0" w:space="0" w:color="auto"/>
      </w:divBdr>
    </w:div>
    <w:div w:id="1088229017">
      <w:marLeft w:val="0"/>
      <w:marRight w:val="0"/>
      <w:marTop w:val="10"/>
      <w:marBottom w:val="10"/>
      <w:divBdr>
        <w:top w:val="none" w:sz="0" w:space="0" w:color="auto"/>
        <w:left w:val="none" w:sz="0" w:space="0" w:color="auto"/>
        <w:bottom w:val="none" w:sz="0" w:space="0" w:color="auto"/>
        <w:right w:val="none" w:sz="0" w:space="0" w:color="auto"/>
      </w:divBdr>
    </w:div>
    <w:div w:id="1105923220">
      <w:marLeft w:val="0"/>
      <w:marRight w:val="0"/>
      <w:marTop w:val="10"/>
      <w:marBottom w:val="10"/>
      <w:divBdr>
        <w:top w:val="none" w:sz="0" w:space="0" w:color="auto"/>
        <w:left w:val="none" w:sz="0" w:space="0" w:color="auto"/>
        <w:bottom w:val="none" w:sz="0" w:space="0" w:color="auto"/>
        <w:right w:val="none" w:sz="0" w:space="0" w:color="auto"/>
      </w:divBdr>
    </w:div>
    <w:div w:id="1124270592">
      <w:marLeft w:val="0"/>
      <w:marRight w:val="0"/>
      <w:marTop w:val="10"/>
      <w:marBottom w:val="10"/>
      <w:divBdr>
        <w:top w:val="none" w:sz="0" w:space="0" w:color="auto"/>
        <w:left w:val="none" w:sz="0" w:space="0" w:color="auto"/>
        <w:bottom w:val="none" w:sz="0" w:space="0" w:color="auto"/>
        <w:right w:val="none" w:sz="0" w:space="0" w:color="auto"/>
      </w:divBdr>
    </w:div>
    <w:div w:id="1127159696">
      <w:marLeft w:val="0"/>
      <w:marRight w:val="0"/>
      <w:marTop w:val="10"/>
      <w:marBottom w:val="10"/>
      <w:divBdr>
        <w:top w:val="none" w:sz="0" w:space="0" w:color="auto"/>
        <w:left w:val="none" w:sz="0" w:space="0" w:color="auto"/>
        <w:bottom w:val="none" w:sz="0" w:space="0" w:color="auto"/>
        <w:right w:val="none" w:sz="0" w:space="0" w:color="auto"/>
      </w:divBdr>
    </w:div>
    <w:div w:id="1146437330">
      <w:marLeft w:val="0"/>
      <w:marRight w:val="0"/>
      <w:marTop w:val="10"/>
      <w:marBottom w:val="10"/>
      <w:divBdr>
        <w:top w:val="none" w:sz="0" w:space="0" w:color="auto"/>
        <w:left w:val="none" w:sz="0" w:space="0" w:color="auto"/>
        <w:bottom w:val="none" w:sz="0" w:space="0" w:color="auto"/>
        <w:right w:val="none" w:sz="0" w:space="0" w:color="auto"/>
      </w:divBdr>
    </w:div>
    <w:div w:id="1193301805">
      <w:marLeft w:val="0"/>
      <w:marRight w:val="0"/>
      <w:marTop w:val="10"/>
      <w:marBottom w:val="10"/>
      <w:divBdr>
        <w:top w:val="none" w:sz="0" w:space="0" w:color="auto"/>
        <w:left w:val="none" w:sz="0" w:space="0" w:color="auto"/>
        <w:bottom w:val="none" w:sz="0" w:space="0" w:color="auto"/>
        <w:right w:val="none" w:sz="0" w:space="0" w:color="auto"/>
      </w:divBdr>
    </w:div>
    <w:div w:id="1211066164">
      <w:marLeft w:val="0"/>
      <w:marRight w:val="0"/>
      <w:marTop w:val="10"/>
      <w:marBottom w:val="10"/>
      <w:divBdr>
        <w:top w:val="none" w:sz="0" w:space="0" w:color="auto"/>
        <w:left w:val="none" w:sz="0" w:space="0" w:color="auto"/>
        <w:bottom w:val="none" w:sz="0" w:space="0" w:color="auto"/>
        <w:right w:val="none" w:sz="0" w:space="0" w:color="auto"/>
      </w:divBdr>
    </w:div>
    <w:div w:id="1234002942">
      <w:marLeft w:val="0"/>
      <w:marRight w:val="0"/>
      <w:marTop w:val="10"/>
      <w:marBottom w:val="10"/>
      <w:divBdr>
        <w:top w:val="none" w:sz="0" w:space="0" w:color="auto"/>
        <w:left w:val="none" w:sz="0" w:space="0" w:color="auto"/>
        <w:bottom w:val="none" w:sz="0" w:space="0" w:color="auto"/>
        <w:right w:val="none" w:sz="0" w:space="0" w:color="auto"/>
      </w:divBdr>
    </w:div>
    <w:div w:id="1285961040">
      <w:marLeft w:val="0"/>
      <w:marRight w:val="0"/>
      <w:marTop w:val="10"/>
      <w:marBottom w:val="10"/>
      <w:divBdr>
        <w:top w:val="none" w:sz="0" w:space="0" w:color="auto"/>
        <w:left w:val="none" w:sz="0" w:space="0" w:color="auto"/>
        <w:bottom w:val="none" w:sz="0" w:space="0" w:color="auto"/>
        <w:right w:val="none" w:sz="0" w:space="0" w:color="auto"/>
      </w:divBdr>
    </w:div>
    <w:div w:id="1527908462">
      <w:marLeft w:val="0"/>
      <w:marRight w:val="0"/>
      <w:marTop w:val="10"/>
      <w:marBottom w:val="10"/>
      <w:divBdr>
        <w:top w:val="none" w:sz="0" w:space="0" w:color="auto"/>
        <w:left w:val="none" w:sz="0" w:space="0" w:color="auto"/>
        <w:bottom w:val="none" w:sz="0" w:space="0" w:color="auto"/>
        <w:right w:val="none" w:sz="0" w:space="0" w:color="auto"/>
      </w:divBdr>
    </w:div>
    <w:div w:id="1551073136">
      <w:marLeft w:val="0"/>
      <w:marRight w:val="0"/>
      <w:marTop w:val="10"/>
      <w:marBottom w:val="10"/>
      <w:divBdr>
        <w:top w:val="none" w:sz="0" w:space="0" w:color="auto"/>
        <w:left w:val="none" w:sz="0" w:space="0" w:color="auto"/>
        <w:bottom w:val="none" w:sz="0" w:space="0" w:color="auto"/>
        <w:right w:val="none" w:sz="0" w:space="0" w:color="auto"/>
      </w:divBdr>
    </w:div>
    <w:div w:id="1664502670">
      <w:marLeft w:val="0"/>
      <w:marRight w:val="0"/>
      <w:marTop w:val="10"/>
      <w:marBottom w:val="10"/>
      <w:divBdr>
        <w:top w:val="none" w:sz="0" w:space="0" w:color="auto"/>
        <w:left w:val="none" w:sz="0" w:space="0" w:color="auto"/>
        <w:bottom w:val="none" w:sz="0" w:space="0" w:color="auto"/>
        <w:right w:val="none" w:sz="0" w:space="0" w:color="auto"/>
      </w:divBdr>
    </w:div>
    <w:div w:id="1684358436">
      <w:marLeft w:val="0"/>
      <w:marRight w:val="0"/>
      <w:marTop w:val="10"/>
      <w:marBottom w:val="10"/>
      <w:divBdr>
        <w:top w:val="none" w:sz="0" w:space="0" w:color="auto"/>
        <w:left w:val="none" w:sz="0" w:space="0" w:color="auto"/>
        <w:bottom w:val="none" w:sz="0" w:space="0" w:color="auto"/>
        <w:right w:val="none" w:sz="0" w:space="0" w:color="auto"/>
      </w:divBdr>
    </w:div>
    <w:div w:id="1702048544">
      <w:marLeft w:val="0"/>
      <w:marRight w:val="0"/>
      <w:marTop w:val="10"/>
      <w:marBottom w:val="10"/>
      <w:divBdr>
        <w:top w:val="none" w:sz="0" w:space="0" w:color="auto"/>
        <w:left w:val="none" w:sz="0" w:space="0" w:color="auto"/>
        <w:bottom w:val="none" w:sz="0" w:space="0" w:color="auto"/>
        <w:right w:val="none" w:sz="0" w:space="0" w:color="auto"/>
      </w:divBdr>
    </w:div>
    <w:div w:id="1713457859">
      <w:marLeft w:val="0"/>
      <w:marRight w:val="0"/>
      <w:marTop w:val="10"/>
      <w:marBottom w:val="10"/>
      <w:divBdr>
        <w:top w:val="none" w:sz="0" w:space="0" w:color="auto"/>
        <w:left w:val="none" w:sz="0" w:space="0" w:color="auto"/>
        <w:bottom w:val="none" w:sz="0" w:space="0" w:color="auto"/>
        <w:right w:val="none" w:sz="0" w:space="0" w:color="auto"/>
      </w:divBdr>
    </w:div>
    <w:div w:id="1844122655">
      <w:marLeft w:val="0"/>
      <w:marRight w:val="0"/>
      <w:marTop w:val="10"/>
      <w:marBottom w:val="10"/>
      <w:divBdr>
        <w:top w:val="none" w:sz="0" w:space="0" w:color="auto"/>
        <w:left w:val="none" w:sz="0" w:space="0" w:color="auto"/>
        <w:bottom w:val="none" w:sz="0" w:space="0" w:color="auto"/>
        <w:right w:val="none" w:sz="0" w:space="0" w:color="auto"/>
      </w:divBdr>
    </w:div>
    <w:div w:id="1873883269">
      <w:marLeft w:val="0"/>
      <w:marRight w:val="0"/>
      <w:marTop w:val="10"/>
      <w:marBottom w:val="10"/>
      <w:divBdr>
        <w:top w:val="none" w:sz="0" w:space="0" w:color="auto"/>
        <w:left w:val="none" w:sz="0" w:space="0" w:color="auto"/>
        <w:bottom w:val="none" w:sz="0" w:space="0" w:color="auto"/>
        <w:right w:val="none" w:sz="0" w:space="0" w:color="auto"/>
      </w:divBdr>
    </w:div>
    <w:div w:id="1973557861">
      <w:marLeft w:val="0"/>
      <w:marRight w:val="0"/>
      <w:marTop w:val="10"/>
      <w:marBottom w:val="10"/>
      <w:divBdr>
        <w:top w:val="none" w:sz="0" w:space="0" w:color="auto"/>
        <w:left w:val="none" w:sz="0" w:space="0" w:color="auto"/>
        <w:bottom w:val="none" w:sz="0" w:space="0" w:color="auto"/>
        <w:right w:val="none" w:sz="0" w:space="0" w:color="auto"/>
      </w:divBdr>
    </w:div>
    <w:div w:id="1993826194">
      <w:marLeft w:val="0"/>
      <w:marRight w:val="0"/>
      <w:marTop w:val="10"/>
      <w:marBottom w:val="10"/>
      <w:divBdr>
        <w:top w:val="none" w:sz="0" w:space="0" w:color="auto"/>
        <w:left w:val="none" w:sz="0" w:space="0" w:color="auto"/>
        <w:bottom w:val="none" w:sz="0" w:space="0" w:color="auto"/>
        <w:right w:val="none" w:sz="0" w:space="0" w:color="auto"/>
      </w:divBdr>
    </w:div>
    <w:div w:id="2003241117">
      <w:marLeft w:val="0"/>
      <w:marRight w:val="0"/>
      <w:marTop w:val="10"/>
      <w:marBottom w:val="10"/>
      <w:divBdr>
        <w:top w:val="none" w:sz="0" w:space="0" w:color="auto"/>
        <w:left w:val="none" w:sz="0" w:space="0" w:color="auto"/>
        <w:bottom w:val="none" w:sz="0" w:space="0" w:color="auto"/>
        <w:right w:val="none" w:sz="0" w:space="0" w:color="auto"/>
      </w:divBdr>
    </w:div>
    <w:div w:id="2020541420">
      <w:marLeft w:val="0"/>
      <w:marRight w:val="720"/>
      <w:marTop w:val="10"/>
      <w:marBottom w:val="10"/>
      <w:divBdr>
        <w:top w:val="none" w:sz="0" w:space="0" w:color="auto"/>
        <w:left w:val="none" w:sz="0" w:space="0" w:color="auto"/>
        <w:bottom w:val="none" w:sz="0" w:space="0" w:color="auto"/>
        <w:right w:val="none" w:sz="0" w:space="0" w:color="auto"/>
      </w:divBdr>
    </w:div>
    <w:div w:id="2023892261">
      <w:marLeft w:val="0"/>
      <w:marRight w:val="0"/>
      <w:marTop w:val="10"/>
      <w:marBottom w:val="10"/>
      <w:divBdr>
        <w:top w:val="none" w:sz="0" w:space="0" w:color="auto"/>
        <w:left w:val="none" w:sz="0" w:space="0" w:color="auto"/>
        <w:bottom w:val="none" w:sz="0" w:space="0" w:color="auto"/>
        <w:right w:val="none" w:sz="0" w:space="0" w:color="auto"/>
      </w:divBdr>
    </w:div>
    <w:div w:id="2030180922">
      <w:marLeft w:val="0"/>
      <w:marRight w:val="0"/>
      <w:marTop w:val="10"/>
      <w:marBottom w:val="10"/>
      <w:divBdr>
        <w:top w:val="none" w:sz="0" w:space="0" w:color="auto"/>
        <w:left w:val="none" w:sz="0" w:space="0" w:color="auto"/>
        <w:bottom w:val="none" w:sz="0" w:space="0" w:color="auto"/>
        <w:right w:val="none" w:sz="0" w:space="0" w:color="auto"/>
      </w:divBdr>
    </w:div>
    <w:div w:id="2073431228">
      <w:marLeft w:val="0"/>
      <w:marRight w:val="0"/>
      <w:marTop w:val="10"/>
      <w:marBottom w:val="10"/>
      <w:divBdr>
        <w:top w:val="none" w:sz="0" w:space="0" w:color="auto"/>
        <w:left w:val="none" w:sz="0" w:space="0" w:color="auto"/>
        <w:bottom w:val="none" w:sz="0" w:space="0" w:color="auto"/>
        <w:right w:val="none" w:sz="0" w:space="0" w:color="auto"/>
      </w:divBdr>
    </w:div>
    <w:div w:id="2073457505">
      <w:marLeft w:val="0"/>
      <w:marRight w:val="0"/>
      <w:marTop w:val="10"/>
      <w:marBottom w:val="10"/>
      <w:divBdr>
        <w:top w:val="none" w:sz="0" w:space="0" w:color="auto"/>
        <w:left w:val="none" w:sz="0" w:space="0" w:color="auto"/>
        <w:bottom w:val="none" w:sz="0" w:space="0" w:color="auto"/>
        <w:right w:val="none" w:sz="0" w:space="0" w:color="auto"/>
      </w:divBdr>
    </w:div>
    <w:div w:id="2088916586">
      <w:marLeft w:val="0"/>
      <w:marRight w:val="0"/>
      <w:marTop w:val="10"/>
      <w:marBottom w:val="10"/>
      <w:divBdr>
        <w:top w:val="none" w:sz="0" w:space="0" w:color="auto"/>
        <w:left w:val="none" w:sz="0" w:space="0" w:color="auto"/>
        <w:bottom w:val="none" w:sz="0" w:space="0" w:color="auto"/>
        <w:right w:val="none" w:sz="0" w:space="0" w:color="auto"/>
      </w:divBdr>
    </w:div>
    <w:div w:id="2089879358">
      <w:marLeft w:val="0"/>
      <w:marRight w:val="0"/>
      <w:marTop w:val="10"/>
      <w:marBottom w:val="10"/>
      <w:divBdr>
        <w:top w:val="none" w:sz="0" w:space="0" w:color="auto"/>
        <w:left w:val="none" w:sz="0" w:space="0" w:color="auto"/>
        <w:bottom w:val="none" w:sz="0" w:space="0" w:color="auto"/>
        <w:right w:val="none" w:sz="0" w:space="0" w:color="auto"/>
      </w:divBdr>
    </w:div>
    <w:div w:id="2097628468">
      <w:marLeft w:val="0"/>
      <w:marRight w:val="720"/>
      <w:marTop w:val="10"/>
      <w:marBottom w:val="10"/>
      <w:divBdr>
        <w:top w:val="none" w:sz="0" w:space="0" w:color="auto"/>
        <w:left w:val="none" w:sz="0" w:space="0" w:color="auto"/>
        <w:bottom w:val="none" w:sz="0" w:space="0" w:color="auto"/>
        <w:right w:val="none" w:sz="0" w:space="0" w:color="auto"/>
      </w:divBdr>
    </w:div>
    <w:div w:id="212318648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2021-12-15T08:47:00Z</dcterms:created>
  <dcterms:modified xsi:type="dcterms:W3CDTF">2021-12-30T03:54:00Z</dcterms:modified>
</cp:coreProperties>
</file>