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D71DE">
      <w:pPr>
        <w:spacing w:line="500" w:lineRule="atLeast"/>
        <w:jc w:val="center"/>
        <w:divId w:val="964821646"/>
        <w:rPr>
          <w:rFonts w:ascii="黑体" w:eastAsia="黑体" w:hAnsi="黑体"/>
          <w:sz w:val="36"/>
          <w:szCs w:val="36"/>
        </w:rPr>
      </w:pPr>
      <w:bookmarkStart w:id="0" w:name="_GoBack"/>
      <w:bookmarkEnd w:id="0"/>
      <w:r>
        <w:rPr>
          <w:rFonts w:ascii="黑体" w:eastAsia="黑体" w:hAnsi="黑体" w:hint="eastAsia"/>
          <w:sz w:val="36"/>
          <w:szCs w:val="36"/>
        </w:rPr>
        <w:t>四川省成都市中级人民法院</w:t>
      </w:r>
    </w:p>
    <w:p w:rsidR="00000000" w:rsidRDefault="00ED71DE">
      <w:pPr>
        <w:spacing w:line="500" w:lineRule="atLeast"/>
        <w:jc w:val="center"/>
        <w:divId w:val="4425767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D71DE">
      <w:pPr>
        <w:spacing w:line="500" w:lineRule="atLeast"/>
        <w:jc w:val="right"/>
        <w:divId w:val="644511427"/>
        <w:rPr>
          <w:rFonts w:hint="eastAsia"/>
          <w:sz w:val="30"/>
          <w:szCs w:val="30"/>
        </w:rPr>
      </w:pPr>
      <w:r>
        <w:rPr>
          <w:rFonts w:hint="eastAsia"/>
          <w:sz w:val="30"/>
          <w:szCs w:val="30"/>
        </w:rPr>
        <w:t>（</w:t>
      </w:r>
      <w:r>
        <w:rPr>
          <w:rFonts w:hint="eastAsia"/>
          <w:sz w:val="30"/>
          <w:szCs w:val="30"/>
        </w:rPr>
        <w:t>2020</w:t>
      </w:r>
      <w:r>
        <w:rPr>
          <w:rFonts w:hint="eastAsia"/>
          <w:sz w:val="30"/>
          <w:szCs w:val="30"/>
        </w:rPr>
        <w:t>）川</w:t>
      </w:r>
      <w:r>
        <w:rPr>
          <w:rFonts w:hint="eastAsia"/>
          <w:sz w:val="30"/>
          <w:szCs w:val="30"/>
        </w:rPr>
        <w:t>01</w:t>
      </w:r>
      <w:r>
        <w:rPr>
          <w:rFonts w:hint="eastAsia"/>
          <w:sz w:val="30"/>
          <w:szCs w:val="30"/>
        </w:rPr>
        <w:t>民终</w:t>
      </w:r>
      <w:r>
        <w:rPr>
          <w:rFonts w:hint="eastAsia"/>
          <w:sz w:val="30"/>
          <w:szCs w:val="30"/>
        </w:rPr>
        <w:t>3418</w:t>
      </w:r>
      <w:r>
        <w:rPr>
          <w:rFonts w:hint="eastAsia"/>
          <w:sz w:val="30"/>
          <w:szCs w:val="30"/>
        </w:rPr>
        <w:t>号</w:t>
      </w:r>
    </w:p>
    <w:p w:rsidR="00000000" w:rsidRDefault="00ED71DE">
      <w:pPr>
        <w:spacing w:line="500" w:lineRule="atLeast"/>
        <w:ind w:firstLine="600"/>
        <w:divId w:val="1248732208"/>
        <w:rPr>
          <w:rFonts w:hint="eastAsia"/>
          <w:sz w:val="30"/>
          <w:szCs w:val="30"/>
        </w:rPr>
      </w:pPr>
      <w:r>
        <w:rPr>
          <w:rFonts w:hint="eastAsia"/>
          <w:sz w:val="30"/>
          <w:szCs w:val="30"/>
        </w:rPr>
        <w:t>上诉人（原审原告）：成都威思拓科技有限公司，住所地：成都市高新区天府大道北段</w:t>
      </w:r>
      <w:r>
        <w:rPr>
          <w:rFonts w:hint="eastAsia"/>
          <w:sz w:val="30"/>
          <w:szCs w:val="30"/>
        </w:rPr>
        <w:t>20</w:t>
      </w:r>
      <w:r>
        <w:rPr>
          <w:rFonts w:hint="eastAsia"/>
          <w:sz w:val="30"/>
          <w:szCs w:val="30"/>
        </w:rPr>
        <w:t>号</w:t>
      </w:r>
      <w:r>
        <w:rPr>
          <w:rFonts w:hint="eastAsia"/>
          <w:sz w:val="30"/>
          <w:szCs w:val="30"/>
        </w:rPr>
        <w:t>1</w:t>
      </w:r>
      <w:r>
        <w:rPr>
          <w:rFonts w:hint="eastAsia"/>
          <w:sz w:val="30"/>
          <w:szCs w:val="30"/>
        </w:rPr>
        <w:t>幢</w:t>
      </w:r>
      <w:r>
        <w:rPr>
          <w:rFonts w:hint="eastAsia"/>
          <w:sz w:val="30"/>
          <w:szCs w:val="30"/>
        </w:rPr>
        <w:t>8</w:t>
      </w:r>
      <w:r>
        <w:rPr>
          <w:rFonts w:hint="eastAsia"/>
          <w:sz w:val="30"/>
          <w:szCs w:val="30"/>
        </w:rPr>
        <w:t>楼</w:t>
      </w:r>
      <w:r>
        <w:rPr>
          <w:rFonts w:hint="eastAsia"/>
          <w:sz w:val="30"/>
          <w:szCs w:val="30"/>
        </w:rPr>
        <w:t>10</w:t>
      </w:r>
      <w:r>
        <w:rPr>
          <w:rFonts w:hint="eastAsia"/>
          <w:sz w:val="30"/>
          <w:szCs w:val="30"/>
        </w:rPr>
        <w:t>号。</w:t>
      </w:r>
    </w:p>
    <w:p w:rsidR="00000000" w:rsidRDefault="00ED71DE">
      <w:pPr>
        <w:spacing w:line="500" w:lineRule="atLeast"/>
        <w:ind w:firstLine="600"/>
        <w:divId w:val="1759060926"/>
        <w:rPr>
          <w:rFonts w:hint="eastAsia"/>
          <w:sz w:val="30"/>
          <w:szCs w:val="30"/>
        </w:rPr>
      </w:pPr>
      <w:r>
        <w:rPr>
          <w:rFonts w:hint="eastAsia"/>
          <w:sz w:val="30"/>
          <w:szCs w:val="30"/>
        </w:rPr>
        <w:t>法定代表人：李路，总经理。</w:t>
      </w:r>
    </w:p>
    <w:p w:rsidR="00000000" w:rsidRDefault="00ED71DE">
      <w:pPr>
        <w:spacing w:line="500" w:lineRule="atLeast"/>
        <w:ind w:firstLine="600"/>
        <w:divId w:val="1043821494"/>
        <w:rPr>
          <w:rFonts w:hint="eastAsia"/>
          <w:sz w:val="30"/>
          <w:szCs w:val="30"/>
        </w:rPr>
      </w:pPr>
      <w:r>
        <w:rPr>
          <w:rFonts w:hint="eastAsia"/>
          <w:sz w:val="30"/>
          <w:szCs w:val="30"/>
        </w:rPr>
        <w:t>委托诉讼代理人：税雪，北京安博（成都）律师事务所律师。</w:t>
      </w:r>
    </w:p>
    <w:p w:rsidR="00000000" w:rsidRDefault="00ED71DE">
      <w:pPr>
        <w:spacing w:line="500" w:lineRule="atLeast"/>
        <w:ind w:firstLine="600"/>
        <w:divId w:val="1178425101"/>
        <w:rPr>
          <w:rFonts w:hint="eastAsia"/>
          <w:sz w:val="30"/>
          <w:szCs w:val="30"/>
        </w:rPr>
      </w:pPr>
      <w:r>
        <w:rPr>
          <w:rFonts w:hint="eastAsia"/>
          <w:sz w:val="30"/>
          <w:szCs w:val="30"/>
        </w:rPr>
        <w:t>被上诉人（原审被告）：王仁繁，男，</w:t>
      </w:r>
      <w:r>
        <w:rPr>
          <w:rFonts w:hint="eastAsia"/>
          <w:sz w:val="30"/>
          <w:szCs w:val="30"/>
        </w:rPr>
        <w:t>1974</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日出生，汉族，住成都市锦江区。</w:t>
      </w:r>
    </w:p>
    <w:p w:rsidR="00000000" w:rsidRDefault="00ED71DE">
      <w:pPr>
        <w:spacing w:line="500" w:lineRule="atLeast"/>
        <w:ind w:firstLine="600"/>
        <w:divId w:val="615524439"/>
        <w:rPr>
          <w:rFonts w:hint="eastAsia"/>
          <w:sz w:val="30"/>
          <w:szCs w:val="30"/>
        </w:rPr>
      </w:pPr>
      <w:r>
        <w:rPr>
          <w:rFonts w:hint="eastAsia"/>
          <w:sz w:val="30"/>
          <w:szCs w:val="30"/>
        </w:rPr>
        <w:t>委托诉讼代理人：陈刚，北京中伦（成都）律师事务所律师。</w:t>
      </w:r>
    </w:p>
    <w:p w:rsidR="00000000" w:rsidRDefault="00ED71DE">
      <w:pPr>
        <w:spacing w:line="500" w:lineRule="atLeast"/>
        <w:ind w:firstLine="600"/>
        <w:divId w:val="419985286"/>
        <w:rPr>
          <w:rFonts w:hint="eastAsia"/>
          <w:sz w:val="30"/>
          <w:szCs w:val="30"/>
        </w:rPr>
      </w:pPr>
      <w:r>
        <w:rPr>
          <w:rFonts w:hint="eastAsia"/>
          <w:sz w:val="30"/>
          <w:szCs w:val="30"/>
        </w:rPr>
        <w:t>被上诉人（原审被告）：成都友为新诚科技有限公司，住所地：成都市高新区中和上街</w:t>
      </w:r>
      <w:r>
        <w:rPr>
          <w:rFonts w:hint="eastAsia"/>
          <w:sz w:val="30"/>
          <w:szCs w:val="30"/>
        </w:rPr>
        <w:t>84</w:t>
      </w:r>
      <w:r>
        <w:rPr>
          <w:rFonts w:hint="eastAsia"/>
          <w:sz w:val="30"/>
          <w:szCs w:val="30"/>
        </w:rPr>
        <w:t>号。</w:t>
      </w:r>
    </w:p>
    <w:p w:rsidR="00000000" w:rsidRDefault="00ED71DE">
      <w:pPr>
        <w:spacing w:line="500" w:lineRule="atLeast"/>
        <w:ind w:firstLine="600"/>
        <w:divId w:val="2088503001"/>
        <w:rPr>
          <w:rFonts w:hint="eastAsia"/>
          <w:sz w:val="30"/>
          <w:szCs w:val="30"/>
        </w:rPr>
      </w:pPr>
      <w:r>
        <w:rPr>
          <w:rFonts w:hint="eastAsia"/>
          <w:sz w:val="30"/>
          <w:szCs w:val="30"/>
        </w:rPr>
        <w:t>法定代表人：林薇，总经理。</w:t>
      </w:r>
    </w:p>
    <w:p w:rsidR="00000000" w:rsidRDefault="00ED71DE">
      <w:pPr>
        <w:spacing w:line="500" w:lineRule="atLeast"/>
        <w:ind w:firstLine="600"/>
        <w:divId w:val="1130712045"/>
        <w:rPr>
          <w:rFonts w:hint="eastAsia"/>
          <w:sz w:val="30"/>
          <w:szCs w:val="30"/>
        </w:rPr>
      </w:pPr>
      <w:r>
        <w:rPr>
          <w:rFonts w:hint="eastAsia"/>
          <w:sz w:val="30"/>
          <w:szCs w:val="30"/>
        </w:rPr>
        <w:t>委托诉讼代理人：刘敏，北京大成（成都）律师事务所律师。</w:t>
      </w:r>
    </w:p>
    <w:p w:rsidR="00000000" w:rsidRDefault="00ED71DE">
      <w:pPr>
        <w:spacing w:line="500" w:lineRule="atLeast"/>
        <w:ind w:firstLine="600"/>
        <w:divId w:val="1532910615"/>
        <w:rPr>
          <w:rFonts w:hint="eastAsia"/>
          <w:sz w:val="30"/>
          <w:szCs w:val="30"/>
        </w:rPr>
      </w:pPr>
      <w:r>
        <w:rPr>
          <w:rFonts w:hint="eastAsia"/>
          <w:sz w:val="30"/>
          <w:szCs w:val="30"/>
        </w:rPr>
        <w:t>上诉人成都威思拓科技有限公司（以下简称威思拓公司）因与被上诉人王仁繁、成都友为新诚科技有限公司（以下简称友为公司）损害公司利益责任纠纷一案，不服成都高新技术产业开发区人民法院（</w:t>
      </w:r>
      <w:r>
        <w:rPr>
          <w:rFonts w:hint="eastAsia"/>
          <w:sz w:val="30"/>
          <w:szCs w:val="30"/>
        </w:rPr>
        <w:t>2019</w:t>
      </w:r>
      <w:r>
        <w:rPr>
          <w:rFonts w:hint="eastAsia"/>
          <w:sz w:val="30"/>
          <w:szCs w:val="30"/>
        </w:rPr>
        <w:t>）川</w:t>
      </w:r>
      <w:r>
        <w:rPr>
          <w:rFonts w:hint="eastAsia"/>
          <w:sz w:val="30"/>
          <w:szCs w:val="30"/>
        </w:rPr>
        <w:t>0191</w:t>
      </w:r>
      <w:r>
        <w:rPr>
          <w:rFonts w:hint="eastAsia"/>
          <w:sz w:val="30"/>
          <w:szCs w:val="30"/>
        </w:rPr>
        <w:t>民初</w:t>
      </w:r>
      <w:r>
        <w:rPr>
          <w:rFonts w:hint="eastAsia"/>
          <w:sz w:val="30"/>
          <w:szCs w:val="30"/>
        </w:rPr>
        <w:t>8400</w:t>
      </w:r>
      <w:r>
        <w:rPr>
          <w:rFonts w:hint="eastAsia"/>
          <w:sz w:val="30"/>
          <w:szCs w:val="30"/>
        </w:rPr>
        <w:t>号民事判决，向本院提起上诉。本院立案后，依法组成合议庭进行了审理。本案现已审理终结。</w:t>
      </w:r>
    </w:p>
    <w:p w:rsidR="00000000" w:rsidRDefault="00ED71DE">
      <w:pPr>
        <w:spacing w:line="500" w:lineRule="atLeast"/>
        <w:ind w:firstLine="600"/>
        <w:divId w:val="221840569"/>
        <w:rPr>
          <w:rFonts w:hint="eastAsia"/>
          <w:sz w:val="30"/>
          <w:szCs w:val="30"/>
        </w:rPr>
      </w:pPr>
      <w:r>
        <w:rPr>
          <w:rFonts w:hint="eastAsia"/>
          <w:sz w:val="30"/>
          <w:szCs w:val="30"/>
        </w:rPr>
        <w:t>威思拓公司上诉请求：撤销一审判决，将本案移送公安机关。事实和理由：</w:t>
      </w:r>
      <w:r>
        <w:rPr>
          <w:rFonts w:hint="eastAsia"/>
          <w:sz w:val="30"/>
          <w:szCs w:val="30"/>
        </w:rPr>
        <w:t>1.</w:t>
      </w:r>
      <w:r>
        <w:rPr>
          <w:rFonts w:hint="eastAsia"/>
          <w:sz w:val="30"/>
          <w:szCs w:val="30"/>
        </w:rPr>
        <w:t>一审认定王仁繁不属于高管属于事实认定错误，一审第一次开庭时曾出具</w:t>
      </w:r>
      <w:r>
        <w:rPr>
          <w:rFonts w:hint="eastAsia"/>
          <w:sz w:val="30"/>
          <w:szCs w:val="30"/>
        </w:rPr>
        <w:t>《任命书》原件，后原件被公安局调取故无法出具，侦查结束可提交至法院。公司员工的证</w:t>
      </w:r>
      <w:r>
        <w:rPr>
          <w:rFonts w:hint="eastAsia"/>
          <w:sz w:val="30"/>
          <w:szCs w:val="30"/>
        </w:rPr>
        <w:lastRenderedPageBreak/>
        <w:t>言、公司签订的重大合同符合证据的真实性要求，应予采信。</w:t>
      </w:r>
      <w:r>
        <w:rPr>
          <w:rFonts w:hint="eastAsia"/>
          <w:sz w:val="30"/>
          <w:szCs w:val="30"/>
        </w:rPr>
        <w:t>2.</w:t>
      </w:r>
      <w:r>
        <w:rPr>
          <w:rFonts w:hint="eastAsia"/>
          <w:sz w:val="30"/>
          <w:szCs w:val="30"/>
        </w:rPr>
        <w:t>案涉项目涉及经济犯罪，按司法解释应中止审理，一审法院不应驳回诉讼请求。</w:t>
      </w:r>
    </w:p>
    <w:p w:rsidR="00000000" w:rsidRDefault="00ED71DE">
      <w:pPr>
        <w:spacing w:line="500" w:lineRule="atLeast"/>
        <w:ind w:firstLine="600"/>
        <w:divId w:val="1167524600"/>
        <w:rPr>
          <w:rFonts w:hint="eastAsia"/>
          <w:sz w:val="30"/>
          <w:szCs w:val="30"/>
        </w:rPr>
      </w:pPr>
      <w:r>
        <w:rPr>
          <w:rFonts w:hint="eastAsia"/>
          <w:sz w:val="30"/>
          <w:szCs w:val="30"/>
        </w:rPr>
        <w:t>王仁繁辩称，一审认定事实正确，威思拓公司无任何证据证明王仁繁是公司高管；按司法解释，中止审理的前提是有公检机关向法院提交函件，一审依法判决是合法的；威思拓公司补交的证据不能证明王仁繁涉嫌犯罪。</w:t>
      </w:r>
    </w:p>
    <w:p w:rsidR="00000000" w:rsidRDefault="00ED71DE">
      <w:pPr>
        <w:spacing w:line="500" w:lineRule="atLeast"/>
        <w:ind w:firstLine="600"/>
        <w:divId w:val="1994947088"/>
        <w:rPr>
          <w:rFonts w:hint="eastAsia"/>
          <w:sz w:val="30"/>
          <w:szCs w:val="30"/>
        </w:rPr>
      </w:pPr>
      <w:r>
        <w:rPr>
          <w:rFonts w:hint="eastAsia"/>
          <w:sz w:val="30"/>
          <w:szCs w:val="30"/>
        </w:rPr>
        <w:t>友为公司辩称，一审认定事实清楚，王仁繁是销售经理而非公司法规定的“高级管理人员”，威思拓公司的主张缺乏证据；</w:t>
      </w:r>
      <w:r>
        <w:rPr>
          <w:rFonts w:hint="eastAsia"/>
          <w:sz w:val="30"/>
          <w:szCs w:val="30"/>
        </w:rPr>
        <w:t>无公检机关函告法院，一审不应中止审理。</w:t>
      </w:r>
    </w:p>
    <w:p w:rsidR="00000000" w:rsidRDefault="00ED71DE">
      <w:pPr>
        <w:spacing w:line="500" w:lineRule="atLeast"/>
        <w:ind w:firstLine="600"/>
        <w:divId w:val="1714958394"/>
        <w:rPr>
          <w:rFonts w:hint="eastAsia"/>
          <w:sz w:val="30"/>
          <w:szCs w:val="30"/>
        </w:rPr>
      </w:pPr>
      <w:r>
        <w:rPr>
          <w:rFonts w:hint="eastAsia"/>
          <w:sz w:val="30"/>
          <w:szCs w:val="30"/>
        </w:rPr>
        <w:t>威思拓公司向一审法院起诉请求：判令王仁繁、友为公司依据转包合同即《</w:t>
      </w:r>
      <w:r>
        <w:rPr>
          <w:rFonts w:hint="eastAsia"/>
          <w:sz w:val="30"/>
          <w:szCs w:val="30"/>
        </w:rPr>
        <w:t>2018</w:t>
      </w:r>
      <w:r>
        <w:rPr>
          <w:rFonts w:hint="eastAsia"/>
          <w:sz w:val="30"/>
          <w:szCs w:val="30"/>
        </w:rPr>
        <w:t>西藏电信</w:t>
      </w:r>
      <w:r>
        <w:rPr>
          <w:rFonts w:hint="eastAsia"/>
          <w:sz w:val="30"/>
          <w:szCs w:val="30"/>
        </w:rPr>
        <w:t>CDN</w:t>
      </w:r>
      <w:r>
        <w:rPr>
          <w:rFonts w:hint="eastAsia"/>
          <w:sz w:val="30"/>
          <w:szCs w:val="30"/>
        </w:rPr>
        <w:t>组播能力扩容项目设备及相关服务采购合同》产生的全部收益</w:t>
      </w:r>
      <w:r>
        <w:rPr>
          <w:rFonts w:hint="eastAsia"/>
          <w:sz w:val="30"/>
          <w:szCs w:val="30"/>
        </w:rPr>
        <w:t>2472357</w:t>
      </w:r>
      <w:r>
        <w:rPr>
          <w:rFonts w:hint="eastAsia"/>
          <w:sz w:val="30"/>
          <w:szCs w:val="30"/>
        </w:rPr>
        <w:t>元归威思拓公司所有。</w:t>
      </w:r>
    </w:p>
    <w:p w:rsidR="00000000" w:rsidRDefault="00ED71DE">
      <w:pPr>
        <w:spacing w:line="500" w:lineRule="atLeast"/>
        <w:ind w:firstLine="600"/>
        <w:divId w:val="679937574"/>
        <w:rPr>
          <w:rFonts w:hint="eastAsia"/>
          <w:sz w:val="30"/>
          <w:szCs w:val="30"/>
        </w:rPr>
      </w:pPr>
      <w:r>
        <w:rPr>
          <w:rFonts w:hint="eastAsia"/>
          <w:sz w:val="30"/>
          <w:szCs w:val="30"/>
        </w:rPr>
        <w:t>一审法院认定事实：</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日，威思拓公司出具“个人收入证明”，其中记载：“兹证明王仁繁系我单位员工，已在我单位工作</w:t>
      </w:r>
      <w:r>
        <w:rPr>
          <w:rFonts w:hint="eastAsia"/>
          <w:sz w:val="30"/>
          <w:szCs w:val="30"/>
        </w:rPr>
        <w:t>8</w:t>
      </w:r>
      <w:r>
        <w:rPr>
          <w:rFonts w:hint="eastAsia"/>
          <w:sz w:val="30"/>
          <w:szCs w:val="30"/>
        </w:rPr>
        <w:t>年，职务销售经理……我单位对本证明的真实性负责……”</w:t>
      </w:r>
    </w:p>
    <w:p w:rsidR="00000000" w:rsidRDefault="00ED71DE">
      <w:pPr>
        <w:spacing w:line="500" w:lineRule="atLeast"/>
        <w:ind w:firstLine="600"/>
        <w:divId w:val="1596672334"/>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日，威思拓公司与友为公司签订《</w:t>
      </w:r>
      <w:r>
        <w:rPr>
          <w:rFonts w:hint="eastAsia"/>
          <w:sz w:val="30"/>
          <w:szCs w:val="30"/>
        </w:rPr>
        <w:t>2018</w:t>
      </w:r>
      <w:r>
        <w:rPr>
          <w:rFonts w:hint="eastAsia"/>
          <w:sz w:val="30"/>
          <w:szCs w:val="30"/>
        </w:rPr>
        <w:t>西藏电信</w:t>
      </w:r>
      <w:r>
        <w:rPr>
          <w:rFonts w:hint="eastAsia"/>
          <w:sz w:val="30"/>
          <w:szCs w:val="30"/>
        </w:rPr>
        <w:t>CDN</w:t>
      </w:r>
      <w:r>
        <w:rPr>
          <w:rFonts w:hint="eastAsia"/>
          <w:sz w:val="30"/>
          <w:szCs w:val="30"/>
        </w:rPr>
        <w:t>组播能力扩容项目设备及相关服务采购合同》，约</w:t>
      </w:r>
      <w:r>
        <w:rPr>
          <w:rFonts w:hint="eastAsia"/>
          <w:sz w:val="30"/>
          <w:szCs w:val="30"/>
        </w:rPr>
        <w:t>定威思拓公司向友为公司采购用于西藏电信</w:t>
      </w:r>
      <w:r>
        <w:rPr>
          <w:rFonts w:hint="eastAsia"/>
          <w:sz w:val="30"/>
          <w:szCs w:val="30"/>
        </w:rPr>
        <w:t>2018</w:t>
      </w:r>
      <w:r>
        <w:rPr>
          <w:rFonts w:hint="eastAsia"/>
          <w:sz w:val="30"/>
          <w:szCs w:val="30"/>
        </w:rPr>
        <w:t>年</w:t>
      </w:r>
      <w:r>
        <w:rPr>
          <w:rFonts w:hint="eastAsia"/>
          <w:sz w:val="30"/>
          <w:szCs w:val="30"/>
        </w:rPr>
        <w:t>CDN</w:t>
      </w:r>
      <w:r>
        <w:rPr>
          <w:rFonts w:hint="eastAsia"/>
          <w:sz w:val="30"/>
          <w:szCs w:val="30"/>
        </w:rPr>
        <w:t>系统扩容工程项目的货物和相关服务，总价款</w:t>
      </w:r>
      <w:r>
        <w:rPr>
          <w:rFonts w:hint="eastAsia"/>
          <w:sz w:val="30"/>
          <w:szCs w:val="30"/>
        </w:rPr>
        <w:t>3163320</w:t>
      </w:r>
      <w:r>
        <w:rPr>
          <w:rFonts w:hint="eastAsia"/>
          <w:sz w:val="30"/>
          <w:szCs w:val="30"/>
        </w:rPr>
        <w:t>元。王仁繁在该合同尾部“甲方：威思拓公司授权代表”处签名。</w:t>
      </w:r>
    </w:p>
    <w:p w:rsidR="00000000" w:rsidRDefault="00ED71DE">
      <w:pPr>
        <w:spacing w:line="500" w:lineRule="atLeast"/>
        <w:ind w:firstLine="600"/>
        <w:divId w:val="1670209533"/>
        <w:rPr>
          <w:rFonts w:hint="eastAsia"/>
          <w:sz w:val="30"/>
          <w:szCs w:val="30"/>
        </w:rPr>
      </w:pPr>
      <w:r>
        <w:rPr>
          <w:rFonts w:hint="eastAsia"/>
          <w:sz w:val="30"/>
          <w:szCs w:val="30"/>
        </w:rPr>
        <w:t>一审诉讼过程中，基于查清案件事实的需要，一审法院要求威思拓公司提交“任命书”原件，但威思拓公司一直以各种理由推诿拖延，一直未予提交。</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日，威思拓公</w:t>
      </w:r>
      <w:r>
        <w:rPr>
          <w:rFonts w:hint="eastAsia"/>
          <w:sz w:val="30"/>
          <w:szCs w:val="30"/>
        </w:rPr>
        <w:lastRenderedPageBreak/>
        <w:t>司书面向一审法院称“案涉《任命书》原件现已不在我公司处”。</w:t>
      </w:r>
    </w:p>
    <w:p w:rsidR="00000000" w:rsidRDefault="00ED71DE">
      <w:pPr>
        <w:spacing w:line="500" w:lineRule="atLeast"/>
        <w:ind w:firstLine="600"/>
        <w:divId w:val="290013491"/>
        <w:rPr>
          <w:rFonts w:hint="eastAsia"/>
          <w:sz w:val="30"/>
          <w:szCs w:val="30"/>
        </w:rPr>
      </w:pPr>
      <w:r>
        <w:rPr>
          <w:rFonts w:hint="eastAsia"/>
          <w:sz w:val="30"/>
          <w:szCs w:val="30"/>
        </w:rPr>
        <w:t>一审法院认为，本案系公司高管损害公司利益责任纠纷，故本案首先需要解决的问题是王仁繁是否属于《中华人民共和国公司法》规定的高</w:t>
      </w:r>
      <w:r>
        <w:rPr>
          <w:rFonts w:hint="eastAsia"/>
          <w:sz w:val="30"/>
          <w:szCs w:val="30"/>
        </w:rPr>
        <w:t>管，进一步而言，即王仁繁是否为威思拓公司主张的公司副（总）经理。对此，一审法院评述如下：诉讼主张须以证据为依托，威思拓公司用于证明其该项主张成立的证据有证人证言、王仁繁代表威思拓公司对外签订的合同以及前述“任命书”，逐一而论，</w:t>
      </w:r>
      <w:r>
        <w:rPr>
          <w:rFonts w:hint="eastAsia"/>
          <w:sz w:val="30"/>
          <w:szCs w:val="30"/>
        </w:rPr>
        <w:t>1.</w:t>
      </w:r>
      <w:r>
        <w:rPr>
          <w:rFonts w:hint="eastAsia"/>
          <w:sz w:val="30"/>
          <w:szCs w:val="30"/>
        </w:rPr>
        <w:t>因证人均系威思拓公司员工，与威思拓公司具有直接利害关系，证言真实性存疑，故不予采信。</w:t>
      </w:r>
      <w:r>
        <w:rPr>
          <w:rFonts w:hint="eastAsia"/>
          <w:sz w:val="30"/>
          <w:szCs w:val="30"/>
        </w:rPr>
        <w:t>2.</w:t>
      </w:r>
      <w:r>
        <w:rPr>
          <w:rFonts w:hint="eastAsia"/>
          <w:sz w:val="30"/>
          <w:szCs w:val="30"/>
        </w:rPr>
        <w:t>根据王仁繁代表威思拓公司对外签订合同这一事实，只能说明其当时是威思拓公司委派的签约代表（代理人），并不能据此推断出其在威思拓公司担任副（总）经理。</w:t>
      </w:r>
      <w:r>
        <w:rPr>
          <w:rFonts w:hint="eastAsia"/>
          <w:sz w:val="30"/>
          <w:szCs w:val="30"/>
        </w:rPr>
        <w:t>3.</w:t>
      </w:r>
      <w:r>
        <w:rPr>
          <w:rFonts w:hint="eastAsia"/>
          <w:sz w:val="30"/>
          <w:szCs w:val="30"/>
        </w:rPr>
        <w:t>对于“任命书”，首先，存在相反证据，即前述“</w:t>
      </w:r>
      <w:r>
        <w:rPr>
          <w:rFonts w:hint="eastAsia"/>
          <w:sz w:val="30"/>
          <w:szCs w:val="30"/>
        </w:rPr>
        <w:t>个人收入证明”，且威思拓公司对此不能作出令人信服的解释；其次，威思拓公司称聘任合同中亦载明王仁繁系副（总）经理，但迟迟不能提供相应证据；再次，威思拓公司推诿拖延提交“任命书”原件的诉讼行为表现，实在有违诚实信用原则。因此，该“任命书”真实性存疑，不予采信；有鉴于此，对于王仁繁的鉴定申请，因无实施条件且无必要，不予准许。综上所述，威思拓公司所举证据不足以证明事发当时王仁繁系公司副（总）经理，相应地，其要求行使归入权的诉讼请求不成立。对威思拓公司的诉讼请求不予支持。</w:t>
      </w:r>
    </w:p>
    <w:p w:rsidR="00000000" w:rsidRDefault="00ED71DE">
      <w:pPr>
        <w:spacing w:line="500" w:lineRule="atLeast"/>
        <w:ind w:firstLine="600"/>
        <w:divId w:val="1809783994"/>
        <w:rPr>
          <w:rFonts w:hint="eastAsia"/>
          <w:sz w:val="30"/>
          <w:szCs w:val="30"/>
        </w:rPr>
      </w:pPr>
      <w:r>
        <w:rPr>
          <w:rFonts w:hint="eastAsia"/>
          <w:sz w:val="30"/>
          <w:szCs w:val="30"/>
        </w:rPr>
        <w:t>综上所述，对威思拓公司的诉讼请求不予支持。一</w:t>
      </w:r>
      <w:r>
        <w:rPr>
          <w:rFonts w:hint="eastAsia"/>
          <w:sz w:val="30"/>
          <w:szCs w:val="30"/>
        </w:rPr>
        <w:t>审法院依照《中华人民共和国公司法》第一百四十八条、第二百一十六条第一项，《中华人民共和国民事诉讼法》第六十四条第一款规定，判决：驳回威思拓公司的诉讼请求。案件受理费</w:t>
      </w:r>
      <w:r>
        <w:rPr>
          <w:rFonts w:hint="eastAsia"/>
          <w:sz w:val="30"/>
          <w:szCs w:val="30"/>
        </w:rPr>
        <w:t>13289</w:t>
      </w:r>
      <w:r>
        <w:rPr>
          <w:rFonts w:hint="eastAsia"/>
          <w:sz w:val="30"/>
          <w:szCs w:val="30"/>
        </w:rPr>
        <w:t>元，由威思拓公司负担。</w:t>
      </w:r>
    </w:p>
    <w:p w:rsidR="00000000" w:rsidRDefault="00ED71DE">
      <w:pPr>
        <w:spacing w:line="500" w:lineRule="atLeast"/>
        <w:ind w:firstLine="600"/>
        <w:divId w:val="462503605"/>
        <w:rPr>
          <w:rFonts w:hint="eastAsia"/>
          <w:sz w:val="30"/>
          <w:szCs w:val="30"/>
        </w:rPr>
      </w:pPr>
      <w:r>
        <w:rPr>
          <w:rFonts w:hint="eastAsia"/>
          <w:sz w:val="30"/>
          <w:szCs w:val="30"/>
        </w:rPr>
        <w:t>二审期间，威思拓公司提交《立案决定书》《调取证据通知书》《协查函》，拟证明王仁繁因本案事实涉嫌职务侵占罪被拉萨市公安局立案侦查。王仁繁、友为公司质证不认可前述证据真实性、合法性、关联性。本院认为，《立案决定书》具有真实性、合法性、关联性，本院依法予以采信，《调取证据通知书》《协查函》与本案争议焦点缺乏关联性，本院</w:t>
      </w:r>
      <w:r>
        <w:rPr>
          <w:rFonts w:hint="eastAsia"/>
          <w:sz w:val="30"/>
          <w:szCs w:val="30"/>
        </w:rPr>
        <w:t>不予采信。</w:t>
      </w:r>
    </w:p>
    <w:p w:rsidR="00000000" w:rsidRDefault="00ED71DE">
      <w:pPr>
        <w:spacing w:line="500" w:lineRule="atLeast"/>
        <w:ind w:firstLine="600"/>
        <w:divId w:val="772362290"/>
        <w:rPr>
          <w:rFonts w:hint="eastAsia"/>
          <w:sz w:val="30"/>
          <w:szCs w:val="30"/>
        </w:rPr>
      </w:pPr>
      <w:r>
        <w:rPr>
          <w:rFonts w:hint="eastAsia"/>
          <w:sz w:val="30"/>
          <w:szCs w:val="30"/>
        </w:rPr>
        <w:t>本院对一审查明的案件事实予以确认。另查明，拉萨市公安局于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日决定对王仁繁、林薇涉嫌串通投标、职务侵占案立案侦查。</w:t>
      </w:r>
    </w:p>
    <w:p w:rsidR="00000000" w:rsidRDefault="00ED71DE">
      <w:pPr>
        <w:spacing w:line="500" w:lineRule="atLeast"/>
        <w:ind w:firstLine="600"/>
        <w:divId w:val="1055859254"/>
        <w:rPr>
          <w:rFonts w:hint="eastAsia"/>
          <w:sz w:val="30"/>
          <w:szCs w:val="30"/>
        </w:rPr>
      </w:pPr>
      <w:r>
        <w:rPr>
          <w:rFonts w:hint="eastAsia"/>
          <w:sz w:val="30"/>
          <w:szCs w:val="30"/>
        </w:rPr>
        <w:t>本院认为，本案二审的争议焦点为：</w:t>
      </w:r>
      <w:r>
        <w:rPr>
          <w:rFonts w:hint="eastAsia"/>
          <w:sz w:val="30"/>
          <w:szCs w:val="30"/>
        </w:rPr>
        <w:t>1.</w:t>
      </w:r>
      <w:r>
        <w:rPr>
          <w:rFonts w:hint="eastAsia"/>
          <w:sz w:val="30"/>
          <w:szCs w:val="30"/>
        </w:rPr>
        <w:t>王仁繁是否系威思拓公司高级管理人员；</w:t>
      </w:r>
      <w:r>
        <w:rPr>
          <w:rFonts w:hint="eastAsia"/>
          <w:sz w:val="30"/>
          <w:szCs w:val="30"/>
        </w:rPr>
        <w:t>2.</w:t>
      </w:r>
      <w:r>
        <w:rPr>
          <w:rFonts w:hint="eastAsia"/>
          <w:sz w:val="30"/>
          <w:szCs w:val="30"/>
        </w:rPr>
        <w:t>本案审查的事实与拉萨市公安局立案侦查的案件是否属于同一事实，是否应移送公安机关。本院对此分别评析如下：</w:t>
      </w:r>
    </w:p>
    <w:p w:rsidR="00000000" w:rsidRDefault="00ED71DE">
      <w:pPr>
        <w:spacing w:line="500" w:lineRule="atLeast"/>
        <w:ind w:firstLine="600"/>
        <w:divId w:val="150878022"/>
        <w:rPr>
          <w:rFonts w:hint="eastAsia"/>
          <w:sz w:val="30"/>
          <w:szCs w:val="30"/>
        </w:rPr>
      </w:pPr>
      <w:r>
        <w:rPr>
          <w:rFonts w:hint="eastAsia"/>
          <w:sz w:val="30"/>
          <w:szCs w:val="30"/>
        </w:rPr>
        <w:t>一、王仁繁是否系威思拓公司高级管理人员</w:t>
      </w:r>
    </w:p>
    <w:p w:rsidR="00000000" w:rsidRDefault="00ED71DE">
      <w:pPr>
        <w:spacing w:line="500" w:lineRule="atLeast"/>
        <w:ind w:firstLine="600"/>
        <w:divId w:val="267009603"/>
        <w:rPr>
          <w:rFonts w:hint="eastAsia"/>
          <w:sz w:val="30"/>
          <w:szCs w:val="30"/>
        </w:rPr>
      </w:pPr>
      <w:r>
        <w:rPr>
          <w:rFonts w:hint="eastAsia"/>
          <w:sz w:val="30"/>
          <w:szCs w:val="30"/>
        </w:rPr>
        <w:t>威思拓公司认为王仁繁违反公司高级管理人员忠实义务、损害公司利益，应当首先证明王仁繁属于威思拓公司高级管理人员。《中华人民共和国公司法》第二百六十一条</w:t>
      </w:r>
      <w:r>
        <w:rPr>
          <w:rFonts w:hint="eastAsia"/>
          <w:sz w:val="30"/>
          <w:szCs w:val="30"/>
        </w:rPr>
        <w:t>规定，高级管理人员，是指公司的经理、副经理、财务负责人，上市公司董事会秘书和公司章程规定的其他人员。威思拓公司并未举证证明其公司章程对公司高级管理人员范围作出特别规定，对王仁繁是否属于威思拓公司高级管理人员应以法律规定为准。威思拓公司主张王仁繁属于高级管理人员的依据主要包括《任命书》、王仁繁代表威思拓公司对外签订的数份业务合同等证据。本院认为，首先，王仁繁举示的个人名片显示其职务为“销售经理”，威思拓公司未举证证明其公司将“销售经理”列为公司高级管理人员；其次，王仁繁虽数次代表威思拓公司对外签订业务合同，但</w:t>
      </w:r>
      <w:r>
        <w:rPr>
          <w:rFonts w:hint="eastAsia"/>
          <w:sz w:val="30"/>
          <w:szCs w:val="30"/>
        </w:rPr>
        <w:t>其签字处载明“法定代表人</w:t>
      </w:r>
      <w:r>
        <w:rPr>
          <w:rFonts w:hint="eastAsia"/>
          <w:sz w:val="30"/>
          <w:szCs w:val="30"/>
        </w:rPr>
        <w:t>/</w:t>
      </w:r>
      <w:r>
        <w:rPr>
          <w:rFonts w:hint="eastAsia"/>
          <w:sz w:val="30"/>
          <w:szCs w:val="30"/>
        </w:rPr>
        <w:t>负责人或授权代表”“甲方代表”等字样，故仅能得出王仁繁为威思拓公司授权订立合同的代理人，无法得出王仁繁具有公司高级管理人员职务的结论；再次，威思拓公司举示《任命书》，证明公司于</w:t>
      </w:r>
      <w:r>
        <w:rPr>
          <w:rFonts w:hint="eastAsia"/>
          <w:sz w:val="30"/>
          <w:szCs w:val="30"/>
        </w:rPr>
        <w:t>2014</w:t>
      </w:r>
      <w:r>
        <w:rPr>
          <w:rFonts w:hint="eastAsia"/>
          <w:sz w:val="30"/>
          <w:szCs w:val="30"/>
        </w:rPr>
        <w:t>年任命王仁繁为公司副总经理，但该《任命书》系威思拓公司单方制作，没有该《任命书》曾在公司公示或向王仁繁送达的证据，亦缺乏王仁繁接受威思拓公司聘任等证据佐证，并且各方对《任命书》形成时间存有异议，在缺乏其他有效证据情况下，无法得出王仁繁为威思拓公司副总经理的结论。综上，现有证据不足以证明王仁繁系公司高级</w:t>
      </w:r>
      <w:r>
        <w:rPr>
          <w:rFonts w:hint="eastAsia"/>
          <w:sz w:val="30"/>
          <w:szCs w:val="30"/>
        </w:rPr>
        <w:t>管理人员，威思拓公司的主张依据不足，本院不予采信。</w:t>
      </w:r>
    </w:p>
    <w:p w:rsidR="00000000" w:rsidRDefault="00ED71DE">
      <w:pPr>
        <w:spacing w:line="500" w:lineRule="atLeast"/>
        <w:ind w:firstLine="600"/>
        <w:divId w:val="433743321"/>
        <w:rPr>
          <w:rFonts w:hint="eastAsia"/>
          <w:sz w:val="30"/>
          <w:szCs w:val="30"/>
        </w:rPr>
      </w:pPr>
      <w:r>
        <w:rPr>
          <w:rFonts w:hint="eastAsia"/>
          <w:sz w:val="30"/>
          <w:szCs w:val="30"/>
        </w:rPr>
        <w:t>二、本案审查的事实与拉萨市公安局立案侦查的案件是否属于同一事实，是否应移送公安机关</w:t>
      </w:r>
    </w:p>
    <w:p w:rsidR="00000000" w:rsidRDefault="00ED71DE">
      <w:pPr>
        <w:spacing w:line="500" w:lineRule="atLeast"/>
        <w:ind w:firstLine="600"/>
        <w:divId w:val="1424449953"/>
        <w:rPr>
          <w:rFonts w:hint="eastAsia"/>
          <w:sz w:val="30"/>
          <w:szCs w:val="30"/>
        </w:rPr>
      </w:pPr>
      <w:r>
        <w:rPr>
          <w:rFonts w:hint="eastAsia"/>
          <w:sz w:val="30"/>
          <w:szCs w:val="30"/>
        </w:rPr>
        <w:t>《最高人民法院关于在审理经济纠纷案件中涉及经济犯罪嫌疑若干问题的规定》第一条规定：“同一公民、法人或其他经济组织因不同的法律事实，分别涉及经济纠纷和经济犯罪嫌疑的，经济纠纷案件和经济犯罪嫌疑案件应当分开审理”</w:t>
      </w:r>
      <w:r>
        <w:rPr>
          <w:rFonts w:hint="eastAsia"/>
          <w:sz w:val="30"/>
          <w:szCs w:val="30"/>
        </w:rPr>
        <w:t>。本案是否应当移送公安机关处理，需要分析刑事案件与民事案件的审查对象是否为同一事实，拉萨市公安局系对王仁繁、林薇涉嫌串通投标、职务侵占立案侦查；本案威思拓公司提起诉讼系认为王仁繁作为威思拓公司高级管理人员，违反高级管理人员竞业禁止义务，进行关联交易和利益输送。二者所涉民事法律关系与刑事法律关系并不相同。本案不构成应移送公安机关处理的情形。</w:t>
      </w:r>
    </w:p>
    <w:p w:rsidR="00000000" w:rsidRDefault="00ED71DE">
      <w:pPr>
        <w:spacing w:line="500" w:lineRule="atLeast"/>
        <w:ind w:firstLine="600"/>
        <w:divId w:val="1967150741"/>
        <w:rPr>
          <w:rFonts w:hint="eastAsia"/>
          <w:sz w:val="30"/>
          <w:szCs w:val="30"/>
        </w:rPr>
      </w:pPr>
      <w:r>
        <w:rPr>
          <w:rFonts w:hint="eastAsia"/>
          <w:sz w:val="30"/>
          <w:szCs w:val="30"/>
        </w:rPr>
        <w:t>综上所述，威思拓公司的上诉请求不能成立，应予驳回；一审判决认定事实清楚，适用法律正确，应予维持。依照《中华人民共和国民事诉讼法》第一百七十条第一款第一项规定，判决如下：</w:t>
      </w:r>
    </w:p>
    <w:p w:rsidR="00000000" w:rsidRDefault="00ED71DE">
      <w:pPr>
        <w:spacing w:line="500" w:lineRule="atLeast"/>
        <w:ind w:firstLine="600"/>
        <w:divId w:val="798914011"/>
        <w:rPr>
          <w:rFonts w:hint="eastAsia"/>
          <w:sz w:val="30"/>
          <w:szCs w:val="30"/>
        </w:rPr>
      </w:pPr>
      <w:r>
        <w:rPr>
          <w:rFonts w:hint="eastAsia"/>
          <w:sz w:val="30"/>
          <w:szCs w:val="30"/>
        </w:rPr>
        <w:t>驳回上诉，维持原判。</w:t>
      </w:r>
    </w:p>
    <w:p w:rsidR="00000000" w:rsidRDefault="00ED71DE">
      <w:pPr>
        <w:spacing w:line="500" w:lineRule="atLeast"/>
        <w:ind w:firstLine="600"/>
        <w:divId w:val="273054141"/>
        <w:rPr>
          <w:rFonts w:hint="eastAsia"/>
          <w:sz w:val="30"/>
          <w:szCs w:val="30"/>
        </w:rPr>
      </w:pPr>
      <w:r>
        <w:rPr>
          <w:rFonts w:hint="eastAsia"/>
          <w:sz w:val="30"/>
          <w:szCs w:val="30"/>
        </w:rPr>
        <w:t>二审案件受理费</w:t>
      </w:r>
      <w:r>
        <w:rPr>
          <w:rFonts w:hint="eastAsia"/>
          <w:sz w:val="30"/>
          <w:szCs w:val="30"/>
        </w:rPr>
        <w:t>26578</w:t>
      </w:r>
      <w:r>
        <w:rPr>
          <w:rFonts w:hint="eastAsia"/>
          <w:sz w:val="30"/>
          <w:szCs w:val="30"/>
        </w:rPr>
        <w:t>元，由成都威思拓科技有限公司负担。</w:t>
      </w:r>
    </w:p>
    <w:p w:rsidR="00000000" w:rsidRDefault="00ED71DE">
      <w:pPr>
        <w:spacing w:line="500" w:lineRule="atLeast"/>
        <w:ind w:firstLine="600"/>
        <w:divId w:val="2044868095"/>
        <w:rPr>
          <w:rFonts w:hint="eastAsia"/>
          <w:sz w:val="30"/>
          <w:szCs w:val="30"/>
        </w:rPr>
      </w:pPr>
      <w:r>
        <w:rPr>
          <w:rFonts w:hint="eastAsia"/>
          <w:sz w:val="30"/>
          <w:szCs w:val="30"/>
        </w:rPr>
        <w:t>本判决为终审判决。</w:t>
      </w:r>
    </w:p>
    <w:p w:rsidR="00000000" w:rsidRDefault="00ED71DE">
      <w:pPr>
        <w:spacing w:line="500" w:lineRule="atLeast"/>
        <w:jc w:val="right"/>
        <w:divId w:val="410927642"/>
        <w:rPr>
          <w:rFonts w:hint="eastAsia"/>
          <w:sz w:val="30"/>
          <w:szCs w:val="30"/>
        </w:rPr>
      </w:pPr>
      <w:r>
        <w:rPr>
          <w:rFonts w:hint="eastAsia"/>
          <w:sz w:val="30"/>
          <w:szCs w:val="30"/>
        </w:rPr>
        <w:t>审判长　陈　兵</w:t>
      </w:r>
    </w:p>
    <w:p w:rsidR="00000000" w:rsidRDefault="00ED71DE">
      <w:pPr>
        <w:spacing w:line="500" w:lineRule="atLeast"/>
        <w:jc w:val="right"/>
        <w:divId w:val="27681344"/>
        <w:rPr>
          <w:rFonts w:hint="eastAsia"/>
          <w:sz w:val="30"/>
          <w:szCs w:val="30"/>
        </w:rPr>
      </w:pPr>
      <w:r>
        <w:rPr>
          <w:rFonts w:hint="eastAsia"/>
          <w:sz w:val="30"/>
          <w:szCs w:val="30"/>
        </w:rPr>
        <w:t>审判员　罗晓都</w:t>
      </w:r>
    </w:p>
    <w:p w:rsidR="00000000" w:rsidRDefault="00ED71DE">
      <w:pPr>
        <w:spacing w:line="500" w:lineRule="atLeast"/>
        <w:jc w:val="right"/>
        <w:divId w:val="1679230636"/>
        <w:rPr>
          <w:rFonts w:hint="eastAsia"/>
          <w:sz w:val="30"/>
          <w:szCs w:val="30"/>
        </w:rPr>
      </w:pPr>
      <w:r>
        <w:rPr>
          <w:rFonts w:hint="eastAsia"/>
          <w:sz w:val="30"/>
          <w:szCs w:val="30"/>
        </w:rPr>
        <w:t>审判员　陈　曦</w:t>
      </w:r>
    </w:p>
    <w:p w:rsidR="00000000" w:rsidRDefault="00ED71DE">
      <w:pPr>
        <w:spacing w:line="500" w:lineRule="atLeast"/>
        <w:jc w:val="right"/>
        <w:divId w:val="1873684881"/>
        <w:rPr>
          <w:rFonts w:hint="eastAsia"/>
          <w:sz w:val="30"/>
          <w:szCs w:val="30"/>
        </w:rPr>
      </w:pPr>
      <w:r>
        <w:rPr>
          <w:rFonts w:hint="eastAsia"/>
          <w:sz w:val="30"/>
          <w:szCs w:val="30"/>
        </w:rPr>
        <w:t>二〇二〇年九月十六日</w:t>
      </w:r>
    </w:p>
    <w:p w:rsidR="00000000" w:rsidRDefault="00ED71DE">
      <w:pPr>
        <w:spacing w:line="500" w:lineRule="atLeast"/>
        <w:jc w:val="right"/>
        <w:divId w:val="931428452"/>
        <w:rPr>
          <w:rFonts w:hint="eastAsia"/>
          <w:sz w:val="30"/>
          <w:szCs w:val="30"/>
        </w:rPr>
      </w:pPr>
      <w:r>
        <w:rPr>
          <w:rFonts w:hint="eastAsia"/>
          <w:sz w:val="30"/>
          <w:szCs w:val="30"/>
        </w:rPr>
        <w:t>书记员　陈　蕾</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1DE" w:rsidRDefault="00ED71DE" w:rsidP="00ED71DE">
      <w:r>
        <w:separator/>
      </w:r>
    </w:p>
  </w:endnote>
  <w:endnote w:type="continuationSeparator" w:id="0">
    <w:p w:rsidR="00ED71DE" w:rsidRDefault="00ED71DE" w:rsidP="00ED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1DE" w:rsidRDefault="00ED71DE" w:rsidP="00ED71DE">
      <w:r>
        <w:separator/>
      </w:r>
    </w:p>
  </w:footnote>
  <w:footnote w:type="continuationSeparator" w:id="0">
    <w:p w:rsidR="00ED71DE" w:rsidRDefault="00ED71DE" w:rsidP="00ED7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71DE"/>
    <w:rsid w:val="00ED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ED71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71DE"/>
    <w:rPr>
      <w:rFonts w:ascii="宋体" w:eastAsia="宋体" w:hAnsi="宋体" w:cs="宋体"/>
      <w:sz w:val="18"/>
      <w:szCs w:val="18"/>
    </w:rPr>
  </w:style>
  <w:style w:type="paragraph" w:styleId="a6">
    <w:name w:val="footer"/>
    <w:basedOn w:val="a"/>
    <w:link w:val="a7"/>
    <w:uiPriority w:val="99"/>
    <w:unhideWhenUsed/>
    <w:rsid w:val="00ED71DE"/>
    <w:pPr>
      <w:tabs>
        <w:tab w:val="center" w:pos="4153"/>
        <w:tab w:val="right" w:pos="8306"/>
      </w:tabs>
      <w:snapToGrid w:val="0"/>
    </w:pPr>
    <w:rPr>
      <w:sz w:val="18"/>
      <w:szCs w:val="18"/>
    </w:rPr>
  </w:style>
  <w:style w:type="character" w:customStyle="1" w:styleId="a7">
    <w:name w:val="页脚 字符"/>
    <w:basedOn w:val="a0"/>
    <w:link w:val="a6"/>
    <w:uiPriority w:val="99"/>
    <w:rsid w:val="00ED71D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1344">
      <w:marLeft w:val="0"/>
      <w:marRight w:val="720"/>
      <w:marTop w:val="10"/>
      <w:marBottom w:val="10"/>
      <w:divBdr>
        <w:top w:val="none" w:sz="0" w:space="0" w:color="auto"/>
        <w:left w:val="none" w:sz="0" w:space="0" w:color="auto"/>
        <w:bottom w:val="none" w:sz="0" w:space="0" w:color="auto"/>
        <w:right w:val="none" w:sz="0" w:space="0" w:color="auto"/>
      </w:divBdr>
    </w:div>
    <w:div w:id="150878022">
      <w:marLeft w:val="0"/>
      <w:marRight w:val="0"/>
      <w:marTop w:val="10"/>
      <w:marBottom w:val="10"/>
      <w:divBdr>
        <w:top w:val="none" w:sz="0" w:space="0" w:color="auto"/>
        <w:left w:val="none" w:sz="0" w:space="0" w:color="auto"/>
        <w:bottom w:val="none" w:sz="0" w:space="0" w:color="auto"/>
        <w:right w:val="none" w:sz="0" w:space="0" w:color="auto"/>
      </w:divBdr>
    </w:div>
    <w:div w:id="221840569">
      <w:marLeft w:val="0"/>
      <w:marRight w:val="0"/>
      <w:marTop w:val="10"/>
      <w:marBottom w:val="10"/>
      <w:divBdr>
        <w:top w:val="none" w:sz="0" w:space="0" w:color="auto"/>
        <w:left w:val="none" w:sz="0" w:space="0" w:color="auto"/>
        <w:bottom w:val="none" w:sz="0" w:space="0" w:color="auto"/>
        <w:right w:val="none" w:sz="0" w:space="0" w:color="auto"/>
      </w:divBdr>
    </w:div>
    <w:div w:id="267009603">
      <w:marLeft w:val="0"/>
      <w:marRight w:val="0"/>
      <w:marTop w:val="10"/>
      <w:marBottom w:val="10"/>
      <w:divBdr>
        <w:top w:val="none" w:sz="0" w:space="0" w:color="auto"/>
        <w:left w:val="none" w:sz="0" w:space="0" w:color="auto"/>
        <w:bottom w:val="none" w:sz="0" w:space="0" w:color="auto"/>
        <w:right w:val="none" w:sz="0" w:space="0" w:color="auto"/>
      </w:divBdr>
    </w:div>
    <w:div w:id="273054141">
      <w:marLeft w:val="0"/>
      <w:marRight w:val="0"/>
      <w:marTop w:val="10"/>
      <w:marBottom w:val="10"/>
      <w:divBdr>
        <w:top w:val="none" w:sz="0" w:space="0" w:color="auto"/>
        <w:left w:val="none" w:sz="0" w:space="0" w:color="auto"/>
        <w:bottom w:val="none" w:sz="0" w:space="0" w:color="auto"/>
        <w:right w:val="none" w:sz="0" w:space="0" w:color="auto"/>
      </w:divBdr>
    </w:div>
    <w:div w:id="290013491">
      <w:marLeft w:val="0"/>
      <w:marRight w:val="0"/>
      <w:marTop w:val="10"/>
      <w:marBottom w:val="10"/>
      <w:divBdr>
        <w:top w:val="none" w:sz="0" w:space="0" w:color="auto"/>
        <w:left w:val="none" w:sz="0" w:space="0" w:color="auto"/>
        <w:bottom w:val="none" w:sz="0" w:space="0" w:color="auto"/>
        <w:right w:val="none" w:sz="0" w:space="0" w:color="auto"/>
      </w:divBdr>
    </w:div>
    <w:div w:id="410927642">
      <w:marLeft w:val="0"/>
      <w:marRight w:val="720"/>
      <w:marTop w:val="10"/>
      <w:marBottom w:val="10"/>
      <w:divBdr>
        <w:top w:val="none" w:sz="0" w:space="0" w:color="auto"/>
        <w:left w:val="none" w:sz="0" w:space="0" w:color="auto"/>
        <w:bottom w:val="none" w:sz="0" w:space="0" w:color="auto"/>
        <w:right w:val="none" w:sz="0" w:space="0" w:color="auto"/>
      </w:divBdr>
    </w:div>
    <w:div w:id="419985286">
      <w:marLeft w:val="0"/>
      <w:marRight w:val="0"/>
      <w:marTop w:val="10"/>
      <w:marBottom w:val="10"/>
      <w:divBdr>
        <w:top w:val="none" w:sz="0" w:space="0" w:color="auto"/>
        <w:left w:val="none" w:sz="0" w:space="0" w:color="auto"/>
        <w:bottom w:val="none" w:sz="0" w:space="0" w:color="auto"/>
        <w:right w:val="none" w:sz="0" w:space="0" w:color="auto"/>
      </w:divBdr>
    </w:div>
    <w:div w:id="433743321">
      <w:marLeft w:val="0"/>
      <w:marRight w:val="0"/>
      <w:marTop w:val="10"/>
      <w:marBottom w:val="10"/>
      <w:divBdr>
        <w:top w:val="none" w:sz="0" w:space="0" w:color="auto"/>
        <w:left w:val="none" w:sz="0" w:space="0" w:color="auto"/>
        <w:bottom w:val="none" w:sz="0" w:space="0" w:color="auto"/>
        <w:right w:val="none" w:sz="0" w:space="0" w:color="auto"/>
      </w:divBdr>
    </w:div>
    <w:div w:id="442576743">
      <w:marLeft w:val="0"/>
      <w:marRight w:val="0"/>
      <w:marTop w:val="10"/>
      <w:marBottom w:val="10"/>
      <w:divBdr>
        <w:top w:val="none" w:sz="0" w:space="0" w:color="auto"/>
        <w:left w:val="none" w:sz="0" w:space="0" w:color="auto"/>
        <w:bottom w:val="none" w:sz="0" w:space="0" w:color="auto"/>
        <w:right w:val="none" w:sz="0" w:space="0" w:color="auto"/>
      </w:divBdr>
    </w:div>
    <w:div w:id="462503605">
      <w:marLeft w:val="0"/>
      <w:marRight w:val="0"/>
      <w:marTop w:val="10"/>
      <w:marBottom w:val="10"/>
      <w:divBdr>
        <w:top w:val="none" w:sz="0" w:space="0" w:color="auto"/>
        <w:left w:val="none" w:sz="0" w:space="0" w:color="auto"/>
        <w:bottom w:val="none" w:sz="0" w:space="0" w:color="auto"/>
        <w:right w:val="none" w:sz="0" w:space="0" w:color="auto"/>
      </w:divBdr>
    </w:div>
    <w:div w:id="615524439">
      <w:marLeft w:val="0"/>
      <w:marRight w:val="0"/>
      <w:marTop w:val="10"/>
      <w:marBottom w:val="10"/>
      <w:divBdr>
        <w:top w:val="none" w:sz="0" w:space="0" w:color="auto"/>
        <w:left w:val="none" w:sz="0" w:space="0" w:color="auto"/>
        <w:bottom w:val="none" w:sz="0" w:space="0" w:color="auto"/>
        <w:right w:val="none" w:sz="0" w:space="0" w:color="auto"/>
      </w:divBdr>
    </w:div>
    <w:div w:id="644511427">
      <w:marLeft w:val="0"/>
      <w:marRight w:val="0"/>
      <w:marTop w:val="10"/>
      <w:marBottom w:val="10"/>
      <w:divBdr>
        <w:top w:val="none" w:sz="0" w:space="0" w:color="auto"/>
        <w:left w:val="none" w:sz="0" w:space="0" w:color="auto"/>
        <w:bottom w:val="none" w:sz="0" w:space="0" w:color="auto"/>
        <w:right w:val="none" w:sz="0" w:space="0" w:color="auto"/>
      </w:divBdr>
    </w:div>
    <w:div w:id="679937574">
      <w:marLeft w:val="0"/>
      <w:marRight w:val="0"/>
      <w:marTop w:val="10"/>
      <w:marBottom w:val="10"/>
      <w:divBdr>
        <w:top w:val="none" w:sz="0" w:space="0" w:color="auto"/>
        <w:left w:val="none" w:sz="0" w:space="0" w:color="auto"/>
        <w:bottom w:val="none" w:sz="0" w:space="0" w:color="auto"/>
        <w:right w:val="none" w:sz="0" w:space="0" w:color="auto"/>
      </w:divBdr>
    </w:div>
    <w:div w:id="772362290">
      <w:marLeft w:val="0"/>
      <w:marRight w:val="0"/>
      <w:marTop w:val="10"/>
      <w:marBottom w:val="10"/>
      <w:divBdr>
        <w:top w:val="none" w:sz="0" w:space="0" w:color="auto"/>
        <w:left w:val="none" w:sz="0" w:space="0" w:color="auto"/>
        <w:bottom w:val="none" w:sz="0" w:space="0" w:color="auto"/>
        <w:right w:val="none" w:sz="0" w:space="0" w:color="auto"/>
      </w:divBdr>
    </w:div>
    <w:div w:id="798914011">
      <w:marLeft w:val="0"/>
      <w:marRight w:val="0"/>
      <w:marTop w:val="10"/>
      <w:marBottom w:val="10"/>
      <w:divBdr>
        <w:top w:val="none" w:sz="0" w:space="0" w:color="auto"/>
        <w:left w:val="none" w:sz="0" w:space="0" w:color="auto"/>
        <w:bottom w:val="none" w:sz="0" w:space="0" w:color="auto"/>
        <w:right w:val="none" w:sz="0" w:space="0" w:color="auto"/>
      </w:divBdr>
    </w:div>
    <w:div w:id="931428452">
      <w:marLeft w:val="0"/>
      <w:marRight w:val="720"/>
      <w:marTop w:val="10"/>
      <w:marBottom w:val="10"/>
      <w:divBdr>
        <w:top w:val="none" w:sz="0" w:space="0" w:color="auto"/>
        <w:left w:val="none" w:sz="0" w:space="0" w:color="auto"/>
        <w:bottom w:val="none" w:sz="0" w:space="0" w:color="auto"/>
        <w:right w:val="none" w:sz="0" w:space="0" w:color="auto"/>
      </w:divBdr>
    </w:div>
    <w:div w:id="964821646">
      <w:marLeft w:val="0"/>
      <w:marRight w:val="0"/>
      <w:marTop w:val="10"/>
      <w:marBottom w:val="10"/>
      <w:divBdr>
        <w:top w:val="none" w:sz="0" w:space="0" w:color="auto"/>
        <w:left w:val="none" w:sz="0" w:space="0" w:color="auto"/>
        <w:bottom w:val="none" w:sz="0" w:space="0" w:color="auto"/>
        <w:right w:val="none" w:sz="0" w:space="0" w:color="auto"/>
      </w:divBdr>
    </w:div>
    <w:div w:id="1043821494">
      <w:marLeft w:val="0"/>
      <w:marRight w:val="0"/>
      <w:marTop w:val="10"/>
      <w:marBottom w:val="10"/>
      <w:divBdr>
        <w:top w:val="none" w:sz="0" w:space="0" w:color="auto"/>
        <w:left w:val="none" w:sz="0" w:space="0" w:color="auto"/>
        <w:bottom w:val="none" w:sz="0" w:space="0" w:color="auto"/>
        <w:right w:val="none" w:sz="0" w:space="0" w:color="auto"/>
      </w:divBdr>
    </w:div>
    <w:div w:id="1055859254">
      <w:marLeft w:val="0"/>
      <w:marRight w:val="0"/>
      <w:marTop w:val="10"/>
      <w:marBottom w:val="10"/>
      <w:divBdr>
        <w:top w:val="none" w:sz="0" w:space="0" w:color="auto"/>
        <w:left w:val="none" w:sz="0" w:space="0" w:color="auto"/>
        <w:bottom w:val="none" w:sz="0" w:space="0" w:color="auto"/>
        <w:right w:val="none" w:sz="0" w:space="0" w:color="auto"/>
      </w:divBdr>
    </w:div>
    <w:div w:id="1130712045">
      <w:marLeft w:val="0"/>
      <w:marRight w:val="0"/>
      <w:marTop w:val="10"/>
      <w:marBottom w:val="10"/>
      <w:divBdr>
        <w:top w:val="none" w:sz="0" w:space="0" w:color="auto"/>
        <w:left w:val="none" w:sz="0" w:space="0" w:color="auto"/>
        <w:bottom w:val="none" w:sz="0" w:space="0" w:color="auto"/>
        <w:right w:val="none" w:sz="0" w:space="0" w:color="auto"/>
      </w:divBdr>
    </w:div>
    <w:div w:id="1167524600">
      <w:marLeft w:val="0"/>
      <w:marRight w:val="0"/>
      <w:marTop w:val="10"/>
      <w:marBottom w:val="10"/>
      <w:divBdr>
        <w:top w:val="none" w:sz="0" w:space="0" w:color="auto"/>
        <w:left w:val="none" w:sz="0" w:space="0" w:color="auto"/>
        <w:bottom w:val="none" w:sz="0" w:space="0" w:color="auto"/>
        <w:right w:val="none" w:sz="0" w:space="0" w:color="auto"/>
      </w:divBdr>
    </w:div>
    <w:div w:id="1178425101">
      <w:marLeft w:val="0"/>
      <w:marRight w:val="0"/>
      <w:marTop w:val="10"/>
      <w:marBottom w:val="10"/>
      <w:divBdr>
        <w:top w:val="none" w:sz="0" w:space="0" w:color="auto"/>
        <w:left w:val="none" w:sz="0" w:space="0" w:color="auto"/>
        <w:bottom w:val="none" w:sz="0" w:space="0" w:color="auto"/>
        <w:right w:val="none" w:sz="0" w:space="0" w:color="auto"/>
      </w:divBdr>
    </w:div>
    <w:div w:id="1248732208">
      <w:marLeft w:val="0"/>
      <w:marRight w:val="0"/>
      <w:marTop w:val="10"/>
      <w:marBottom w:val="10"/>
      <w:divBdr>
        <w:top w:val="none" w:sz="0" w:space="0" w:color="auto"/>
        <w:left w:val="none" w:sz="0" w:space="0" w:color="auto"/>
        <w:bottom w:val="none" w:sz="0" w:space="0" w:color="auto"/>
        <w:right w:val="none" w:sz="0" w:space="0" w:color="auto"/>
      </w:divBdr>
    </w:div>
    <w:div w:id="1424449953">
      <w:marLeft w:val="0"/>
      <w:marRight w:val="0"/>
      <w:marTop w:val="10"/>
      <w:marBottom w:val="10"/>
      <w:divBdr>
        <w:top w:val="none" w:sz="0" w:space="0" w:color="auto"/>
        <w:left w:val="none" w:sz="0" w:space="0" w:color="auto"/>
        <w:bottom w:val="none" w:sz="0" w:space="0" w:color="auto"/>
        <w:right w:val="none" w:sz="0" w:space="0" w:color="auto"/>
      </w:divBdr>
    </w:div>
    <w:div w:id="1532910615">
      <w:marLeft w:val="0"/>
      <w:marRight w:val="0"/>
      <w:marTop w:val="10"/>
      <w:marBottom w:val="10"/>
      <w:divBdr>
        <w:top w:val="none" w:sz="0" w:space="0" w:color="auto"/>
        <w:left w:val="none" w:sz="0" w:space="0" w:color="auto"/>
        <w:bottom w:val="none" w:sz="0" w:space="0" w:color="auto"/>
        <w:right w:val="none" w:sz="0" w:space="0" w:color="auto"/>
      </w:divBdr>
    </w:div>
    <w:div w:id="1596672334">
      <w:marLeft w:val="0"/>
      <w:marRight w:val="0"/>
      <w:marTop w:val="10"/>
      <w:marBottom w:val="10"/>
      <w:divBdr>
        <w:top w:val="none" w:sz="0" w:space="0" w:color="auto"/>
        <w:left w:val="none" w:sz="0" w:space="0" w:color="auto"/>
        <w:bottom w:val="none" w:sz="0" w:space="0" w:color="auto"/>
        <w:right w:val="none" w:sz="0" w:space="0" w:color="auto"/>
      </w:divBdr>
    </w:div>
    <w:div w:id="1670209533">
      <w:marLeft w:val="0"/>
      <w:marRight w:val="0"/>
      <w:marTop w:val="10"/>
      <w:marBottom w:val="10"/>
      <w:divBdr>
        <w:top w:val="none" w:sz="0" w:space="0" w:color="auto"/>
        <w:left w:val="none" w:sz="0" w:space="0" w:color="auto"/>
        <w:bottom w:val="none" w:sz="0" w:space="0" w:color="auto"/>
        <w:right w:val="none" w:sz="0" w:space="0" w:color="auto"/>
      </w:divBdr>
    </w:div>
    <w:div w:id="1679230636">
      <w:marLeft w:val="0"/>
      <w:marRight w:val="720"/>
      <w:marTop w:val="10"/>
      <w:marBottom w:val="10"/>
      <w:divBdr>
        <w:top w:val="none" w:sz="0" w:space="0" w:color="auto"/>
        <w:left w:val="none" w:sz="0" w:space="0" w:color="auto"/>
        <w:bottom w:val="none" w:sz="0" w:space="0" w:color="auto"/>
        <w:right w:val="none" w:sz="0" w:space="0" w:color="auto"/>
      </w:divBdr>
    </w:div>
    <w:div w:id="1714958394">
      <w:marLeft w:val="0"/>
      <w:marRight w:val="0"/>
      <w:marTop w:val="10"/>
      <w:marBottom w:val="10"/>
      <w:divBdr>
        <w:top w:val="none" w:sz="0" w:space="0" w:color="auto"/>
        <w:left w:val="none" w:sz="0" w:space="0" w:color="auto"/>
        <w:bottom w:val="none" w:sz="0" w:space="0" w:color="auto"/>
        <w:right w:val="none" w:sz="0" w:space="0" w:color="auto"/>
      </w:divBdr>
    </w:div>
    <w:div w:id="1759060926">
      <w:marLeft w:val="0"/>
      <w:marRight w:val="0"/>
      <w:marTop w:val="10"/>
      <w:marBottom w:val="10"/>
      <w:divBdr>
        <w:top w:val="none" w:sz="0" w:space="0" w:color="auto"/>
        <w:left w:val="none" w:sz="0" w:space="0" w:color="auto"/>
        <w:bottom w:val="none" w:sz="0" w:space="0" w:color="auto"/>
        <w:right w:val="none" w:sz="0" w:space="0" w:color="auto"/>
      </w:divBdr>
    </w:div>
    <w:div w:id="1809783994">
      <w:marLeft w:val="0"/>
      <w:marRight w:val="0"/>
      <w:marTop w:val="10"/>
      <w:marBottom w:val="10"/>
      <w:divBdr>
        <w:top w:val="none" w:sz="0" w:space="0" w:color="auto"/>
        <w:left w:val="none" w:sz="0" w:space="0" w:color="auto"/>
        <w:bottom w:val="none" w:sz="0" w:space="0" w:color="auto"/>
        <w:right w:val="none" w:sz="0" w:space="0" w:color="auto"/>
      </w:divBdr>
    </w:div>
    <w:div w:id="1873684881">
      <w:marLeft w:val="0"/>
      <w:marRight w:val="720"/>
      <w:marTop w:val="10"/>
      <w:marBottom w:val="10"/>
      <w:divBdr>
        <w:top w:val="none" w:sz="0" w:space="0" w:color="auto"/>
        <w:left w:val="none" w:sz="0" w:space="0" w:color="auto"/>
        <w:bottom w:val="none" w:sz="0" w:space="0" w:color="auto"/>
        <w:right w:val="none" w:sz="0" w:space="0" w:color="auto"/>
      </w:divBdr>
    </w:div>
    <w:div w:id="1967150741">
      <w:marLeft w:val="0"/>
      <w:marRight w:val="0"/>
      <w:marTop w:val="10"/>
      <w:marBottom w:val="10"/>
      <w:divBdr>
        <w:top w:val="none" w:sz="0" w:space="0" w:color="auto"/>
        <w:left w:val="none" w:sz="0" w:space="0" w:color="auto"/>
        <w:bottom w:val="none" w:sz="0" w:space="0" w:color="auto"/>
        <w:right w:val="none" w:sz="0" w:space="0" w:color="auto"/>
      </w:divBdr>
    </w:div>
    <w:div w:id="1994947088">
      <w:marLeft w:val="0"/>
      <w:marRight w:val="0"/>
      <w:marTop w:val="10"/>
      <w:marBottom w:val="10"/>
      <w:divBdr>
        <w:top w:val="none" w:sz="0" w:space="0" w:color="auto"/>
        <w:left w:val="none" w:sz="0" w:space="0" w:color="auto"/>
        <w:bottom w:val="none" w:sz="0" w:space="0" w:color="auto"/>
        <w:right w:val="none" w:sz="0" w:space="0" w:color="auto"/>
      </w:divBdr>
    </w:div>
    <w:div w:id="2044868095">
      <w:marLeft w:val="0"/>
      <w:marRight w:val="0"/>
      <w:marTop w:val="10"/>
      <w:marBottom w:val="10"/>
      <w:divBdr>
        <w:top w:val="none" w:sz="0" w:space="0" w:color="auto"/>
        <w:left w:val="none" w:sz="0" w:space="0" w:color="auto"/>
        <w:bottom w:val="none" w:sz="0" w:space="0" w:color="auto"/>
        <w:right w:val="none" w:sz="0" w:space="0" w:color="auto"/>
      </w:divBdr>
    </w:div>
    <w:div w:id="20885030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