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DE1" w:rsidRDefault="00222D16">
      <w:pPr>
        <w:spacing w:line="500" w:lineRule="atLeast"/>
        <w:jc w:val="center"/>
        <w:divId w:val="1497958612"/>
        <w:rPr>
          <w:rFonts w:ascii="黑体" w:eastAsia="黑体" w:hAnsi="黑体"/>
          <w:sz w:val="36"/>
          <w:szCs w:val="36"/>
        </w:rPr>
      </w:pPr>
      <w:bookmarkStart w:id="0" w:name="_GoBack"/>
      <w:bookmarkEnd w:id="0"/>
      <w:r>
        <w:rPr>
          <w:rFonts w:ascii="黑体" w:eastAsia="黑体" w:hAnsi="黑体" w:hint="eastAsia"/>
          <w:sz w:val="36"/>
          <w:szCs w:val="36"/>
        </w:rPr>
        <w:t>江西省赣州市中级人民法院</w:t>
      </w:r>
    </w:p>
    <w:p w:rsidR="00F03DE1" w:rsidRDefault="00222D16">
      <w:pPr>
        <w:spacing w:line="500" w:lineRule="atLeast"/>
        <w:jc w:val="center"/>
        <w:divId w:val="1034306794"/>
        <w:rPr>
          <w:rFonts w:ascii="黑体" w:eastAsia="黑体" w:hAnsi="黑体"/>
          <w:sz w:val="36"/>
          <w:szCs w:val="36"/>
        </w:rPr>
      </w:pPr>
      <w:r>
        <w:rPr>
          <w:rFonts w:ascii="黑体" w:eastAsia="黑体" w:hAnsi="黑体" w:hint="eastAsia"/>
          <w:sz w:val="36"/>
          <w:szCs w:val="36"/>
        </w:rPr>
        <w:t>民 事 判 决 书</w:t>
      </w:r>
    </w:p>
    <w:p w:rsidR="00F03DE1" w:rsidRDefault="00222D16">
      <w:pPr>
        <w:spacing w:line="500" w:lineRule="atLeast"/>
        <w:jc w:val="right"/>
        <w:divId w:val="1854492446"/>
        <w:rPr>
          <w:sz w:val="30"/>
          <w:szCs w:val="30"/>
        </w:rPr>
      </w:pPr>
      <w:r>
        <w:rPr>
          <w:rFonts w:hint="eastAsia"/>
          <w:sz w:val="30"/>
          <w:szCs w:val="30"/>
        </w:rPr>
        <w:t>（2017）赣07</w:t>
      </w:r>
      <w:proofErr w:type="gramStart"/>
      <w:r>
        <w:rPr>
          <w:rFonts w:hint="eastAsia"/>
          <w:sz w:val="30"/>
          <w:szCs w:val="30"/>
        </w:rPr>
        <w:t>民终1032号</w:t>
      </w:r>
      <w:proofErr w:type="gramEnd"/>
    </w:p>
    <w:p w:rsidR="00F03DE1" w:rsidRDefault="00222D16">
      <w:pPr>
        <w:spacing w:line="500" w:lineRule="atLeast"/>
        <w:ind w:firstLine="600"/>
        <w:divId w:val="1536382878"/>
        <w:rPr>
          <w:sz w:val="30"/>
          <w:szCs w:val="30"/>
        </w:rPr>
      </w:pPr>
      <w:r>
        <w:rPr>
          <w:rFonts w:hint="eastAsia"/>
          <w:sz w:val="30"/>
          <w:szCs w:val="30"/>
        </w:rPr>
        <w:t>上诉人(原审被告)：李向阳，男，1974年9月14日生，汉族，住信丰县。</w:t>
      </w:r>
    </w:p>
    <w:p w:rsidR="00F03DE1" w:rsidRDefault="00222D16">
      <w:pPr>
        <w:spacing w:line="500" w:lineRule="atLeast"/>
        <w:ind w:firstLine="600"/>
        <w:divId w:val="1841772587"/>
        <w:rPr>
          <w:sz w:val="30"/>
          <w:szCs w:val="30"/>
        </w:rPr>
      </w:pPr>
      <w:r>
        <w:rPr>
          <w:rFonts w:hint="eastAsia"/>
          <w:sz w:val="30"/>
          <w:szCs w:val="30"/>
        </w:rPr>
        <w:t>委托诉讼代理人：陈妙珠、吴</w:t>
      </w:r>
      <w:proofErr w:type="gramStart"/>
      <w:r>
        <w:rPr>
          <w:rFonts w:hint="eastAsia"/>
          <w:sz w:val="30"/>
          <w:szCs w:val="30"/>
        </w:rPr>
        <w:t>泷</w:t>
      </w:r>
      <w:proofErr w:type="gramEnd"/>
      <w:r>
        <w:rPr>
          <w:rFonts w:hint="eastAsia"/>
          <w:sz w:val="30"/>
          <w:szCs w:val="30"/>
        </w:rPr>
        <w:t>飞，广东法制盛邦（东莞）律师事务所律师，特别授权代理。</w:t>
      </w:r>
    </w:p>
    <w:p w:rsidR="00F03DE1" w:rsidRDefault="00222D16">
      <w:pPr>
        <w:spacing w:line="500" w:lineRule="atLeast"/>
        <w:ind w:firstLine="600"/>
        <w:divId w:val="1746607952"/>
        <w:rPr>
          <w:sz w:val="30"/>
          <w:szCs w:val="30"/>
        </w:rPr>
      </w:pPr>
      <w:r>
        <w:rPr>
          <w:rFonts w:hint="eastAsia"/>
          <w:sz w:val="30"/>
          <w:szCs w:val="30"/>
        </w:rPr>
        <w:t>被上诉人(原审原告)：信丰日日顺电器有限公司，住所地：信丰县嘉定镇</w:t>
      </w:r>
      <w:proofErr w:type="gramStart"/>
      <w:r>
        <w:rPr>
          <w:rFonts w:hint="eastAsia"/>
          <w:sz w:val="30"/>
          <w:szCs w:val="30"/>
        </w:rPr>
        <w:t>规</w:t>
      </w:r>
      <w:proofErr w:type="gramEnd"/>
      <w:r>
        <w:rPr>
          <w:rFonts w:hint="eastAsia"/>
          <w:sz w:val="30"/>
          <w:szCs w:val="30"/>
        </w:rPr>
        <w:t>九路。</w:t>
      </w:r>
    </w:p>
    <w:p w:rsidR="00F03DE1" w:rsidRDefault="00222D16">
      <w:pPr>
        <w:spacing w:line="500" w:lineRule="atLeast"/>
        <w:ind w:firstLine="600"/>
        <w:divId w:val="1067191777"/>
        <w:rPr>
          <w:sz w:val="30"/>
          <w:szCs w:val="30"/>
        </w:rPr>
      </w:pPr>
      <w:r>
        <w:rPr>
          <w:rFonts w:hint="eastAsia"/>
          <w:sz w:val="30"/>
          <w:szCs w:val="30"/>
        </w:rPr>
        <w:t>法定代表人：李雪燕，执行董事。</w:t>
      </w:r>
    </w:p>
    <w:p w:rsidR="00F03DE1" w:rsidRDefault="00222D16">
      <w:pPr>
        <w:spacing w:line="500" w:lineRule="atLeast"/>
        <w:ind w:firstLine="600"/>
        <w:divId w:val="181212380"/>
        <w:rPr>
          <w:sz w:val="30"/>
          <w:szCs w:val="30"/>
        </w:rPr>
      </w:pPr>
      <w:r>
        <w:rPr>
          <w:rFonts w:hint="eastAsia"/>
          <w:sz w:val="30"/>
          <w:szCs w:val="30"/>
        </w:rPr>
        <w:t>委托诉讼代理人：黄勇，江西冠城律师事务所律师，特别授权代理。</w:t>
      </w:r>
    </w:p>
    <w:p w:rsidR="00F03DE1" w:rsidRDefault="00222D16">
      <w:pPr>
        <w:spacing w:line="500" w:lineRule="atLeast"/>
        <w:ind w:firstLine="600"/>
        <w:divId w:val="1060055716"/>
        <w:rPr>
          <w:sz w:val="30"/>
          <w:szCs w:val="30"/>
        </w:rPr>
      </w:pPr>
      <w:r>
        <w:rPr>
          <w:rFonts w:hint="eastAsia"/>
          <w:sz w:val="30"/>
          <w:szCs w:val="30"/>
        </w:rPr>
        <w:t>原审被告：信丰多格达电器有限公司，住所地：信丰县嘉定镇</w:t>
      </w:r>
      <w:proofErr w:type="gramStart"/>
      <w:r>
        <w:rPr>
          <w:rFonts w:hint="eastAsia"/>
          <w:sz w:val="30"/>
          <w:szCs w:val="30"/>
        </w:rPr>
        <w:t>规</w:t>
      </w:r>
      <w:proofErr w:type="gramEnd"/>
      <w:r>
        <w:rPr>
          <w:rFonts w:hint="eastAsia"/>
          <w:sz w:val="30"/>
          <w:szCs w:val="30"/>
        </w:rPr>
        <w:t>九路。</w:t>
      </w:r>
    </w:p>
    <w:p w:rsidR="00F03DE1" w:rsidRDefault="00222D16">
      <w:pPr>
        <w:spacing w:line="500" w:lineRule="atLeast"/>
        <w:ind w:firstLine="600"/>
        <w:divId w:val="1674912947"/>
        <w:rPr>
          <w:sz w:val="30"/>
          <w:szCs w:val="30"/>
        </w:rPr>
      </w:pPr>
      <w:r>
        <w:rPr>
          <w:rFonts w:hint="eastAsia"/>
          <w:sz w:val="30"/>
          <w:szCs w:val="30"/>
        </w:rPr>
        <w:t>法定代表人：李香英，执行董事。</w:t>
      </w:r>
    </w:p>
    <w:p w:rsidR="00F03DE1" w:rsidRDefault="00222D16">
      <w:pPr>
        <w:spacing w:line="500" w:lineRule="atLeast"/>
        <w:ind w:firstLine="600"/>
        <w:divId w:val="167910156"/>
        <w:rPr>
          <w:sz w:val="30"/>
          <w:szCs w:val="30"/>
        </w:rPr>
      </w:pPr>
      <w:r>
        <w:rPr>
          <w:rFonts w:hint="eastAsia"/>
          <w:sz w:val="30"/>
          <w:szCs w:val="30"/>
        </w:rPr>
        <w:t>委托诉讼代理人：陈妙珠、吴</w:t>
      </w:r>
      <w:proofErr w:type="gramStart"/>
      <w:r>
        <w:rPr>
          <w:rFonts w:hint="eastAsia"/>
          <w:sz w:val="30"/>
          <w:szCs w:val="30"/>
        </w:rPr>
        <w:t>泷</w:t>
      </w:r>
      <w:proofErr w:type="gramEnd"/>
      <w:r>
        <w:rPr>
          <w:rFonts w:hint="eastAsia"/>
          <w:sz w:val="30"/>
          <w:szCs w:val="30"/>
        </w:rPr>
        <w:t>飞，广东法制盛邦（东莞）律师事务所律师，特别授权代理。</w:t>
      </w:r>
    </w:p>
    <w:p w:rsidR="00F03DE1" w:rsidRDefault="00222D16">
      <w:pPr>
        <w:spacing w:line="500" w:lineRule="atLeast"/>
        <w:ind w:firstLine="600"/>
        <w:divId w:val="794058418"/>
        <w:rPr>
          <w:sz w:val="30"/>
          <w:szCs w:val="30"/>
        </w:rPr>
      </w:pPr>
      <w:r>
        <w:rPr>
          <w:rFonts w:hint="eastAsia"/>
          <w:sz w:val="30"/>
          <w:szCs w:val="30"/>
        </w:rPr>
        <w:t>上诉人李向阳因与被上诉人信丰日日顺电器有限公司（以下简称“日日顺公司”）、原审被告信丰多格达电器有限公司（以下简称“多格达公司”）损害公司利益纠纷一案，不服江西省信丰县人民法院（2014）信民二初字第115号民事判决，向本院提起上诉。本院于2017年5月3日立案后依法组成合议庭进行了审理。本案现已审理终结。</w:t>
      </w:r>
    </w:p>
    <w:p w:rsidR="00F03DE1" w:rsidRDefault="00222D16">
      <w:pPr>
        <w:spacing w:line="500" w:lineRule="atLeast"/>
        <w:ind w:firstLine="600"/>
        <w:divId w:val="1948000727"/>
        <w:rPr>
          <w:sz w:val="30"/>
          <w:szCs w:val="30"/>
        </w:rPr>
      </w:pPr>
      <w:r>
        <w:rPr>
          <w:rFonts w:hint="eastAsia"/>
          <w:sz w:val="30"/>
          <w:szCs w:val="30"/>
        </w:rPr>
        <w:t>李向阳的上诉请求：请求二审撤销原判，并由日日顺公司承担诉讼费用。事实和理由：1.日日顺公司实际于2013年已停止经营，李向阳是在日日顺公司停止经营后才设立多格达公司，并得到海尔集团下属公司授权后才开展经营义务，一审法</w:t>
      </w:r>
      <w:r>
        <w:rPr>
          <w:rFonts w:hint="eastAsia"/>
          <w:sz w:val="30"/>
          <w:szCs w:val="30"/>
        </w:rPr>
        <w:lastRenderedPageBreak/>
        <w:t>院认定李向阳存在竞业禁止行为属于事实认定错误。2.一审法院单纯的认定公司经营收入等同于公司股东的个人收入属于事实认定错误。</w:t>
      </w:r>
    </w:p>
    <w:p w:rsidR="00F03DE1" w:rsidRDefault="00222D16">
      <w:pPr>
        <w:spacing w:line="500" w:lineRule="atLeast"/>
        <w:ind w:firstLine="600"/>
        <w:divId w:val="1487090883"/>
        <w:rPr>
          <w:sz w:val="30"/>
          <w:szCs w:val="30"/>
        </w:rPr>
      </w:pPr>
      <w:r>
        <w:rPr>
          <w:rFonts w:hint="eastAsia"/>
          <w:sz w:val="30"/>
          <w:szCs w:val="30"/>
        </w:rPr>
        <w:t>日日顺公司辩称：1.李向阳违背勤勉忠实义务，从事竞业经营，事实清楚，证据确实充分。2.竞业经营收入既包括个人收入，也包括个人股份收益等通过竞业经营获得的直接收入、财产或者权益的增加。3.原审认定多格达公司竞业经营期间的利润数额合理。综上，请求二审维持原判。</w:t>
      </w:r>
    </w:p>
    <w:p w:rsidR="00F03DE1" w:rsidRDefault="00222D16">
      <w:pPr>
        <w:spacing w:line="500" w:lineRule="atLeast"/>
        <w:ind w:firstLine="600"/>
        <w:divId w:val="1011764386"/>
        <w:rPr>
          <w:sz w:val="30"/>
          <w:szCs w:val="30"/>
        </w:rPr>
      </w:pPr>
      <w:r>
        <w:rPr>
          <w:rFonts w:hint="eastAsia"/>
          <w:sz w:val="30"/>
          <w:szCs w:val="30"/>
        </w:rPr>
        <w:t>多格达公司同意李向阳的上诉意见。</w:t>
      </w:r>
    </w:p>
    <w:p w:rsidR="00F03DE1" w:rsidRDefault="00222D16">
      <w:pPr>
        <w:spacing w:line="500" w:lineRule="atLeast"/>
        <w:ind w:firstLine="600"/>
        <w:divId w:val="346104564"/>
        <w:rPr>
          <w:sz w:val="30"/>
          <w:szCs w:val="30"/>
        </w:rPr>
      </w:pPr>
      <w:r>
        <w:rPr>
          <w:rFonts w:hint="eastAsia"/>
          <w:sz w:val="30"/>
          <w:szCs w:val="30"/>
        </w:rPr>
        <w:t>日日顺公司向一审法院起诉请求：1.判令被告立即停止竞业禁止；2.判令李向阳</w:t>
      </w:r>
      <w:proofErr w:type="gramStart"/>
      <w:r>
        <w:rPr>
          <w:rFonts w:hint="eastAsia"/>
          <w:sz w:val="30"/>
          <w:szCs w:val="30"/>
        </w:rPr>
        <w:t>立即将竞业</w:t>
      </w:r>
      <w:proofErr w:type="gramEnd"/>
      <w:r>
        <w:rPr>
          <w:rFonts w:hint="eastAsia"/>
          <w:sz w:val="30"/>
          <w:szCs w:val="30"/>
        </w:rPr>
        <w:t>禁止收入支付给日日顺公司（至</w:t>
      </w:r>
      <w:proofErr w:type="gramStart"/>
      <w:r>
        <w:rPr>
          <w:rFonts w:hint="eastAsia"/>
          <w:sz w:val="30"/>
          <w:szCs w:val="30"/>
        </w:rPr>
        <w:t>作</w:t>
      </w:r>
      <w:proofErr w:type="gramEnd"/>
      <w:r>
        <w:rPr>
          <w:rFonts w:hint="eastAsia"/>
          <w:sz w:val="30"/>
          <w:szCs w:val="30"/>
        </w:rPr>
        <w:t>出判决期间的月份），并赔偿原告的经济损失15万元；3.判令被告承担本案的全部诉讼费用。</w:t>
      </w:r>
    </w:p>
    <w:p w:rsidR="00F03DE1" w:rsidRDefault="00222D16">
      <w:pPr>
        <w:spacing w:line="500" w:lineRule="atLeast"/>
        <w:ind w:firstLine="600"/>
        <w:divId w:val="2036227231"/>
        <w:rPr>
          <w:sz w:val="30"/>
          <w:szCs w:val="30"/>
        </w:rPr>
      </w:pPr>
      <w:r>
        <w:rPr>
          <w:rFonts w:hint="eastAsia"/>
          <w:sz w:val="30"/>
          <w:szCs w:val="30"/>
        </w:rPr>
        <w:t>一审法院认定：2011年6月24日，李向阳投资12万元，李</w:t>
      </w:r>
      <w:proofErr w:type="gramStart"/>
      <w:r>
        <w:rPr>
          <w:rFonts w:hint="eastAsia"/>
          <w:sz w:val="30"/>
          <w:szCs w:val="30"/>
        </w:rPr>
        <w:t>雪燕投资</w:t>
      </w:r>
      <w:proofErr w:type="gramEnd"/>
      <w:r>
        <w:rPr>
          <w:rFonts w:hint="eastAsia"/>
          <w:sz w:val="30"/>
          <w:szCs w:val="30"/>
        </w:rPr>
        <w:t>18万元，设立了日日顺公司。公司经营范围：主营家用电器零售、批发、再生资源回收、家用电器售后服务。经营期限：2011.6.24——2041.6.23。股东会议决议：股东李雪燕为公司执行董事行使法定代表人职责，李向阳为公司经理。聘用</w:t>
      </w:r>
      <w:proofErr w:type="gramStart"/>
      <w:r>
        <w:rPr>
          <w:rFonts w:hint="eastAsia"/>
          <w:sz w:val="30"/>
          <w:szCs w:val="30"/>
        </w:rPr>
        <w:t>罗照辉</w:t>
      </w:r>
      <w:proofErr w:type="gramEnd"/>
      <w:r>
        <w:rPr>
          <w:rFonts w:hint="eastAsia"/>
          <w:sz w:val="30"/>
          <w:szCs w:val="30"/>
        </w:rPr>
        <w:t>担任公司监事。取得统帅品牌的授权经营。该公司经营后，由李向阳及黄巧燕（夫妻关系）主持该店日常事务，聘用陈怡云担任公司做报税账目会计，李向阳把该店实际经营状况报表报送另一股东李雪燕，至2013年上本年期间，股东内部产生纠纷。2014年3月，日日顺公司开始零申报税账。</w:t>
      </w:r>
    </w:p>
    <w:p w:rsidR="00F03DE1" w:rsidRDefault="00222D16">
      <w:pPr>
        <w:spacing w:line="500" w:lineRule="atLeast"/>
        <w:ind w:firstLine="600"/>
        <w:divId w:val="1478257976"/>
        <w:rPr>
          <w:sz w:val="30"/>
          <w:szCs w:val="30"/>
        </w:rPr>
      </w:pPr>
      <w:r>
        <w:rPr>
          <w:rFonts w:hint="eastAsia"/>
          <w:sz w:val="30"/>
          <w:szCs w:val="30"/>
        </w:rPr>
        <w:t>2013年5月8日，李向阳私自与案外人李香英各投资15万元，在日日顺公司的相同地址处所设立了多格达公司。公司经营范围：家用电器批发、零售及维修服务、旧家电回收、家用电器售后服务；经营期限：2013.5.8——2063.5.7；股东会</w:t>
      </w:r>
      <w:r>
        <w:rPr>
          <w:rFonts w:hint="eastAsia"/>
          <w:sz w:val="30"/>
          <w:szCs w:val="30"/>
        </w:rPr>
        <w:lastRenderedPageBreak/>
        <w:t>决议：股东李香英为公司执行董事行使法定代表人职责，李向阳为公司经理。聘用黄巧燕担任公司监事。聘用陈怡云担任公司做报税账目会计，2013年5月23日取得统帅品牌的授权经营。由李向阳夫妇日常经营该公司，形成“两个公司，一套人马”的经营状况。日日顺公司发现后，双方进行协商不成，导致本诉。</w:t>
      </w:r>
    </w:p>
    <w:p w:rsidR="00F03DE1" w:rsidRDefault="00222D16">
      <w:pPr>
        <w:spacing w:line="500" w:lineRule="atLeast"/>
        <w:ind w:firstLine="600"/>
        <w:divId w:val="539393300"/>
        <w:rPr>
          <w:sz w:val="30"/>
          <w:szCs w:val="30"/>
        </w:rPr>
      </w:pPr>
      <w:r>
        <w:rPr>
          <w:rFonts w:hint="eastAsia"/>
          <w:sz w:val="30"/>
          <w:szCs w:val="30"/>
        </w:rPr>
        <w:t>诉讼中双方申请司法会计鉴定，经赣州中诚会计事务所鉴定，出具中诚鉴定字（2015）05号司法技术鉴定书，结论为：多格达公司2013年7月至2014年4月经营利润为135874.61元。双方对该鉴定结论提出了异议。日日顺公司认为对被告在保全后提交的增值税票</w:t>
      </w:r>
      <w:proofErr w:type="gramStart"/>
      <w:r>
        <w:rPr>
          <w:rFonts w:hint="eastAsia"/>
          <w:sz w:val="30"/>
          <w:szCs w:val="30"/>
        </w:rPr>
        <w:t>据金额</w:t>
      </w:r>
      <w:proofErr w:type="gramEnd"/>
      <w:r>
        <w:rPr>
          <w:rFonts w:hint="eastAsia"/>
          <w:sz w:val="30"/>
          <w:szCs w:val="30"/>
        </w:rPr>
        <w:t>515702.14元及人工工资31010元不应计入经营成本，因被告事后提交的，未经法庭质证；被告认为房租、仓储租金，人工工资应列入经营成本。该鉴定结论未全部列入，导致鉴定有偏差。因公司经营收入与股东的收入不能混同，故该鉴定结论与本案不具有关联。一审法院认为，该鉴定结论的依据材料，来自一审法院对多格达公司李向阳夫妇提取的，且提供人李向阳明确向一审法院表示，提供的资料齐全，业经一审法院在双方当事人在场的情况下提取封存的。一审法院移送鉴定后，李向阳向一审法院补交人工工资、增值税票据、房屋仓储租金，一审法院组织双方质证，日日顺公司提出了异议，认为不符合证据的形式要件及事后补交。但赣州中诚会计事务所确认了增值税票</w:t>
      </w:r>
      <w:proofErr w:type="gramStart"/>
      <w:r>
        <w:rPr>
          <w:rFonts w:hint="eastAsia"/>
          <w:sz w:val="30"/>
          <w:szCs w:val="30"/>
        </w:rPr>
        <w:t>据金额</w:t>
      </w:r>
      <w:proofErr w:type="gramEnd"/>
      <w:r>
        <w:rPr>
          <w:rFonts w:hint="eastAsia"/>
          <w:sz w:val="30"/>
          <w:szCs w:val="30"/>
        </w:rPr>
        <w:t>及工资31010元，应属合法合理的认定，一审法院予以采信。被告提供的房屋及工人工资发放凭证为白条和收据（其中8张收据虽时间跨度近两年、但却多为连号收据），原告质证认为证据形式违法、对其真实性不予确认，故一审法院不予采信。因此，该鉴定结论</w:t>
      </w:r>
      <w:r>
        <w:rPr>
          <w:rFonts w:hint="eastAsia"/>
          <w:sz w:val="30"/>
          <w:szCs w:val="30"/>
        </w:rPr>
        <w:lastRenderedPageBreak/>
        <w:t>具有客观、科学性，且与本案具有关联性，一审法院予以采信。</w:t>
      </w:r>
    </w:p>
    <w:p w:rsidR="00F03DE1" w:rsidRDefault="00222D16">
      <w:pPr>
        <w:spacing w:line="500" w:lineRule="atLeast"/>
        <w:ind w:firstLine="600"/>
        <w:divId w:val="398332169"/>
        <w:rPr>
          <w:sz w:val="30"/>
          <w:szCs w:val="30"/>
        </w:rPr>
      </w:pPr>
      <w:r>
        <w:rPr>
          <w:rFonts w:hint="eastAsia"/>
          <w:sz w:val="30"/>
          <w:szCs w:val="30"/>
        </w:rPr>
        <w:t>一审法院认为：该案争议焦点为：一、李向阳是否存在违反公司高管竞业禁止法定义务的行为？二、多格达公司的经营收入与李向阳的收入如何认定？针对争议焦点</w:t>
      </w:r>
      <w:proofErr w:type="gramStart"/>
      <w:r>
        <w:rPr>
          <w:rFonts w:hint="eastAsia"/>
          <w:sz w:val="30"/>
          <w:szCs w:val="30"/>
        </w:rPr>
        <w:t>一</w:t>
      </w:r>
      <w:proofErr w:type="gramEnd"/>
      <w:r>
        <w:rPr>
          <w:rFonts w:hint="eastAsia"/>
          <w:sz w:val="30"/>
          <w:szCs w:val="30"/>
        </w:rPr>
        <w:t>，一审法院认为：李向阳与他人私自在2013年5月设立多格达公司至今，李向阳仍为日日顺公司经理，系公司高管，且在同一住所经营与日日顺公司经营范围相同的多格达公司，且其状态一直持续；多格达公司于2013年5月取得统帅品牌的授权，取代日日顺公司成为该品牌在信丰的唯一经销商时，也是由李向阳代表多格达公司签订协议，这实质上是李向阳利用其日日顺公司高管的优势侵害了日日顺公司的合法利益，应认定自2013年5月起李向阳作为日日顺公司高管违反了其所</w:t>
      </w:r>
      <w:proofErr w:type="gramStart"/>
      <w:r>
        <w:rPr>
          <w:rFonts w:hint="eastAsia"/>
          <w:sz w:val="30"/>
          <w:szCs w:val="30"/>
        </w:rPr>
        <w:t>应承担竞业</w:t>
      </w:r>
      <w:proofErr w:type="gramEnd"/>
      <w:r>
        <w:rPr>
          <w:rFonts w:hint="eastAsia"/>
          <w:sz w:val="30"/>
          <w:szCs w:val="30"/>
        </w:rPr>
        <w:t>禁止的法定忠实义务，故对日日顺公司请求确认李向阳作为公司高管违反竞业禁止的规定的主张，一审法院予以支持，故日日顺公司主张李向阳立即停止违反竞业禁止义务侵权行为诉讼请求，一审法院予以支持；多格达公司不属于违反法定竞业禁止义务的主体范畴，其不应承担相应的责任；日日顺公司主张李向阳与多格达公司</w:t>
      </w:r>
      <w:proofErr w:type="gramStart"/>
      <w:r>
        <w:rPr>
          <w:rFonts w:hint="eastAsia"/>
          <w:sz w:val="30"/>
          <w:szCs w:val="30"/>
        </w:rPr>
        <w:t>属共同</w:t>
      </w:r>
      <w:proofErr w:type="gramEnd"/>
      <w:r>
        <w:rPr>
          <w:rFonts w:hint="eastAsia"/>
          <w:sz w:val="30"/>
          <w:szCs w:val="30"/>
        </w:rPr>
        <w:t>侵权行为不能成立，故其主张多格达公司负连带清偿责任的诉讼请求，一审法院不予支持。</w:t>
      </w:r>
    </w:p>
    <w:p w:rsidR="00F03DE1" w:rsidRDefault="00222D16">
      <w:pPr>
        <w:spacing w:line="500" w:lineRule="atLeast"/>
        <w:ind w:firstLine="600"/>
        <w:divId w:val="385564870"/>
        <w:rPr>
          <w:sz w:val="30"/>
          <w:szCs w:val="30"/>
        </w:rPr>
      </w:pPr>
      <w:r>
        <w:rPr>
          <w:rFonts w:hint="eastAsia"/>
          <w:sz w:val="30"/>
          <w:szCs w:val="30"/>
        </w:rPr>
        <w:t>针对争议焦点二，根据公司法规定，高管违反公司忠实义务，其所得收入应当归公司所有。李向阳作为日日顺公司高管违反了所</w:t>
      </w:r>
      <w:proofErr w:type="gramStart"/>
      <w:r>
        <w:rPr>
          <w:rFonts w:hint="eastAsia"/>
          <w:sz w:val="30"/>
          <w:szCs w:val="30"/>
        </w:rPr>
        <w:t>应承担竞业</w:t>
      </w:r>
      <w:proofErr w:type="gramEnd"/>
      <w:r>
        <w:rPr>
          <w:rFonts w:hint="eastAsia"/>
          <w:sz w:val="30"/>
          <w:szCs w:val="30"/>
        </w:rPr>
        <w:t>禁止的法定忠实义务，在李向阳竞业禁止期间，李向阳所得收入（含在多格达公司的股权收益）,应归日日顺公司所有。被告主张会计鉴定中的多格达公司利润属于公司，不能与李向阳所得收入混同，其主张是针对公司财产与股东财产的区分，但不可否认股东对其股权享有的收益权利。即</w:t>
      </w:r>
      <w:r>
        <w:rPr>
          <w:rFonts w:hint="eastAsia"/>
          <w:sz w:val="30"/>
          <w:szCs w:val="30"/>
        </w:rPr>
        <w:lastRenderedPageBreak/>
        <w:t>李向阳占多格达公司50%的股权，对公司所得利润具有50%的分配收益。此权益在李向阳竞业期间所得，日日顺公司行使归入权。</w:t>
      </w:r>
    </w:p>
    <w:p w:rsidR="00F03DE1" w:rsidRDefault="00222D16">
      <w:pPr>
        <w:spacing w:line="500" w:lineRule="atLeast"/>
        <w:ind w:firstLine="600"/>
        <w:divId w:val="421685121"/>
        <w:rPr>
          <w:sz w:val="30"/>
          <w:szCs w:val="30"/>
        </w:rPr>
      </w:pPr>
      <w:r>
        <w:rPr>
          <w:rFonts w:hint="eastAsia"/>
          <w:sz w:val="30"/>
          <w:szCs w:val="30"/>
        </w:rPr>
        <w:t>综上，多格达公司自2013年7月起至2014年4月获得了李向阳违反公司高管竞业禁止经营利润金额为135874.61元。日日顺公司提出，因被告违反公司高管竞业禁止经营行为一直持续至今，被告方又未举证证明2014年5月起至今没有经营利润，为减少诉累，应依照鉴定确认的月利润（13587.46元|月）计算、统计出总利润至</w:t>
      </w:r>
      <w:proofErr w:type="gramStart"/>
      <w:r>
        <w:rPr>
          <w:rFonts w:hint="eastAsia"/>
          <w:sz w:val="30"/>
          <w:szCs w:val="30"/>
        </w:rPr>
        <w:t>作出</w:t>
      </w:r>
      <w:proofErr w:type="gramEnd"/>
      <w:r>
        <w:rPr>
          <w:rFonts w:hint="eastAsia"/>
          <w:sz w:val="30"/>
          <w:szCs w:val="30"/>
        </w:rPr>
        <w:t>判决期间的月份。为减少当事人诉累，一审法院采纳原告建议。故参照中诚鉴定字（2015）05号司法鉴定书中认定的月均收入，计算被告2013年5月起至</w:t>
      </w:r>
      <w:proofErr w:type="gramStart"/>
      <w:r>
        <w:rPr>
          <w:rFonts w:hint="eastAsia"/>
          <w:sz w:val="30"/>
          <w:szCs w:val="30"/>
        </w:rPr>
        <w:t>作出</w:t>
      </w:r>
      <w:proofErr w:type="gramEnd"/>
      <w:r>
        <w:rPr>
          <w:rFonts w:hint="eastAsia"/>
          <w:sz w:val="30"/>
          <w:szCs w:val="30"/>
        </w:rPr>
        <w:t>判决期间所得收入。由此推定2013年5月至2016年5月止共37个月，其所得利润金额为502736.02元，李向阳获得竞业禁止收入为251368.01元。原告主张</w:t>
      </w:r>
      <w:proofErr w:type="gramStart"/>
      <w:r>
        <w:rPr>
          <w:rFonts w:hint="eastAsia"/>
          <w:sz w:val="30"/>
          <w:szCs w:val="30"/>
        </w:rPr>
        <w:t>李向阳将竞业</w:t>
      </w:r>
      <w:proofErr w:type="gramEnd"/>
      <w:r>
        <w:rPr>
          <w:rFonts w:hint="eastAsia"/>
          <w:sz w:val="30"/>
          <w:szCs w:val="30"/>
        </w:rPr>
        <w:t>禁止经营收入支付给原告，有事实和法律依据，一审法院予以支持，即李向阳应支付原告251368.01元。原告主张被告方赔偿原告的损失约15万元，未提供证据证明其主张成立，一审法院不予支持。为保护当事人的合法权益，一审法院依据《中华人民共和国公司法》第一百四十八条、第一百四十九条第一款第（五）项，《中华人民共和国民事诉讼法》第六十四条第一款、《最高人民法院关于民事诉讼证据的若干规定》第二条、第二十七条之规定，</w:t>
      </w:r>
      <w:proofErr w:type="gramStart"/>
      <w:r>
        <w:rPr>
          <w:rFonts w:hint="eastAsia"/>
          <w:sz w:val="30"/>
          <w:szCs w:val="30"/>
        </w:rPr>
        <w:t>作出</w:t>
      </w:r>
      <w:proofErr w:type="gramEnd"/>
      <w:r>
        <w:rPr>
          <w:rFonts w:hint="eastAsia"/>
          <w:sz w:val="30"/>
          <w:szCs w:val="30"/>
        </w:rPr>
        <w:t>判决如下：一、李向阳应于本判决生效之日起停止经营；二、李向阳应向日</w:t>
      </w:r>
      <w:proofErr w:type="gramStart"/>
      <w:r>
        <w:rPr>
          <w:rFonts w:hint="eastAsia"/>
          <w:sz w:val="30"/>
          <w:szCs w:val="30"/>
        </w:rPr>
        <w:t>日</w:t>
      </w:r>
      <w:proofErr w:type="gramEnd"/>
      <w:r>
        <w:rPr>
          <w:rFonts w:hint="eastAsia"/>
          <w:sz w:val="30"/>
          <w:szCs w:val="30"/>
        </w:rPr>
        <w:t>顺公司支付竞业禁止经营收入251368.01元，于判决生效之日起十五日之内付清；如果未按本判决指定的期间履行给付金钱义务，应当依照《中华人民共和国民事诉讼法》第二百五十三条之规定，加倍支付延迟履行期间的债务利息。三、驳回日日顺公司的其他诉讼请</w:t>
      </w:r>
      <w:r>
        <w:rPr>
          <w:rFonts w:hint="eastAsia"/>
          <w:sz w:val="30"/>
          <w:szCs w:val="30"/>
        </w:rPr>
        <w:lastRenderedPageBreak/>
        <w:t>求。案件受理费3400元，鉴定费5000元，合计8400元，由李向阳承担。</w:t>
      </w:r>
    </w:p>
    <w:p w:rsidR="00F03DE1" w:rsidRDefault="00222D16">
      <w:pPr>
        <w:spacing w:line="500" w:lineRule="atLeast"/>
        <w:ind w:firstLine="600"/>
        <w:divId w:val="1453399360"/>
        <w:rPr>
          <w:sz w:val="30"/>
          <w:szCs w:val="30"/>
        </w:rPr>
      </w:pPr>
      <w:r>
        <w:rPr>
          <w:rFonts w:hint="eastAsia"/>
          <w:sz w:val="30"/>
          <w:szCs w:val="30"/>
        </w:rPr>
        <w:t>二审中，日日顺公司围绕上诉请求向法庭提交了以下证据：1.增值税发票2张、国税通用机打发票记账联2张、税收电子转账专用完税证2张，证明在多格达公司成立并经营后，日日顺公司仍续存，但受到重大影响，李向阳所称的日日顺公司于2013年5月停止经营不是事实，股东也没有表决过</w:t>
      </w:r>
      <w:proofErr w:type="gramStart"/>
      <w:r>
        <w:rPr>
          <w:rFonts w:hint="eastAsia"/>
          <w:sz w:val="30"/>
          <w:szCs w:val="30"/>
        </w:rPr>
        <w:t>说停止</w:t>
      </w:r>
      <w:proofErr w:type="gramEnd"/>
      <w:r>
        <w:rPr>
          <w:rFonts w:hint="eastAsia"/>
          <w:sz w:val="30"/>
          <w:szCs w:val="30"/>
        </w:rPr>
        <w:t>经营。2.增值税发票2张，证明截止2017年5月31日，多格达公司仍在持续正常经营。本院组织当事人进行了证据交换。李向阳质证后认为：对证据1的真实性、合法性予以确认，对关联性不予确认，在多格达公司成立后，日日顺公司开具的增值税发票、完税等均是因之前存在未收货款，均是在处理回收以前货款事宜，日日顺公司已无实际经营。况且法律并无规定停止经营需要股东会</w:t>
      </w:r>
      <w:proofErr w:type="gramStart"/>
      <w:r>
        <w:rPr>
          <w:rFonts w:hint="eastAsia"/>
          <w:sz w:val="30"/>
          <w:szCs w:val="30"/>
        </w:rPr>
        <w:t>作出</w:t>
      </w:r>
      <w:proofErr w:type="gramEnd"/>
      <w:r>
        <w:rPr>
          <w:rFonts w:hint="eastAsia"/>
          <w:sz w:val="30"/>
          <w:szCs w:val="30"/>
        </w:rPr>
        <w:t>决议。对证据2的真实性、合法性予以确认，关联性不予确认。多格达公司在涉案后即停止经营，因此拖欠第三方货款，直至2017年5月才有能力还清，因此该组证据同样不能证明多格达公司目前仍在实际经营。本院经审查后认为，对日日顺公司提供的两组证据的真实性、合法性予以确认，对其关联性应结合本案查明的其他事实和证据予以综合认定。</w:t>
      </w:r>
    </w:p>
    <w:p w:rsidR="00F03DE1" w:rsidRDefault="00222D16">
      <w:pPr>
        <w:spacing w:line="500" w:lineRule="atLeast"/>
        <w:ind w:firstLine="600"/>
        <w:divId w:val="704060046"/>
        <w:rPr>
          <w:sz w:val="30"/>
          <w:szCs w:val="30"/>
        </w:rPr>
      </w:pPr>
      <w:r>
        <w:rPr>
          <w:rFonts w:hint="eastAsia"/>
          <w:sz w:val="30"/>
          <w:szCs w:val="30"/>
        </w:rPr>
        <w:t>本院对一审查明的事实予以确认。</w:t>
      </w:r>
    </w:p>
    <w:p w:rsidR="00F03DE1" w:rsidRDefault="00222D16">
      <w:pPr>
        <w:spacing w:line="500" w:lineRule="atLeast"/>
        <w:ind w:firstLine="600"/>
        <w:divId w:val="1053429362"/>
        <w:rPr>
          <w:sz w:val="30"/>
          <w:szCs w:val="30"/>
        </w:rPr>
      </w:pPr>
      <w:r>
        <w:rPr>
          <w:rFonts w:hint="eastAsia"/>
          <w:sz w:val="30"/>
          <w:szCs w:val="30"/>
        </w:rPr>
        <w:t>本院认为，关于李向阳是否存在竞业禁止行为的问题。根据《中华人民共和国公司法》第一百四十八条、一百四十九条关于“董事、监事、高级管理人员应当遵守法律、行政法规和公司章程，对公司负有忠实义务和勤勉义务……”。</w:t>
      </w:r>
    </w:p>
    <w:p w:rsidR="00F03DE1" w:rsidRDefault="00222D16">
      <w:pPr>
        <w:spacing w:line="500" w:lineRule="atLeast"/>
        <w:ind w:firstLine="600"/>
        <w:divId w:val="1136799560"/>
        <w:rPr>
          <w:sz w:val="30"/>
          <w:szCs w:val="30"/>
        </w:rPr>
      </w:pPr>
      <w:r>
        <w:rPr>
          <w:rFonts w:hint="eastAsia"/>
          <w:sz w:val="30"/>
          <w:szCs w:val="30"/>
        </w:rPr>
        <w:t>“董事、高级管理人员不得有下列行为：……（五）未经股东会或者股东大会同意，利用职务便利为自己或者他人谋取</w:t>
      </w:r>
      <w:r>
        <w:rPr>
          <w:rFonts w:hint="eastAsia"/>
          <w:sz w:val="30"/>
          <w:szCs w:val="30"/>
        </w:rPr>
        <w:lastRenderedPageBreak/>
        <w:t>属于公司的商业机会，自营或者为他人经营与所任职公司同类的业务；……董事、高级管理人员违反欠款规定所得的收入应当归公司所有”的规定。李向阳与他人设立多格达公司，并担任经理，同时其仍为日日顺公司经理，且在同一住所经营同类业务。经理属于公司法意义上的高级管理人员，李向阳的行为应认定其作为日日顺公司高管违反了其所</w:t>
      </w:r>
      <w:proofErr w:type="gramStart"/>
      <w:r>
        <w:rPr>
          <w:rFonts w:hint="eastAsia"/>
          <w:sz w:val="30"/>
          <w:szCs w:val="30"/>
        </w:rPr>
        <w:t>应承担竞业</w:t>
      </w:r>
      <w:proofErr w:type="gramEnd"/>
      <w:r>
        <w:rPr>
          <w:rFonts w:hint="eastAsia"/>
          <w:sz w:val="30"/>
          <w:szCs w:val="30"/>
        </w:rPr>
        <w:t>禁止的法定忠实义务。因此，原审认为李向阳存在竞业禁止行为，应从判决生效之日起停止竞业禁止经营，并无不妥。李向阳上诉认为自己不存在竞业禁止行为，本院不予支持。根据公司法的相关规定，日日顺公司可基于李向阳的竞业禁止行为行使公司归入权，将其因为该行为所得之收入收归日日顺公司所有。根据审理查明的事实，2014年3月，日日顺公司开始零申报税帐，实际已停止经营。李向阳上诉认为日日顺公司从2013年5月起已停止经营但没有提供相应的证据予以证明，本院不予采纳。根据一审</w:t>
      </w:r>
      <w:proofErr w:type="gramStart"/>
      <w:r>
        <w:rPr>
          <w:rFonts w:hint="eastAsia"/>
          <w:sz w:val="30"/>
          <w:szCs w:val="30"/>
        </w:rPr>
        <w:t>作出</w:t>
      </w:r>
      <w:proofErr w:type="gramEnd"/>
      <w:r>
        <w:rPr>
          <w:rFonts w:hint="eastAsia"/>
          <w:sz w:val="30"/>
          <w:szCs w:val="30"/>
        </w:rPr>
        <w:t>的中诚鉴定字（2015）05号司法技术鉴定书得出的结论：多格达公司2013年7月至2014年4月经营利润金额为135874.61元。日日顺公司诉请法院判令李向阳将其截至一审判决之日止的竞业经营收入支付给日日顺公司。但一审</w:t>
      </w:r>
      <w:proofErr w:type="gramStart"/>
      <w:r>
        <w:rPr>
          <w:rFonts w:hint="eastAsia"/>
          <w:sz w:val="30"/>
          <w:szCs w:val="30"/>
        </w:rPr>
        <w:t>鉴定仅</w:t>
      </w:r>
      <w:proofErr w:type="gramEnd"/>
      <w:r>
        <w:rPr>
          <w:rFonts w:hint="eastAsia"/>
          <w:sz w:val="30"/>
          <w:szCs w:val="30"/>
        </w:rPr>
        <w:t>就多格达公司从2013年7月至2014年4月的经营利润进行了鉴定。对多格达公司之后产生的经营利润的具体数额，日日顺公司并未提供证据予以证明。众所周知，经营利润属于变量数据，受经济环境、劳动成本、营销手段等诸多因素影响。一审法院仅依靠鉴定数据进行推论所得出的数据并不能反映客观事实，应予改判。鉴于日日顺公司已于2014年3月停止经营以及多格达公司于2013年5月设立经营的事实，参照鉴定意见本院酌定：该期间的经营利润金额为135874.61元。李向阳占多格达公司50%的股权，对公司所得利润具有50%的分配收益。</w:t>
      </w:r>
      <w:proofErr w:type="gramStart"/>
      <w:r>
        <w:rPr>
          <w:rFonts w:hint="eastAsia"/>
          <w:sz w:val="30"/>
          <w:szCs w:val="30"/>
        </w:rPr>
        <w:t>此</w:t>
      </w:r>
      <w:r>
        <w:rPr>
          <w:rFonts w:hint="eastAsia"/>
          <w:sz w:val="30"/>
          <w:szCs w:val="30"/>
        </w:rPr>
        <w:lastRenderedPageBreak/>
        <w:t>收益</w:t>
      </w:r>
      <w:proofErr w:type="gramEnd"/>
      <w:r>
        <w:rPr>
          <w:rFonts w:hint="eastAsia"/>
          <w:sz w:val="30"/>
          <w:szCs w:val="30"/>
        </w:rPr>
        <w:t>是李向阳竞业期间所得，日日顺公司对此可以行使归入权，也即李向阳应向日日顺公司支付竞业经营收入67937.305元。综上，李向阳的上诉理由部分成立。据此，依照《中华人民共和国民事诉讼法》第一百七十条第一款第（二）之规定，判决如下：</w:t>
      </w:r>
    </w:p>
    <w:p w:rsidR="00F03DE1" w:rsidRDefault="00222D16">
      <w:pPr>
        <w:spacing w:line="500" w:lineRule="atLeast"/>
        <w:ind w:firstLine="600"/>
        <w:divId w:val="2131899666"/>
        <w:rPr>
          <w:sz w:val="30"/>
          <w:szCs w:val="30"/>
        </w:rPr>
      </w:pPr>
      <w:r>
        <w:rPr>
          <w:rFonts w:hint="eastAsia"/>
          <w:sz w:val="30"/>
          <w:szCs w:val="30"/>
        </w:rPr>
        <w:t>一、维持江西省信丰县人民法院（2014）信民二初字第115号民事判决第一、三项；</w:t>
      </w:r>
    </w:p>
    <w:p w:rsidR="00F03DE1" w:rsidRDefault="00222D16">
      <w:pPr>
        <w:spacing w:line="500" w:lineRule="atLeast"/>
        <w:ind w:firstLine="600"/>
        <w:divId w:val="298263986"/>
        <w:rPr>
          <w:sz w:val="30"/>
          <w:szCs w:val="30"/>
        </w:rPr>
      </w:pPr>
      <w:r>
        <w:rPr>
          <w:rFonts w:hint="eastAsia"/>
          <w:sz w:val="30"/>
          <w:szCs w:val="30"/>
        </w:rPr>
        <w:t>二、变更江西省信丰县人民法院（2014）信民二初字第115号民事判决第二项为：李向阳应向信丰日日顺电器有限公司支付竞业禁止经营收入67937.305元，于判决生效之日起十五日之内付清；</w:t>
      </w:r>
    </w:p>
    <w:p w:rsidR="00F03DE1" w:rsidRDefault="00222D16">
      <w:pPr>
        <w:spacing w:line="500" w:lineRule="atLeast"/>
        <w:ind w:firstLine="600"/>
        <w:divId w:val="591091706"/>
        <w:rPr>
          <w:sz w:val="30"/>
          <w:szCs w:val="30"/>
        </w:rPr>
      </w:pPr>
      <w:r>
        <w:rPr>
          <w:rFonts w:hint="eastAsia"/>
          <w:sz w:val="30"/>
          <w:szCs w:val="30"/>
        </w:rPr>
        <w:t>如果未按本判决指定的期间履行给付金钱义务，应当按照《中华人民共和国民事诉讼法》第二百五十三条之规定，加倍支付迟延履行期间的债务利息。</w:t>
      </w:r>
    </w:p>
    <w:p w:rsidR="00F03DE1" w:rsidRDefault="00222D16">
      <w:pPr>
        <w:spacing w:line="500" w:lineRule="atLeast"/>
        <w:ind w:firstLine="600"/>
        <w:divId w:val="749814216"/>
        <w:rPr>
          <w:sz w:val="30"/>
          <w:szCs w:val="30"/>
        </w:rPr>
      </w:pPr>
      <w:r>
        <w:rPr>
          <w:rFonts w:hint="eastAsia"/>
          <w:sz w:val="30"/>
          <w:szCs w:val="30"/>
        </w:rPr>
        <w:t>一审案件受理费3400元，鉴定费5000元，合计8400元，由上诉人李向阳负担6600元，由被上诉人信丰日日顺电器有限公司负担1800元。二审案件受理费5070元，由上诉人李向阳负担1500元，被上诉人信丰日日顺电器有限公司负担3570元。</w:t>
      </w:r>
    </w:p>
    <w:p w:rsidR="00F03DE1" w:rsidRDefault="00222D16">
      <w:pPr>
        <w:spacing w:line="500" w:lineRule="atLeast"/>
        <w:ind w:firstLine="600"/>
        <w:divId w:val="572393367"/>
        <w:rPr>
          <w:sz w:val="30"/>
          <w:szCs w:val="30"/>
        </w:rPr>
      </w:pPr>
      <w:r>
        <w:rPr>
          <w:rFonts w:hint="eastAsia"/>
          <w:sz w:val="30"/>
          <w:szCs w:val="30"/>
        </w:rPr>
        <w:t>本判决为终审判决。</w:t>
      </w:r>
    </w:p>
    <w:p w:rsidR="00F03DE1" w:rsidRDefault="00222D16">
      <w:pPr>
        <w:spacing w:line="500" w:lineRule="atLeast"/>
        <w:jc w:val="right"/>
        <w:divId w:val="753092061"/>
        <w:rPr>
          <w:sz w:val="30"/>
          <w:szCs w:val="30"/>
        </w:rPr>
      </w:pPr>
      <w:r>
        <w:rPr>
          <w:rFonts w:hint="eastAsia"/>
          <w:sz w:val="30"/>
          <w:szCs w:val="30"/>
        </w:rPr>
        <w:t>审判长　　蒋桥生</w:t>
      </w:r>
    </w:p>
    <w:p w:rsidR="00F03DE1" w:rsidRDefault="00222D16">
      <w:pPr>
        <w:spacing w:line="500" w:lineRule="atLeast"/>
        <w:jc w:val="right"/>
        <w:divId w:val="1448157258"/>
        <w:rPr>
          <w:sz w:val="30"/>
          <w:szCs w:val="30"/>
        </w:rPr>
      </w:pPr>
      <w:r>
        <w:rPr>
          <w:rFonts w:hint="eastAsia"/>
          <w:sz w:val="30"/>
          <w:szCs w:val="30"/>
        </w:rPr>
        <w:t xml:space="preserve">审判员　　任　</w:t>
      </w:r>
      <w:proofErr w:type="gramStart"/>
      <w:r>
        <w:rPr>
          <w:rFonts w:hint="eastAsia"/>
          <w:sz w:val="30"/>
          <w:szCs w:val="30"/>
        </w:rPr>
        <w:t>琰</w:t>
      </w:r>
      <w:proofErr w:type="gramEnd"/>
    </w:p>
    <w:p w:rsidR="00F03DE1" w:rsidRDefault="00222D16">
      <w:pPr>
        <w:spacing w:line="500" w:lineRule="atLeast"/>
        <w:jc w:val="right"/>
        <w:divId w:val="1293515431"/>
        <w:rPr>
          <w:sz w:val="30"/>
          <w:szCs w:val="30"/>
        </w:rPr>
      </w:pPr>
      <w:r>
        <w:rPr>
          <w:rFonts w:hint="eastAsia"/>
          <w:sz w:val="30"/>
          <w:szCs w:val="30"/>
        </w:rPr>
        <w:t>审判员</w:t>
      </w:r>
      <w:proofErr w:type="gramStart"/>
      <w:r>
        <w:rPr>
          <w:rFonts w:hint="eastAsia"/>
          <w:sz w:val="30"/>
          <w:szCs w:val="30"/>
        </w:rPr>
        <w:t xml:space="preserve">　　侯文君</w:t>
      </w:r>
      <w:proofErr w:type="gramEnd"/>
    </w:p>
    <w:p w:rsidR="00F03DE1" w:rsidRDefault="00222D16">
      <w:pPr>
        <w:spacing w:line="500" w:lineRule="atLeast"/>
        <w:jc w:val="right"/>
        <w:divId w:val="351885719"/>
        <w:rPr>
          <w:sz w:val="30"/>
          <w:szCs w:val="30"/>
        </w:rPr>
      </w:pPr>
      <w:r>
        <w:rPr>
          <w:rFonts w:hint="eastAsia"/>
          <w:sz w:val="30"/>
          <w:szCs w:val="30"/>
        </w:rPr>
        <w:t>二〇一七年八月二十八日</w:t>
      </w:r>
    </w:p>
    <w:p w:rsidR="00F03DE1" w:rsidRDefault="00222D16">
      <w:pPr>
        <w:spacing w:line="500" w:lineRule="atLeast"/>
        <w:jc w:val="right"/>
        <w:divId w:val="490677420"/>
        <w:rPr>
          <w:sz w:val="30"/>
          <w:szCs w:val="30"/>
        </w:rPr>
      </w:pPr>
      <w:r>
        <w:rPr>
          <w:rFonts w:hint="eastAsia"/>
          <w:sz w:val="30"/>
          <w:szCs w:val="30"/>
        </w:rPr>
        <w:t>书记员　　刘　菲</w:t>
      </w:r>
    </w:p>
    <w:sectPr w:rsidR="00F03DE1">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3113" w:rsidRDefault="00633113" w:rsidP="00222D16">
      <w:r>
        <w:separator/>
      </w:r>
    </w:p>
  </w:endnote>
  <w:endnote w:type="continuationSeparator" w:id="0">
    <w:p w:rsidR="00633113" w:rsidRDefault="00633113" w:rsidP="00222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3113" w:rsidRDefault="00633113" w:rsidP="00222D16">
      <w:r>
        <w:separator/>
      </w:r>
    </w:p>
  </w:footnote>
  <w:footnote w:type="continuationSeparator" w:id="0">
    <w:p w:rsidR="00633113" w:rsidRDefault="00633113" w:rsidP="00222D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D16"/>
    <w:rsid w:val="00185E30"/>
    <w:rsid w:val="00222D16"/>
    <w:rsid w:val="00633113"/>
    <w:rsid w:val="00F03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B5D2C8"/>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unhideWhenUsed/>
    <w:pPr>
      <w:spacing w:before="100" w:beforeAutospacing="1" w:after="100" w:afterAutospacing="1"/>
    </w:pPr>
  </w:style>
  <w:style w:type="paragraph" w:styleId="a4">
    <w:name w:val="header"/>
    <w:basedOn w:val="a"/>
    <w:link w:val="a5"/>
    <w:uiPriority w:val="99"/>
    <w:unhideWhenUsed/>
    <w:rsid w:val="00222D1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22D16"/>
    <w:rPr>
      <w:rFonts w:ascii="宋体" w:eastAsia="宋体" w:hAnsi="宋体" w:cs="宋体"/>
      <w:sz w:val="18"/>
      <w:szCs w:val="18"/>
    </w:rPr>
  </w:style>
  <w:style w:type="paragraph" w:styleId="a6">
    <w:name w:val="footer"/>
    <w:basedOn w:val="a"/>
    <w:link w:val="a7"/>
    <w:uiPriority w:val="99"/>
    <w:unhideWhenUsed/>
    <w:rsid w:val="00222D16"/>
    <w:pPr>
      <w:tabs>
        <w:tab w:val="center" w:pos="4153"/>
        <w:tab w:val="right" w:pos="8306"/>
      </w:tabs>
      <w:snapToGrid w:val="0"/>
    </w:pPr>
    <w:rPr>
      <w:sz w:val="18"/>
      <w:szCs w:val="18"/>
    </w:rPr>
  </w:style>
  <w:style w:type="character" w:customStyle="1" w:styleId="a7">
    <w:name w:val="页脚 字符"/>
    <w:basedOn w:val="a0"/>
    <w:link w:val="a6"/>
    <w:uiPriority w:val="99"/>
    <w:rsid w:val="00222D1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10156">
      <w:marLeft w:val="0"/>
      <w:marRight w:val="0"/>
      <w:marTop w:val="10"/>
      <w:marBottom w:val="10"/>
      <w:divBdr>
        <w:top w:val="none" w:sz="0" w:space="0" w:color="auto"/>
        <w:left w:val="none" w:sz="0" w:space="0" w:color="auto"/>
        <w:bottom w:val="none" w:sz="0" w:space="0" w:color="auto"/>
        <w:right w:val="none" w:sz="0" w:space="0" w:color="auto"/>
      </w:divBdr>
    </w:div>
    <w:div w:id="181212380">
      <w:marLeft w:val="0"/>
      <w:marRight w:val="0"/>
      <w:marTop w:val="10"/>
      <w:marBottom w:val="10"/>
      <w:divBdr>
        <w:top w:val="none" w:sz="0" w:space="0" w:color="auto"/>
        <w:left w:val="none" w:sz="0" w:space="0" w:color="auto"/>
        <w:bottom w:val="none" w:sz="0" w:space="0" w:color="auto"/>
        <w:right w:val="none" w:sz="0" w:space="0" w:color="auto"/>
      </w:divBdr>
    </w:div>
    <w:div w:id="298263986">
      <w:marLeft w:val="0"/>
      <w:marRight w:val="0"/>
      <w:marTop w:val="10"/>
      <w:marBottom w:val="10"/>
      <w:divBdr>
        <w:top w:val="none" w:sz="0" w:space="0" w:color="auto"/>
        <w:left w:val="none" w:sz="0" w:space="0" w:color="auto"/>
        <w:bottom w:val="none" w:sz="0" w:space="0" w:color="auto"/>
        <w:right w:val="none" w:sz="0" w:space="0" w:color="auto"/>
      </w:divBdr>
    </w:div>
    <w:div w:id="346104564">
      <w:marLeft w:val="0"/>
      <w:marRight w:val="0"/>
      <w:marTop w:val="10"/>
      <w:marBottom w:val="10"/>
      <w:divBdr>
        <w:top w:val="none" w:sz="0" w:space="0" w:color="auto"/>
        <w:left w:val="none" w:sz="0" w:space="0" w:color="auto"/>
        <w:bottom w:val="none" w:sz="0" w:space="0" w:color="auto"/>
        <w:right w:val="none" w:sz="0" w:space="0" w:color="auto"/>
      </w:divBdr>
    </w:div>
    <w:div w:id="351885719">
      <w:marLeft w:val="0"/>
      <w:marRight w:val="720"/>
      <w:marTop w:val="10"/>
      <w:marBottom w:val="10"/>
      <w:divBdr>
        <w:top w:val="none" w:sz="0" w:space="0" w:color="auto"/>
        <w:left w:val="none" w:sz="0" w:space="0" w:color="auto"/>
        <w:bottom w:val="none" w:sz="0" w:space="0" w:color="auto"/>
        <w:right w:val="none" w:sz="0" w:space="0" w:color="auto"/>
      </w:divBdr>
    </w:div>
    <w:div w:id="385564870">
      <w:marLeft w:val="0"/>
      <w:marRight w:val="0"/>
      <w:marTop w:val="10"/>
      <w:marBottom w:val="10"/>
      <w:divBdr>
        <w:top w:val="none" w:sz="0" w:space="0" w:color="auto"/>
        <w:left w:val="none" w:sz="0" w:space="0" w:color="auto"/>
        <w:bottom w:val="none" w:sz="0" w:space="0" w:color="auto"/>
        <w:right w:val="none" w:sz="0" w:space="0" w:color="auto"/>
      </w:divBdr>
    </w:div>
    <w:div w:id="398332169">
      <w:marLeft w:val="0"/>
      <w:marRight w:val="0"/>
      <w:marTop w:val="10"/>
      <w:marBottom w:val="10"/>
      <w:divBdr>
        <w:top w:val="none" w:sz="0" w:space="0" w:color="auto"/>
        <w:left w:val="none" w:sz="0" w:space="0" w:color="auto"/>
        <w:bottom w:val="none" w:sz="0" w:space="0" w:color="auto"/>
        <w:right w:val="none" w:sz="0" w:space="0" w:color="auto"/>
      </w:divBdr>
    </w:div>
    <w:div w:id="421685121">
      <w:marLeft w:val="0"/>
      <w:marRight w:val="0"/>
      <w:marTop w:val="10"/>
      <w:marBottom w:val="10"/>
      <w:divBdr>
        <w:top w:val="none" w:sz="0" w:space="0" w:color="auto"/>
        <w:left w:val="none" w:sz="0" w:space="0" w:color="auto"/>
        <w:bottom w:val="none" w:sz="0" w:space="0" w:color="auto"/>
        <w:right w:val="none" w:sz="0" w:space="0" w:color="auto"/>
      </w:divBdr>
    </w:div>
    <w:div w:id="490677420">
      <w:marLeft w:val="0"/>
      <w:marRight w:val="720"/>
      <w:marTop w:val="10"/>
      <w:marBottom w:val="10"/>
      <w:divBdr>
        <w:top w:val="none" w:sz="0" w:space="0" w:color="auto"/>
        <w:left w:val="none" w:sz="0" w:space="0" w:color="auto"/>
        <w:bottom w:val="none" w:sz="0" w:space="0" w:color="auto"/>
        <w:right w:val="none" w:sz="0" w:space="0" w:color="auto"/>
      </w:divBdr>
    </w:div>
    <w:div w:id="539393300">
      <w:marLeft w:val="0"/>
      <w:marRight w:val="0"/>
      <w:marTop w:val="10"/>
      <w:marBottom w:val="10"/>
      <w:divBdr>
        <w:top w:val="none" w:sz="0" w:space="0" w:color="auto"/>
        <w:left w:val="none" w:sz="0" w:space="0" w:color="auto"/>
        <w:bottom w:val="none" w:sz="0" w:space="0" w:color="auto"/>
        <w:right w:val="none" w:sz="0" w:space="0" w:color="auto"/>
      </w:divBdr>
    </w:div>
    <w:div w:id="572393367">
      <w:marLeft w:val="0"/>
      <w:marRight w:val="0"/>
      <w:marTop w:val="10"/>
      <w:marBottom w:val="10"/>
      <w:divBdr>
        <w:top w:val="none" w:sz="0" w:space="0" w:color="auto"/>
        <w:left w:val="none" w:sz="0" w:space="0" w:color="auto"/>
        <w:bottom w:val="none" w:sz="0" w:space="0" w:color="auto"/>
        <w:right w:val="none" w:sz="0" w:space="0" w:color="auto"/>
      </w:divBdr>
    </w:div>
    <w:div w:id="591091706">
      <w:marLeft w:val="0"/>
      <w:marRight w:val="0"/>
      <w:marTop w:val="10"/>
      <w:marBottom w:val="10"/>
      <w:divBdr>
        <w:top w:val="none" w:sz="0" w:space="0" w:color="auto"/>
        <w:left w:val="none" w:sz="0" w:space="0" w:color="auto"/>
        <w:bottom w:val="none" w:sz="0" w:space="0" w:color="auto"/>
        <w:right w:val="none" w:sz="0" w:space="0" w:color="auto"/>
      </w:divBdr>
    </w:div>
    <w:div w:id="704060046">
      <w:marLeft w:val="0"/>
      <w:marRight w:val="0"/>
      <w:marTop w:val="10"/>
      <w:marBottom w:val="10"/>
      <w:divBdr>
        <w:top w:val="none" w:sz="0" w:space="0" w:color="auto"/>
        <w:left w:val="none" w:sz="0" w:space="0" w:color="auto"/>
        <w:bottom w:val="none" w:sz="0" w:space="0" w:color="auto"/>
        <w:right w:val="none" w:sz="0" w:space="0" w:color="auto"/>
      </w:divBdr>
    </w:div>
    <w:div w:id="749814216">
      <w:marLeft w:val="0"/>
      <w:marRight w:val="0"/>
      <w:marTop w:val="10"/>
      <w:marBottom w:val="10"/>
      <w:divBdr>
        <w:top w:val="none" w:sz="0" w:space="0" w:color="auto"/>
        <w:left w:val="none" w:sz="0" w:space="0" w:color="auto"/>
        <w:bottom w:val="none" w:sz="0" w:space="0" w:color="auto"/>
        <w:right w:val="none" w:sz="0" w:space="0" w:color="auto"/>
      </w:divBdr>
    </w:div>
    <w:div w:id="753092061">
      <w:marLeft w:val="0"/>
      <w:marRight w:val="720"/>
      <w:marTop w:val="10"/>
      <w:marBottom w:val="10"/>
      <w:divBdr>
        <w:top w:val="none" w:sz="0" w:space="0" w:color="auto"/>
        <w:left w:val="none" w:sz="0" w:space="0" w:color="auto"/>
        <w:bottom w:val="none" w:sz="0" w:space="0" w:color="auto"/>
        <w:right w:val="none" w:sz="0" w:space="0" w:color="auto"/>
      </w:divBdr>
    </w:div>
    <w:div w:id="794058418">
      <w:marLeft w:val="0"/>
      <w:marRight w:val="0"/>
      <w:marTop w:val="10"/>
      <w:marBottom w:val="10"/>
      <w:divBdr>
        <w:top w:val="none" w:sz="0" w:space="0" w:color="auto"/>
        <w:left w:val="none" w:sz="0" w:space="0" w:color="auto"/>
        <w:bottom w:val="none" w:sz="0" w:space="0" w:color="auto"/>
        <w:right w:val="none" w:sz="0" w:space="0" w:color="auto"/>
      </w:divBdr>
    </w:div>
    <w:div w:id="1011764386">
      <w:marLeft w:val="0"/>
      <w:marRight w:val="0"/>
      <w:marTop w:val="10"/>
      <w:marBottom w:val="10"/>
      <w:divBdr>
        <w:top w:val="none" w:sz="0" w:space="0" w:color="auto"/>
        <w:left w:val="none" w:sz="0" w:space="0" w:color="auto"/>
        <w:bottom w:val="none" w:sz="0" w:space="0" w:color="auto"/>
        <w:right w:val="none" w:sz="0" w:space="0" w:color="auto"/>
      </w:divBdr>
    </w:div>
    <w:div w:id="1034306794">
      <w:marLeft w:val="0"/>
      <w:marRight w:val="0"/>
      <w:marTop w:val="10"/>
      <w:marBottom w:val="10"/>
      <w:divBdr>
        <w:top w:val="none" w:sz="0" w:space="0" w:color="auto"/>
        <w:left w:val="none" w:sz="0" w:space="0" w:color="auto"/>
        <w:bottom w:val="none" w:sz="0" w:space="0" w:color="auto"/>
        <w:right w:val="none" w:sz="0" w:space="0" w:color="auto"/>
      </w:divBdr>
    </w:div>
    <w:div w:id="1053429362">
      <w:marLeft w:val="0"/>
      <w:marRight w:val="0"/>
      <w:marTop w:val="10"/>
      <w:marBottom w:val="10"/>
      <w:divBdr>
        <w:top w:val="none" w:sz="0" w:space="0" w:color="auto"/>
        <w:left w:val="none" w:sz="0" w:space="0" w:color="auto"/>
        <w:bottom w:val="none" w:sz="0" w:space="0" w:color="auto"/>
        <w:right w:val="none" w:sz="0" w:space="0" w:color="auto"/>
      </w:divBdr>
    </w:div>
    <w:div w:id="1060055716">
      <w:marLeft w:val="0"/>
      <w:marRight w:val="0"/>
      <w:marTop w:val="10"/>
      <w:marBottom w:val="10"/>
      <w:divBdr>
        <w:top w:val="none" w:sz="0" w:space="0" w:color="auto"/>
        <w:left w:val="none" w:sz="0" w:space="0" w:color="auto"/>
        <w:bottom w:val="none" w:sz="0" w:space="0" w:color="auto"/>
        <w:right w:val="none" w:sz="0" w:space="0" w:color="auto"/>
      </w:divBdr>
    </w:div>
    <w:div w:id="1067191777">
      <w:marLeft w:val="0"/>
      <w:marRight w:val="0"/>
      <w:marTop w:val="10"/>
      <w:marBottom w:val="10"/>
      <w:divBdr>
        <w:top w:val="none" w:sz="0" w:space="0" w:color="auto"/>
        <w:left w:val="none" w:sz="0" w:space="0" w:color="auto"/>
        <w:bottom w:val="none" w:sz="0" w:space="0" w:color="auto"/>
        <w:right w:val="none" w:sz="0" w:space="0" w:color="auto"/>
      </w:divBdr>
    </w:div>
    <w:div w:id="1136799560">
      <w:marLeft w:val="0"/>
      <w:marRight w:val="0"/>
      <w:marTop w:val="10"/>
      <w:marBottom w:val="10"/>
      <w:divBdr>
        <w:top w:val="none" w:sz="0" w:space="0" w:color="auto"/>
        <w:left w:val="none" w:sz="0" w:space="0" w:color="auto"/>
        <w:bottom w:val="none" w:sz="0" w:space="0" w:color="auto"/>
        <w:right w:val="none" w:sz="0" w:space="0" w:color="auto"/>
      </w:divBdr>
    </w:div>
    <w:div w:id="1293515431">
      <w:marLeft w:val="0"/>
      <w:marRight w:val="720"/>
      <w:marTop w:val="10"/>
      <w:marBottom w:val="10"/>
      <w:divBdr>
        <w:top w:val="none" w:sz="0" w:space="0" w:color="auto"/>
        <w:left w:val="none" w:sz="0" w:space="0" w:color="auto"/>
        <w:bottom w:val="none" w:sz="0" w:space="0" w:color="auto"/>
        <w:right w:val="none" w:sz="0" w:space="0" w:color="auto"/>
      </w:divBdr>
    </w:div>
    <w:div w:id="1448157258">
      <w:marLeft w:val="0"/>
      <w:marRight w:val="720"/>
      <w:marTop w:val="10"/>
      <w:marBottom w:val="10"/>
      <w:divBdr>
        <w:top w:val="none" w:sz="0" w:space="0" w:color="auto"/>
        <w:left w:val="none" w:sz="0" w:space="0" w:color="auto"/>
        <w:bottom w:val="none" w:sz="0" w:space="0" w:color="auto"/>
        <w:right w:val="none" w:sz="0" w:space="0" w:color="auto"/>
      </w:divBdr>
    </w:div>
    <w:div w:id="1453399360">
      <w:marLeft w:val="0"/>
      <w:marRight w:val="0"/>
      <w:marTop w:val="10"/>
      <w:marBottom w:val="10"/>
      <w:divBdr>
        <w:top w:val="none" w:sz="0" w:space="0" w:color="auto"/>
        <w:left w:val="none" w:sz="0" w:space="0" w:color="auto"/>
        <w:bottom w:val="none" w:sz="0" w:space="0" w:color="auto"/>
        <w:right w:val="none" w:sz="0" w:space="0" w:color="auto"/>
      </w:divBdr>
    </w:div>
    <w:div w:id="1478257976">
      <w:marLeft w:val="0"/>
      <w:marRight w:val="0"/>
      <w:marTop w:val="10"/>
      <w:marBottom w:val="10"/>
      <w:divBdr>
        <w:top w:val="none" w:sz="0" w:space="0" w:color="auto"/>
        <w:left w:val="none" w:sz="0" w:space="0" w:color="auto"/>
        <w:bottom w:val="none" w:sz="0" w:space="0" w:color="auto"/>
        <w:right w:val="none" w:sz="0" w:space="0" w:color="auto"/>
      </w:divBdr>
    </w:div>
    <w:div w:id="1487090883">
      <w:marLeft w:val="0"/>
      <w:marRight w:val="0"/>
      <w:marTop w:val="10"/>
      <w:marBottom w:val="10"/>
      <w:divBdr>
        <w:top w:val="none" w:sz="0" w:space="0" w:color="auto"/>
        <w:left w:val="none" w:sz="0" w:space="0" w:color="auto"/>
        <w:bottom w:val="none" w:sz="0" w:space="0" w:color="auto"/>
        <w:right w:val="none" w:sz="0" w:space="0" w:color="auto"/>
      </w:divBdr>
    </w:div>
    <w:div w:id="1497958612">
      <w:marLeft w:val="0"/>
      <w:marRight w:val="0"/>
      <w:marTop w:val="10"/>
      <w:marBottom w:val="10"/>
      <w:divBdr>
        <w:top w:val="none" w:sz="0" w:space="0" w:color="auto"/>
        <w:left w:val="none" w:sz="0" w:space="0" w:color="auto"/>
        <w:bottom w:val="none" w:sz="0" w:space="0" w:color="auto"/>
        <w:right w:val="none" w:sz="0" w:space="0" w:color="auto"/>
      </w:divBdr>
    </w:div>
    <w:div w:id="1536382878">
      <w:marLeft w:val="0"/>
      <w:marRight w:val="0"/>
      <w:marTop w:val="10"/>
      <w:marBottom w:val="10"/>
      <w:divBdr>
        <w:top w:val="none" w:sz="0" w:space="0" w:color="auto"/>
        <w:left w:val="none" w:sz="0" w:space="0" w:color="auto"/>
        <w:bottom w:val="none" w:sz="0" w:space="0" w:color="auto"/>
        <w:right w:val="none" w:sz="0" w:space="0" w:color="auto"/>
      </w:divBdr>
    </w:div>
    <w:div w:id="1674912947">
      <w:marLeft w:val="0"/>
      <w:marRight w:val="0"/>
      <w:marTop w:val="10"/>
      <w:marBottom w:val="10"/>
      <w:divBdr>
        <w:top w:val="none" w:sz="0" w:space="0" w:color="auto"/>
        <w:left w:val="none" w:sz="0" w:space="0" w:color="auto"/>
        <w:bottom w:val="none" w:sz="0" w:space="0" w:color="auto"/>
        <w:right w:val="none" w:sz="0" w:space="0" w:color="auto"/>
      </w:divBdr>
    </w:div>
    <w:div w:id="1746607952">
      <w:marLeft w:val="0"/>
      <w:marRight w:val="0"/>
      <w:marTop w:val="10"/>
      <w:marBottom w:val="10"/>
      <w:divBdr>
        <w:top w:val="none" w:sz="0" w:space="0" w:color="auto"/>
        <w:left w:val="none" w:sz="0" w:space="0" w:color="auto"/>
        <w:bottom w:val="none" w:sz="0" w:space="0" w:color="auto"/>
        <w:right w:val="none" w:sz="0" w:space="0" w:color="auto"/>
      </w:divBdr>
    </w:div>
    <w:div w:id="1841772587">
      <w:marLeft w:val="0"/>
      <w:marRight w:val="0"/>
      <w:marTop w:val="10"/>
      <w:marBottom w:val="10"/>
      <w:divBdr>
        <w:top w:val="none" w:sz="0" w:space="0" w:color="auto"/>
        <w:left w:val="none" w:sz="0" w:space="0" w:color="auto"/>
        <w:bottom w:val="none" w:sz="0" w:space="0" w:color="auto"/>
        <w:right w:val="none" w:sz="0" w:space="0" w:color="auto"/>
      </w:divBdr>
    </w:div>
    <w:div w:id="1854492446">
      <w:marLeft w:val="0"/>
      <w:marRight w:val="0"/>
      <w:marTop w:val="10"/>
      <w:marBottom w:val="10"/>
      <w:divBdr>
        <w:top w:val="none" w:sz="0" w:space="0" w:color="auto"/>
        <w:left w:val="none" w:sz="0" w:space="0" w:color="auto"/>
        <w:bottom w:val="none" w:sz="0" w:space="0" w:color="auto"/>
        <w:right w:val="none" w:sz="0" w:space="0" w:color="auto"/>
      </w:divBdr>
    </w:div>
    <w:div w:id="1948000727">
      <w:marLeft w:val="0"/>
      <w:marRight w:val="0"/>
      <w:marTop w:val="10"/>
      <w:marBottom w:val="10"/>
      <w:divBdr>
        <w:top w:val="none" w:sz="0" w:space="0" w:color="auto"/>
        <w:left w:val="none" w:sz="0" w:space="0" w:color="auto"/>
        <w:bottom w:val="none" w:sz="0" w:space="0" w:color="auto"/>
        <w:right w:val="none" w:sz="0" w:space="0" w:color="auto"/>
      </w:divBdr>
    </w:div>
    <w:div w:id="2036227231">
      <w:marLeft w:val="0"/>
      <w:marRight w:val="0"/>
      <w:marTop w:val="10"/>
      <w:marBottom w:val="10"/>
      <w:divBdr>
        <w:top w:val="none" w:sz="0" w:space="0" w:color="auto"/>
        <w:left w:val="none" w:sz="0" w:space="0" w:color="auto"/>
        <w:bottom w:val="none" w:sz="0" w:space="0" w:color="auto"/>
        <w:right w:val="none" w:sz="0" w:space="0" w:color="auto"/>
      </w:divBdr>
    </w:div>
    <w:div w:id="213189966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796</Words>
  <Characters>4539</Characters>
  <Application>Microsoft Office Word</Application>
  <DocSecurity>0</DocSecurity>
  <Lines>37</Lines>
  <Paragraphs>10</Paragraphs>
  <ScaleCrop>false</ScaleCrop>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2021-12-15T08:47:00Z</dcterms:created>
  <dcterms:modified xsi:type="dcterms:W3CDTF">2021-12-30T04:20:00Z</dcterms:modified>
</cp:coreProperties>
</file>