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E6A4A">
      <w:pPr>
        <w:spacing w:line="500" w:lineRule="atLeast"/>
        <w:jc w:val="center"/>
        <w:divId w:val="279262423"/>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0E6A4A">
      <w:pPr>
        <w:spacing w:line="500" w:lineRule="atLeast"/>
        <w:jc w:val="center"/>
        <w:divId w:val="11617701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E6A4A">
      <w:pPr>
        <w:spacing w:line="500" w:lineRule="atLeast"/>
        <w:jc w:val="right"/>
        <w:divId w:val="652949983"/>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13408</w:t>
      </w:r>
      <w:r>
        <w:rPr>
          <w:rFonts w:hint="eastAsia"/>
          <w:sz w:val="30"/>
          <w:szCs w:val="30"/>
        </w:rPr>
        <w:t>号</w:t>
      </w:r>
    </w:p>
    <w:p w:rsidR="00000000" w:rsidRDefault="000E6A4A">
      <w:pPr>
        <w:spacing w:line="500" w:lineRule="atLeast"/>
        <w:ind w:firstLine="600"/>
        <w:divId w:val="675770619"/>
        <w:rPr>
          <w:rFonts w:hint="eastAsia"/>
          <w:sz w:val="30"/>
          <w:szCs w:val="30"/>
        </w:rPr>
      </w:pPr>
      <w:r>
        <w:rPr>
          <w:rFonts w:hint="eastAsia"/>
          <w:sz w:val="30"/>
          <w:szCs w:val="30"/>
        </w:rPr>
        <w:t>上诉人（原审原告）：谭健儿，女，</w:t>
      </w:r>
      <w:r>
        <w:rPr>
          <w:rFonts w:hint="eastAsia"/>
          <w:sz w:val="30"/>
          <w:szCs w:val="30"/>
        </w:rPr>
        <w:t>1970</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日生，汉族，住广东省广州市荔湾区。</w:t>
      </w:r>
    </w:p>
    <w:p w:rsidR="00000000" w:rsidRDefault="000E6A4A">
      <w:pPr>
        <w:spacing w:line="500" w:lineRule="atLeast"/>
        <w:ind w:firstLine="600"/>
        <w:divId w:val="1847551913"/>
        <w:rPr>
          <w:rFonts w:hint="eastAsia"/>
          <w:sz w:val="30"/>
          <w:szCs w:val="30"/>
        </w:rPr>
      </w:pPr>
      <w:r>
        <w:rPr>
          <w:rFonts w:hint="eastAsia"/>
          <w:sz w:val="30"/>
          <w:szCs w:val="30"/>
        </w:rPr>
        <w:t>委托诉讼代理人：徐颐，上海市华诚律师事务所律师。</w:t>
      </w:r>
    </w:p>
    <w:p w:rsidR="00000000" w:rsidRDefault="000E6A4A">
      <w:pPr>
        <w:spacing w:line="500" w:lineRule="atLeast"/>
        <w:ind w:firstLine="600"/>
        <w:divId w:val="1624648392"/>
        <w:rPr>
          <w:rFonts w:hint="eastAsia"/>
          <w:sz w:val="30"/>
          <w:szCs w:val="30"/>
        </w:rPr>
      </w:pPr>
      <w:r>
        <w:rPr>
          <w:rFonts w:hint="eastAsia"/>
          <w:sz w:val="30"/>
          <w:szCs w:val="30"/>
        </w:rPr>
        <w:t>委托诉讼代理人：朱晶晶，上海市华诚律师事务所律师。</w:t>
      </w:r>
    </w:p>
    <w:p w:rsidR="00000000" w:rsidRDefault="000E6A4A">
      <w:pPr>
        <w:spacing w:line="500" w:lineRule="atLeast"/>
        <w:ind w:firstLine="600"/>
        <w:divId w:val="1554074721"/>
        <w:rPr>
          <w:rFonts w:hint="eastAsia"/>
          <w:sz w:val="30"/>
          <w:szCs w:val="30"/>
        </w:rPr>
      </w:pPr>
      <w:r>
        <w:rPr>
          <w:rFonts w:hint="eastAsia"/>
          <w:sz w:val="30"/>
          <w:szCs w:val="30"/>
        </w:rPr>
        <w:t>被上诉人（原审被告）：郑丹，女，</w:t>
      </w:r>
      <w:r>
        <w:rPr>
          <w:rFonts w:hint="eastAsia"/>
          <w:sz w:val="30"/>
          <w:szCs w:val="30"/>
        </w:rPr>
        <w:t>1976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日生，汉族，住上海市长宁区。</w:t>
      </w:r>
    </w:p>
    <w:p w:rsidR="00000000" w:rsidRDefault="000E6A4A">
      <w:pPr>
        <w:spacing w:line="500" w:lineRule="atLeast"/>
        <w:ind w:firstLine="600"/>
        <w:divId w:val="912354151"/>
        <w:rPr>
          <w:rFonts w:hint="eastAsia"/>
          <w:sz w:val="30"/>
          <w:szCs w:val="30"/>
        </w:rPr>
      </w:pPr>
      <w:r>
        <w:rPr>
          <w:rFonts w:hint="eastAsia"/>
          <w:sz w:val="30"/>
          <w:szCs w:val="30"/>
        </w:rPr>
        <w:t>被上诉人（原审被告）：王晓明，男，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日生，汉族，住上海市浦东新区。</w:t>
      </w:r>
    </w:p>
    <w:p w:rsidR="00000000" w:rsidRDefault="000E6A4A">
      <w:pPr>
        <w:spacing w:line="500" w:lineRule="atLeast"/>
        <w:ind w:firstLine="600"/>
        <w:divId w:val="16658009"/>
        <w:rPr>
          <w:rFonts w:hint="eastAsia"/>
          <w:sz w:val="30"/>
          <w:szCs w:val="30"/>
        </w:rPr>
      </w:pPr>
      <w:r>
        <w:rPr>
          <w:rFonts w:hint="eastAsia"/>
          <w:sz w:val="30"/>
          <w:szCs w:val="30"/>
        </w:rPr>
        <w:t>共同委托诉讼代理人：李莹晖，上海市光大律师事务所律师。</w:t>
      </w:r>
    </w:p>
    <w:p w:rsidR="00000000" w:rsidRDefault="000E6A4A">
      <w:pPr>
        <w:spacing w:line="500" w:lineRule="atLeast"/>
        <w:ind w:firstLine="600"/>
        <w:divId w:val="843083187"/>
        <w:rPr>
          <w:rFonts w:hint="eastAsia"/>
          <w:sz w:val="30"/>
          <w:szCs w:val="30"/>
        </w:rPr>
      </w:pPr>
      <w:r>
        <w:rPr>
          <w:rFonts w:hint="eastAsia"/>
          <w:sz w:val="30"/>
          <w:szCs w:val="30"/>
        </w:rPr>
        <w:t>共同委托诉讼代理人：许伊音，上海市光大律师事务所律师。</w:t>
      </w:r>
    </w:p>
    <w:p w:rsidR="00000000" w:rsidRDefault="000E6A4A">
      <w:pPr>
        <w:spacing w:line="500" w:lineRule="atLeast"/>
        <w:ind w:firstLine="600"/>
        <w:divId w:val="138765616"/>
        <w:rPr>
          <w:rFonts w:hint="eastAsia"/>
          <w:sz w:val="30"/>
          <w:szCs w:val="30"/>
        </w:rPr>
      </w:pPr>
      <w:r>
        <w:rPr>
          <w:rFonts w:hint="eastAsia"/>
          <w:sz w:val="30"/>
          <w:szCs w:val="30"/>
        </w:rPr>
        <w:t>被上诉人（原审被告）：上海印正企业管理中心（有限合伙），住所地上海市松江区石湖荡镇长塔路</w:t>
      </w:r>
      <w:r>
        <w:rPr>
          <w:rFonts w:hint="eastAsia"/>
          <w:sz w:val="30"/>
          <w:szCs w:val="30"/>
        </w:rPr>
        <w:t>775</w:t>
      </w:r>
      <w:r>
        <w:rPr>
          <w:rFonts w:hint="eastAsia"/>
          <w:sz w:val="30"/>
          <w:szCs w:val="30"/>
        </w:rPr>
        <w:t>弄</w:t>
      </w:r>
      <w:r>
        <w:rPr>
          <w:rFonts w:hint="eastAsia"/>
          <w:sz w:val="30"/>
          <w:szCs w:val="30"/>
        </w:rPr>
        <w:t>1-7</w:t>
      </w:r>
      <w:r>
        <w:rPr>
          <w:rFonts w:hint="eastAsia"/>
          <w:sz w:val="30"/>
          <w:szCs w:val="30"/>
        </w:rPr>
        <w:t>号</w:t>
      </w:r>
      <w:r>
        <w:rPr>
          <w:rFonts w:hint="eastAsia"/>
          <w:sz w:val="30"/>
          <w:szCs w:val="30"/>
        </w:rPr>
        <w:t>1</w:t>
      </w:r>
      <w:r>
        <w:rPr>
          <w:rFonts w:hint="eastAsia"/>
          <w:sz w:val="30"/>
          <w:szCs w:val="30"/>
        </w:rPr>
        <w:t>、</w:t>
      </w:r>
      <w:r>
        <w:rPr>
          <w:rFonts w:hint="eastAsia"/>
          <w:sz w:val="30"/>
          <w:szCs w:val="30"/>
        </w:rPr>
        <w:t>9</w:t>
      </w:r>
      <w:r>
        <w:rPr>
          <w:rFonts w:hint="eastAsia"/>
          <w:sz w:val="30"/>
          <w:szCs w:val="30"/>
        </w:rPr>
        <w:t>幢</w:t>
      </w:r>
      <w:r>
        <w:rPr>
          <w:rFonts w:hint="eastAsia"/>
          <w:sz w:val="30"/>
          <w:szCs w:val="30"/>
        </w:rPr>
        <w:t>3</w:t>
      </w:r>
      <w:r>
        <w:rPr>
          <w:rFonts w:hint="eastAsia"/>
          <w:sz w:val="30"/>
          <w:szCs w:val="30"/>
        </w:rPr>
        <w:t>楼</w:t>
      </w:r>
      <w:r>
        <w:rPr>
          <w:rFonts w:hint="eastAsia"/>
          <w:sz w:val="30"/>
          <w:szCs w:val="30"/>
        </w:rPr>
        <w:t>A-6</w:t>
      </w:r>
      <w:r>
        <w:rPr>
          <w:rFonts w:hint="eastAsia"/>
          <w:sz w:val="30"/>
          <w:szCs w:val="30"/>
        </w:rPr>
        <w:t>。</w:t>
      </w:r>
    </w:p>
    <w:p w:rsidR="00000000" w:rsidRDefault="000E6A4A">
      <w:pPr>
        <w:spacing w:line="500" w:lineRule="atLeast"/>
        <w:ind w:firstLine="600"/>
        <w:divId w:val="198472225"/>
        <w:rPr>
          <w:rFonts w:hint="eastAsia"/>
          <w:sz w:val="30"/>
          <w:szCs w:val="30"/>
        </w:rPr>
      </w:pPr>
      <w:r>
        <w:rPr>
          <w:rFonts w:hint="eastAsia"/>
          <w:sz w:val="30"/>
          <w:szCs w:val="30"/>
        </w:rPr>
        <w:t>执行事务合伙人：吴建。</w:t>
      </w:r>
    </w:p>
    <w:p w:rsidR="00000000" w:rsidRDefault="000E6A4A">
      <w:pPr>
        <w:spacing w:line="500" w:lineRule="atLeast"/>
        <w:ind w:firstLine="600"/>
        <w:divId w:val="11491169"/>
        <w:rPr>
          <w:rFonts w:hint="eastAsia"/>
          <w:sz w:val="30"/>
          <w:szCs w:val="30"/>
        </w:rPr>
      </w:pPr>
      <w:r>
        <w:rPr>
          <w:rFonts w:hint="eastAsia"/>
          <w:sz w:val="30"/>
          <w:szCs w:val="30"/>
        </w:rPr>
        <w:t>原审第三人：上海哲尚企业管理咨询有限公司，住所地上海市松江区石湖荡镇闵塔路</w:t>
      </w:r>
      <w:r>
        <w:rPr>
          <w:rFonts w:hint="eastAsia"/>
          <w:sz w:val="30"/>
          <w:szCs w:val="30"/>
        </w:rPr>
        <w:t>558</w:t>
      </w:r>
      <w:r>
        <w:rPr>
          <w:rFonts w:hint="eastAsia"/>
          <w:sz w:val="30"/>
          <w:szCs w:val="30"/>
        </w:rPr>
        <w:t>弄</w:t>
      </w:r>
      <w:r>
        <w:rPr>
          <w:rFonts w:hint="eastAsia"/>
          <w:sz w:val="30"/>
          <w:szCs w:val="30"/>
        </w:rPr>
        <w:t>1</w:t>
      </w:r>
      <w:r>
        <w:rPr>
          <w:rFonts w:hint="eastAsia"/>
          <w:sz w:val="30"/>
          <w:szCs w:val="30"/>
        </w:rPr>
        <w:t>号</w:t>
      </w:r>
      <w:r>
        <w:rPr>
          <w:rFonts w:hint="eastAsia"/>
          <w:sz w:val="30"/>
          <w:szCs w:val="30"/>
        </w:rPr>
        <w:t>322</w:t>
      </w:r>
      <w:r>
        <w:rPr>
          <w:rFonts w:hint="eastAsia"/>
          <w:sz w:val="30"/>
          <w:szCs w:val="30"/>
        </w:rPr>
        <w:t>室。</w:t>
      </w:r>
    </w:p>
    <w:p w:rsidR="00000000" w:rsidRDefault="000E6A4A">
      <w:pPr>
        <w:spacing w:line="500" w:lineRule="atLeast"/>
        <w:ind w:firstLine="600"/>
        <w:divId w:val="1307314655"/>
        <w:rPr>
          <w:rFonts w:hint="eastAsia"/>
          <w:sz w:val="30"/>
          <w:szCs w:val="30"/>
        </w:rPr>
      </w:pPr>
      <w:r>
        <w:rPr>
          <w:rFonts w:hint="eastAsia"/>
          <w:sz w:val="30"/>
          <w:szCs w:val="30"/>
        </w:rPr>
        <w:t>法定代表人：王强，总经理。</w:t>
      </w:r>
    </w:p>
    <w:p w:rsidR="00000000" w:rsidRDefault="000E6A4A">
      <w:pPr>
        <w:spacing w:line="500" w:lineRule="atLeast"/>
        <w:ind w:firstLine="600"/>
        <w:divId w:val="693384203"/>
        <w:rPr>
          <w:rFonts w:hint="eastAsia"/>
          <w:sz w:val="30"/>
          <w:szCs w:val="30"/>
        </w:rPr>
      </w:pPr>
      <w:r>
        <w:rPr>
          <w:rFonts w:hint="eastAsia"/>
          <w:sz w:val="30"/>
          <w:szCs w:val="30"/>
        </w:rPr>
        <w:t>上诉人谭健儿因与被上诉人郑丹、王晓明、上海印正企业管理中心（有限合伙）（以下简称印正中心）及原审第三人上海哲尚企业管理咨询有限公司（以下简称哲尚公司）损害公司利益责任纠纷一案，不服</w:t>
      </w:r>
      <w:r>
        <w:rPr>
          <w:rFonts w:hint="eastAsia"/>
          <w:sz w:val="30"/>
          <w:szCs w:val="30"/>
        </w:rPr>
        <w:t>上海市松江区人民法院（</w:t>
      </w:r>
      <w:r>
        <w:rPr>
          <w:rFonts w:hint="eastAsia"/>
          <w:sz w:val="30"/>
          <w:szCs w:val="30"/>
        </w:rPr>
        <w:t>2016</w:t>
      </w:r>
      <w:r>
        <w:rPr>
          <w:rFonts w:hint="eastAsia"/>
          <w:sz w:val="30"/>
          <w:szCs w:val="30"/>
        </w:rPr>
        <w:t>）沪</w:t>
      </w:r>
      <w:r>
        <w:rPr>
          <w:rFonts w:hint="eastAsia"/>
          <w:sz w:val="30"/>
          <w:szCs w:val="30"/>
        </w:rPr>
        <w:t>0117</w:t>
      </w:r>
      <w:r>
        <w:rPr>
          <w:rFonts w:hint="eastAsia"/>
          <w:sz w:val="30"/>
          <w:szCs w:val="30"/>
        </w:rPr>
        <w:t>民初</w:t>
      </w:r>
      <w:r>
        <w:rPr>
          <w:rFonts w:hint="eastAsia"/>
          <w:sz w:val="30"/>
          <w:szCs w:val="30"/>
        </w:rPr>
        <w:t>20217</w:t>
      </w:r>
      <w:r>
        <w:rPr>
          <w:rFonts w:hint="eastAsia"/>
          <w:sz w:val="30"/>
          <w:szCs w:val="30"/>
        </w:rPr>
        <w:t>号民事判决，向本院提起上诉。本院于</w:t>
      </w:r>
      <w:r>
        <w:rPr>
          <w:rFonts w:hint="eastAsia"/>
          <w:sz w:val="30"/>
          <w:szCs w:val="30"/>
        </w:rPr>
        <w:t>2017</w:t>
      </w:r>
      <w:r>
        <w:rPr>
          <w:rFonts w:hint="eastAsia"/>
          <w:sz w:val="30"/>
          <w:szCs w:val="30"/>
        </w:rPr>
        <w:lastRenderedPageBreak/>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日立案受理后，依法组成合议庭开庭进行了审理。谭健儿的委托诉讼代理人徐颐律师、朱晶晶律师，郑丹、王晓明的共同委托诉讼代理人李莹晖律师均到庭参加诉讼。本案现已审理终结。</w:t>
      </w:r>
    </w:p>
    <w:p w:rsidR="00000000" w:rsidRDefault="000E6A4A">
      <w:pPr>
        <w:spacing w:line="500" w:lineRule="atLeast"/>
        <w:ind w:firstLine="600"/>
        <w:divId w:val="770973839"/>
        <w:rPr>
          <w:rFonts w:hint="eastAsia"/>
          <w:sz w:val="30"/>
          <w:szCs w:val="30"/>
        </w:rPr>
      </w:pPr>
      <w:r>
        <w:rPr>
          <w:rFonts w:hint="eastAsia"/>
          <w:sz w:val="30"/>
          <w:szCs w:val="30"/>
        </w:rPr>
        <w:t>谭健儿上诉请求：依法撤销一审判决，发回重审或改判支持谭健儿一审全部诉讼请求。事实和理由：郑丹、王晓明具有哲尚公司的高管及董事身份，其实施了违反忠实勤勉义务的行为，一审法院仅对部分事实进行了认定；一审判决未对哲尚公司的亏损、歇业以及公司办公</w:t>
      </w:r>
      <w:r>
        <w:rPr>
          <w:rFonts w:hint="eastAsia"/>
          <w:sz w:val="30"/>
          <w:szCs w:val="30"/>
        </w:rPr>
        <w:t>设备、资产、业务、人员、财务资料的去向等重要事实进行查明和认定；谭健儿已经举证证明哲尚公司的亏损与郑丹、王晓明违反忠实勤勉义务经营印正中心存在直接关联；本案的举证责任应当在于郑丹、王晓明；一审法院未依法裁定证据保全，未对哲尚公司的诉讼代表人及诉讼代理人的资格进行审查。一审判决认定事实不清，适用法律错误，违反法定程序，应予纠正。</w:t>
      </w:r>
    </w:p>
    <w:p w:rsidR="00000000" w:rsidRDefault="000E6A4A">
      <w:pPr>
        <w:spacing w:line="500" w:lineRule="atLeast"/>
        <w:ind w:firstLine="600"/>
        <w:divId w:val="745612809"/>
        <w:rPr>
          <w:rFonts w:hint="eastAsia"/>
          <w:sz w:val="30"/>
          <w:szCs w:val="30"/>
        </w:rPr>
      </w:pPr>
      <w:r>
        <w:rPr>
          <w:rFonts w:hint="eastAsia"/>
          <w:sz w:val="30"/>
          <w:szCs w:val="30"/>
        </w:rPr>
        <w:t>郑丹、王晓明共同辩称，印正中心的部分经营范围与哲尚公司一致，印正中心没有以不正当的方式谋取属于哲尚公司的商业机会和利益，且印正中心一直处于亏损状态，郑丹、王晓明与哲尚公司不存在利益冲</w:t>
      </w:r>
      <w:r>
        <w:rPr>
          <w:rFonts w:hint="eastAsia"/>
          <w:sz w:val="30"/>
          <w:szCs w:val="30"/>
        </w:rPr>
        <w:t>突，代理人资格没有问题。谭健儿的上诉事由缺乏事实依据，故请求依法驳回上诉，维持原判。</w:t>
      </w:r>
    </w:p>
    <w:p w:rsidR="00000000" w:rsidRDefault="000E6A4A">
      <w:pPr>
        <w:spacing w:line="500" w:lineRule="atLeast"/>
        <w:ind w:firstLine="600"/>
        <w:divId w:val="677779437"/>
        <w:rPr>
          <w:rFonts w:hint="eastAsia"/>
          <w:sz w:val="30"/>
          <w:szCs w:val="30"/>
        </w:rPr>
      </w:pPr>
      <w:r>
        <w:rPr>
          <w:rFonts w:hint="eastAsia"/>
          <w:sz w:val="30"/>
          <w:szCs w:val="30"/>
        </w:rPr>
        <w:t>哲尚公司、印正中心未作答辩。</w:t>
      </w:r>
    </w:p>
    <w:p w:rsidR="00000000" w:rsidRDefault="000E6A4A">
      <w:pPr>
        <w:spacing w:line="500" w:lineRule="atLeast"/>
        <w:ind w:firstLine="600"/>
        <w:divId w:val="1950315652"/>
        <w:rPr>
          <w:rFonts w:hint="eastAsia"/>
          <w:sz w:val="30"/>
          <w:szCs w:val="30"/>
        </w:rPr>
      </w:pPr>
      <w:r>
        <w:rPr>
          <w:rFonts w:hint="eastAsia"/>
          <w:sz w:val="30"/>
          <w:szCs w:val="30"/>
        </w:rPr>
        <w:t>谭健儿向一审法院起诉请求：</w:t>
      </w:r>
      <w:r>
        <w:rPr>
          <w:rFonts w:hint="eastAsia"/>
          <w:sz w:val="30"/>
          <w:szCs w:val="30"/>
        </w:rPr>
        <w:t>1</w:t>
      </w:r>
      <w:r>
        <w:rPr>
          <w:rFonts w:hint="eastAsia"/>
          <w:sz w:val="30"/>
          <w:szCs w:val="30"/>
        </w:rPr>
        <w:t>、郑丹、王晓明、印正中心停止实施损害哲尚公司利益的行为；</w:t>
      </w:r>
      <w:r>
        <w:rPr>
          <w:rFonts w:hint="eastAsia"/>
          <w:sz w:val="30"/>
          <w:szCs w:val="30"/>
        </w:rPr>
        <w:t>2</w:t>
      </w:r>
      <w:r>
        <w:rPr>
          <w:rFonts w:hint="eastAsia"/>
          <w:sz w:val="30"/>
          <w:szCs w:val="30"/>
        </w:rPr>
        <w:t>、郑丹、王晓明、印正中心连带赔偿哲尚公司价款暂计为人民币</w:t>
      </w:r>
      <w:r>
        <w:rPr>
          <w:rFonts w:hint="eastAsia"/>
          <w:sz w:val="30"/>
          <w:szCs w:val="30"/>
        </w:rPr>
        <w:t>6,359,639.86</w:t>
      </w:r>
      <w:r>
        <w:rPr>
          <w:rFonts w:hint="eastAsia"/>
          <w:sz w:val="30"/>
          <w:szCs w:val="30"/>
        </w:rPr>
        <w:t>元（自</w:t>
      </w:r>
      <w:r>
        <w:rPr>
          <w:rFonts w:hint="eastAsia"/>
          <w:sz w:val="30"/>
          <w:szCs w:val="30"/>
        </w:rPr>
        <w:t>2014</w:t>
      </w:r>
      <w:r>
        <w:rPr>
          <w:rFonts w:hint="eastAsia"/>
          <w:sz w:val="30"/>
          <w:szCs w:val="30"/>
        </w:rPr>
        <w:t>年</w:t>
      </w:r>
      <w:r>
        <w:rPr>
          <w:rFonts w:hint="eastAsia"/>
          <w:sz w:val="30"/>
          <w:szCs w:val="30"/>
        </w:rPr>
        <w:t>8</w:t>
      </w:r>
      <w:r>
        <w:rPr>
          <w:rFonts w:hint="eastAsia"/>
          <w:sz w:val="30"/>
          <w:szCs w:val="30"/>
        </w:rPr>
        <w:t>月份起算，以下币种同）。</w:t>
      </w:r>
    </w:p>
    <w:p w:rsidR="00000000" w:rsidRDefault="000E6A4A">
      <w:pPr>
        <w:spacing w:line="500" w:lineRule="atLeast"/>
        <w:ind w:firstLine="600"/>
        <w:divId w:val="604266459"/>
        <w:rPr>
          <w:rFonts w:hint="eastAsia"/>
          <w:sz w:val="30"/>
          <w:szCs w:val="30"/>
        </w:rPr>
      </w:pPr>
      <w:r>
        <w:rPr>
          <w:rFonts w:hint="eastAsia"/>
          <w:sz w:val="30"/>
          <w:szCs w:val="30"/>
        </w:rPr>
        <w:t>一审法院认定事实：哲尚公司成立于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日，登记的股东为郑丹、王晓明、谭健儿、李某，执行董事为郑丹，</w:t>
      </w:r>
      <w:r>
        <w:rPr>
          <w:rFonts w:hint="eastAsia"/>
          <w:sz w:val="30"/>
          <w:szCs w:val="30"/>
        </w:rPr>
        <w:lastRenderedPageBreak/>
        <w:t>监事为李某，经营范围为企业管理咨询、商务咨询（除经纪）、企业形象策划、市场信心</w:t>
      </w:r>
      <w:r>
        <w:rPr>
          <w:rFonts w:hint="eastAsia"/>
          <w:sz w:val="30"/>
          <w:szCs w:val="30"/>
        </w:rPr>
        <w:t>咨询与调查、会务服务，哲尚公司章程的第十四条记载公司不设董事会，设一名执行董事。哲尚公司成立之初，谭健儿与郑丹、王晓明曾签订董事会行为</w:t>
      </w:r>
      <w:r>
        <w:rPr>
          <w:rFonts w:hint="eastAsia"/>
          <w:sz w:val="30"/>
          <w:szCs w:val="30"/>
        </w:rPr>
        <w:t>1</w:t>
      </w:r>
      <w:r>
        <w:rPr>
          <w:rFonts w:hint="eastAsia"/>
          <w:sz w:val="30"/>
          <w:szCs w:val="30"/>
        </w:rPr>
        <w:t>份，记载董事会分工为郑丹（对外公共关系处理、对内督导、对日常财务管理的监督和超预算外开支的审批权）、谭健儿（首席导师和导师资源整合包括现有课程导师安排和导师学徒培养计划）、王晓明（运营指导和经营层管理），经营层向董事管理层汇报顺序：第一汇报人王晓明，第二汇报人郑丹，第三汇报人谭健儿，并对董事会职权、投票规则等进行了记载。</w:t>
      </w:r>
      <w:r>
        <w:rPr>
          <w:rFonts w:hint="eastAsia"/>
          <w:sz w:val="30"/>
          <w:szCs w:val="30"/>
        </w:rPr>
        <w:t>2014</w:t>
      </w:r>
      <w:r>
        <w:rPr>
          <w:rFonts w:hint="eastAsia"/>
          <w:sz w:val="30"/>
          <w:szCs w:val="30"/>
        </w:rPr>
        <w:t>年</w:t>
      </w:r>
      <w:r>
        <w:rPr>
          <w:rFonts w:hint="eastAsia"/>
          <w:sz w:val="30"/>
          <w:szCs w:val="30"/>
        </w:rPr>
        <w:t>8</w:t>
      </w:r>
      <w:r>
        <w:rPr>
          <w:rFonts w:hint="eastAsia"/>
          <w:sz w:val="30"/>
          <w:szCs w:val="30"/>
        </w:rPr>
        <w:t>月后，谭健儿从哲尚公司离职。哲尚公司</w:t>
      </w:r>
      <w:r>
        <w:rPr>
          <w:rFonts w:hint="eastAsia"/>
          <w:sz w:val="30"/>
          <w:szCs w:val="30"/>
        </w:rPr>
        <w:t>201</w:t>
      </w:r>
      <w:r>
        <w:rPr>
          <w:rFonts w:hint="eastAsia"/>
          <w:sz w:val="30"/>
          <w:szCs w:val="30"/>
        </w:rPr>
        <w:t>3</w:t>
      </w:r>
      <w:r>
        <w:rPr>
          <w:rFonts w:hint="eastAsia"/>
          <w:sz w:val="30"/>
          <w:szCs w:val="30"/>
        </w:rPr>
        <w:t>年度报告显示，其网址为</w:t>
      </w:r>
      <w:r>
        <w:rPr>
          <w:rFonts w:hint="eastAsia"/>
          <w:sz w:val="30"/>
          <w:szCs w:val="30"/>
        </w:rPr>
        <w:t>www.sagion.cn</w:t>
      </w:r>
      <w:r>
        <w:rPr>
          <w:rFonts w:hint="eastAsia"/>
          <w:sz w:val="30"/>
          <w:szCs w:val="30"/>
        </w:rPr>
        <w:t>；</w:t>
      </w:r>
      <w:r>
        <w:rPr>
          <w:rFonts w:hint="eastAsia"/>
          <w:sz w:val="30"/>
          <w:szCs w:val="30"/>
        </w:rPr>
        <w:t>2014</w:t>
      </w:r>
      <w:r>
        <w:rPr>
          <w:rFonts w:hint="eastAsia"/>
          <w:sz w:val="30"/>
          <w:szCs w:val="30"/>
        </w:rPr>
        <w:t>年度报告显示，其通信地址为徐汇区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号楼</w:t>
      </w:r>
      <w:r>
        <w:rPr>
          <w:rFonts w:hint="eastAsia"/>
          <w:sz w:val="30"/>
          <w:szCs w:val="30"/>
        </w:rPr>
        <w:t>XX</w:t>
      </w:r>
      <w:r>
        <w:rPr>
          <w:rFonts w:hint="eastAsia"/>
          <w:sz w:val="30"/>
          <w:szCs w:val="30"/>
        </w:rPr>
        <w:t>室，企业联系电话为</w:t>
      </w:r>
      <w:r>
        <w:rPr>
          <w:rFonts w:hint="eastAsia"/>
          <w:sz w:val="30"/>
          <w:szCs w:val="30"/>
        </w:rPr>
        <w:t>021XXXXXXX</w:t>
      </w:r>
      <w:r>
        <w:rPr>
          <w:rFonts w:hint="eastAsia"/>
          <w:sz w:val="30"/>
          <w:szCs w:val="30"/>
        </w:rPr>
        <w:t>，企业电子邮箱为</w:t>
      </w:r>
      <w:r>
        <w:rPr>
          <w:rFonts w:hint="eastAsia"/>
          <w:sz w:val="30"/>
          <w:szCs w:val="30"/>
        </w:rPr>
        <w:t>XX</w:t>
      </w:r>
      <w:r>
        <w:rPr>
          <w:rFonts w:hint="eastAsia"/>
          <w:sz w:val="30"/>
          <w:szCs w:val="30"/>
        </w:rPr>
        <w:t>＠</w:t>
      </w:r>
      <w:r>
        <w:rPr>
          <w:rFonts w:hint="eastAsia"/>
          <w:sz w:val="30"/>
          <w:szCs w:val="30"/>
        </w:rPr>
        <w:t>sagion.cn</w:t>
      </w:r>
      <w:r>
        <w:rPr>
          <w:rFonts w:hint="eastAsia"/>
          <w:sz w:val="30"/>
          <w:szCs w:val="30"/>
        </w:rPr>
        <w:t>；</w:t>
      </w:r>
      <w:r>
        <w:rPr>
          <w:rFonts w:hint="eastAsia"/>
          <w:sz w:val="30"/>
          <w:szCs w:val="30"/>
        </w:rPr>
        <w:t>2015</w:t>
      </w:r>
      <w:r>
        <w:rPr>
          <w:rFonts w:hint="eastAsia"/>
          <w:sz w:val="30"/>
          <w:szCs w:val="30"/>
        </w:rPr>
        <w:t>年度报告显示，其通信地址为松江区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号</w:t>
      </w:r>
      <w:r>
        <w:rPr>
          <w:rFonts w:hint="eastAsia"/>
          <w:sz w:val="30"/>
          <w:szCs w:val="30"/>
        </w:rPr>
        <w:t>XX</w:t>
      </w:r>
      <w:r>
        <w:rPr>
          <w:rFonts w:hint="eastAsia"/>
          <w:sz w:val="30"/>
          <w:szCs w:val="30"/>
        </w:rPr>
        <w:t>号楼</w:t>
      </w:r>
      <w:r>
        <w:rPr>
          <w:rFonts w:hint="eastAsia"/>
          <w:sz w:val="30"/>
          <w:szCs w:val="30"/>
        </w:rPr>
        <w:t>XX</w:t>
      </w:r>
      <w:r>
        <w:rPr>
          <w:rFonts w:hint="eastAsia"/>
          <w:sz w:val="30"/>
          <w:szCs w:val="30"/>
        </w:rPr>
        <w:t>楼，企业联系电话为</w:t>
      </w:r>
      <w:r>
        <w:rPr>
          <w:rFonts w:hint="eastAsia"/>
          <w:sz w:val="30"/>
          <w:szCs w:val="30"/>
        </w:rPr>
        <w:t>021XXXXXXXXXX</w:t>
      </w:r>
      <w:r>
        <w:rPr>
          <w:rFonts w:hint="eastAsia"/>
          <w:sz w:val="30"/>
          <w:szCs w:val="30"/>
        </w:rPr>
        <w:t>，企业电子邮箱为</w:t>
      </w:r>
      <w:r>
        <w:rPr>
          <w:rFonts w:hint="eastAsia"/>
          <w:sz w:val="30"/>
          <w:szCs w:val="30"/>
        </w:rPr>
        <w:t>XX</w:t>
      </w:r>
      <w:r>
        <w:rPr>
          <w:rFonts w:hint="eastAsia"/>
          <w:sz w:val="30"/>
          <w:szCs w:val="30"/>
        </w:rPr>
        <w:t>＠</w:t>
      </w:r>
      <w:r>
        <w:rPr>
          <w:rFonts w:hint="eastAsia"/>
          <w:sz w:val="30"/>
          <w:szCs w:val="30"/>
        </w:rPr>
        <w:t>sagion.cn</w:t>
      </w:r>
      <w:r>
        <w:rPr>
          <w:rFonts w:hint="eastAsia"/>
          <w:sz w:val="30"/>
          <w:szCs w:val="30"/>
        </w:rPr>
        <w:t>；</w:t>
      </w:r>
      <w:r>
        <w:rPr>
          <w:rFonts w:hint="eastAsia"/>
          <w:sz w:val="30"/>
          <w:szCs w:val="30"/>
        </w:rPr>
        <w:t>2016</w:t>
      </w:r>
      <w:r>
        <w:rPr>
          <w:rFonts w:hint="eastAsia"/>
          <w:sz w:val="30"/>
          <w:szCs w:val="30"/>
        </w:rPr>
        <w:t>年度报告显示，企业联系电话为</w:t>
      </w:r>
      <w:r>
        <w:rPr>
          <w:rFonts w:hint="eastAsia"/>
          <w:sz w:val="30"/>
          <w:szCs w:val="30"/>
        </w:rPr>
        <w:t>1391730XXXX</w:t>
      </w:r>
      <w:r>
        <w:rPr>
          <w:rFonts w:hint="eastAsia"/>
          <w:sz w:val="30"/>
          <w:szCs w:val="30"/>
        </w:rPr>
        <w:t>，企业通信地址处为空白，企业电子邮箱记载为无。</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日，哲尚公司登记的法定代表人及经理均由郑</w:t>
      </w:r>
      <w:r>
        <w:rPr>
          <w:rFonts w:hint="eastAsia"/>
          <w:sz w:val="30"/>
          <w:szCs w:val="30"/>
        </w:rPr>
        <w:t>丹变更为王强。</w:t>
      </w:r>
    </w:p>
    <w:p w:rsidR="00000000" w:rsidRDefault="000E6A4A">
      <w:pPr>
        <w:spacing w:line="500" w:lineRule="atLeast"/>
        <w:ind w:firstLine="600"/>
        <w:divId w:val="108159422"/>
        <w:rPr>
          <w:rFonts w:hint="eastAsia"/>
          <w:sz w:val="30"/>
          <w:szCs w:val="30"/>
        </w:rPr>
      </w:pPr>
      <w:r>
        <w:rPr>
          <w:rFonts w:hint="eastAsia"/>
          <w:sz w:val="30"/>
          <w:szCs w:val="30"/>
        </w:rPr>
        <w:t>印正中心成立于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日，原登记合伙人为郑丹和王晓明，经营范围为企业管理咨询、投资管理、投资咨询、商务信息咨询、企业形象策划、会务服务、财务咨询、市场信心与调查、文化艺术活动交流策划、教育投资。</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日，印正中心合伙人由郑丹、王晓明变更登记为吴建、王强，执行事务合伙人由郑丹变更登记为吴建。印正中心</w:t>
      </w:r>
      <w:r>
        <w:rPr>
          <w:rFonts w:hint="eastAsia"/>
          <w:sz w:val="30"/>
          <w:szCs w:val="30"/>
        </w:rPr>
        <w:t>2014</w:t>
      </w:r>
      <w:r>
        <w:rPr>
          <w:rFonts w:hint="eastAsia"/>
          <w:sz w:val="30"/>
          <w:szCs w:val="30"/>
        </w:rPr>
        <w:t>年度报告显示，其通信地址为松江区</w:t>
      </w:r>
      <w:r>
        <w:rPr>
          <w:rFonts w:hint="eastAsia"/>
          <w:sz w:val="30"/>
          <w:szCs w:val="30"/>
        </w:rPr>
        <w:t>XX</w:t>
      </w:r>
      <w:r>
        <w:rPr>
          <w:rFonts w:hint="eastAsia"/>
          <w:sz w:val="30"/>
          <w:szCs w:val="30"/>
        </w:rPr>
        <w:t>镇</w:t>
      </w:r>
      <w:r>
        <w:rPr>
          <w:rFonts w:hint="eastAsia"/>
          <w:sz w:val="30"/>
          <w:szCs w:val="30"/>
        </w:rPr>
        <w:t>XX</w:t>
      </w:r>
      <w:r>
        <w:rPr>
          <w:rFonts w:hint="eastAsia"/>
          <w:sz w:val="30"/>
          <w:szCs w:val="30"/>
        </w:rPr>
        <w:t>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w:t>
      </w:r>
      <w:r>
        <w:rPr>
          <w:rFonts w:hint="eastAsia"/>
          <w:sz w:val="30"/>
          <w:szCs w:val="30"/>
        </w:rPr>
        <w:t>XX</w:t>
      </w:r>
      <w:r>
        <w:rPr>
          <w:rFonts w:hint="eastAsia"/>
          <w:sz w:val="30"/>
          <w:szCs w:val="30"/>
        </w:rPr>
        <w:t>、</w:t>
      </w:r>
      <w:r>
        <w:rPr>
          <w:rFonts w:hint="eastAsia"/>
          <w:sz w:val="30"/>
          <w:szCs w:val="30"/>
        </w:rPr>
        <w:t>XX</w:t>
      </w:r>
      <w:r>
        <w:rPr>
          <w:rFonts w:hint="eastAsia"/>
          <w:sz w:val="30"/>
          <w:szCs w:val="30"/>
        </w:rPr>
        <w:t>幢</w:t>
      </w:r>
      <w:r>
        <w:rPr>
          <w:rFonts w:hint="eastAsia"/>
          <w:sz w:val="30"/>
          <w:szCs w:val="30"/>
        </w:rPr>
        <w:t>XX</w:t>
      </w:r>
      <w:r>
        <w:rPr>
          <w:rFonts w:hint="eastAsia"/>
          <w:sz w:val="30"/>
          <w:szCs w:val="30"/>
        </w:rPr>
        <w:t>楼</w:t>
      </w:r>
      <w:r>
        <w:rPr>
          <w:rFonts w:hint="eastAsia"/>
          <w:sz w:val="30"/>
          <w:szCs w:val="30"/>
        </w:rPr>
        <w:t>XX</w:t>
      </w:r>
      <w:r>
        <w:rPr>
          <w:rFonts w:hint="eastAsia"/>
          <w:sz w:val="30"/>
          <w:szCs w:val="30"/>
        </w:rPr>
        <w:t>，企业联系电话为</w:t>
      </w:r>
      <w:r>
        <w:rPr>
          <w:rFonts w:hint="eastAsia"/>
          <w:sz w:val="30"/>
          <w:szCs w:val="30"/>
        </w:rPr>
        <w:t>021XXXXXXXX</w:t>
      </w:r>
      <w:r>
        <w:rPr>
          <w:rFonts w:hint="eastAsia"/>
          <w:sz w:val="30"/>
          <w:szCs w:val="30"/>
        </w:rPr>
        <w:t>，企业电子邮箱为</w:t>
      </w:r>
      <w:r>
        <w:rPr>
          <w:rFonts w:hint="eastAsia"/>
          <w:sz w:val="30"/>
          <w:szCs w:val="30"/>
        </w:rPr>
        <w:t>XX</w:t>
      </w:r>
      <w:r>
        <w:rPr>
          <w:rFonts w:hint="eastAsia"/>
          <w:sz w:val="30"/>
          <w:szCs w:val="30"/>
        </w:rPr>
        <w:t>＠</w:t>
      </w:r>
      <w:r>
        <w:rPr>
          <w:rFonts w:hint="eastAsia"/>
          <w:sz w:val="30"/>
          <w:szCs w:val="30"/>
        </w:rPr>
        <w:t>qq.com</w:t>
      </w:r>
      <w:r>
        <w:rPr>
          <w:rFonts w:hint="eastAsia"/>
          <w:sz w:val="30"/>
          <w:szCs w:val="30"/>
        </w:rPr>
        <w:t>；</w:t>
      </w:r>
      <w:r>
        <w:rPr>
          <w:rFonts w:hint="eastAsia"/>
          <w:sz w:val="30"/>
          <w:szCs w:val="30"/>
        </w:rPr>
        <w:t>2015</w:t>
      </w:r>
      <w:r>
        <w:rPr>
          <w:rFonts w:hint="eastAsia"/>
          <w:sz w:val="30"/>
          <w:szCs w:val="30"/>
        </w:rPr>
        <w:t>年度报</w:t>
      </w:r>
      <w:r>
        <w:rPr>
          <w:rFonts w:hint="eastAsia"/>
          <w:sz w:val="30"/>
          <w:szCs w:val="30"/>
        </w:rPr>
        <w:t>告显示，其通信地址为松江区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号</w:t>
      </w:r>
      <w:r>
        <w:rPr>
          <w:rFonts w:hint="eastAsia"/>
          <w:sz w:val="30"/>
          <w:szCs w:val="30"/>
        </w:rPr>
        <w:t>XX</w:t>
      </w:r>
      <w:r>
        <w:rPr>
          <w:rFonts w:hint="eastAsia"/>
          <w:sz w:val="30"/>
          <w:szCs w:val="30"/>
        </w:rPr>
        <w:t>号楼</w:t>
      </w:r>
      <w:r>
        <w:rPr>
          <w:rFonts w:hint="eastAsia"/>
          <w:sz w:val="30"/>
          <w:szCs w:val="30"/>
        </w:rPr>
        <w:t>XX</w:t>
      </w:r>
      <w:r>
        <w:rPr>
          <w:rFonts w:hint="eastAsia"/>
          <w:sz w:val="30"/>
          <w:szCs w:val="30"/>
        </w:rPr>
        <w:t>楼，企业联系电话为</w:t>
      </w:r>
      <w:r>
        <w:rPr>
          <w:rFonts w:hint="eastAsia"/>
          <w:sz w:val="30"/>
          <w:szCs w:val="30"/>
        </w:rPr>
        <w:t>021XXXXXXXX</w:t>
      </w:r>
      <w:r>
        <w:rPr>
          <w:rFonts w:hint="eastAsia"/>
          <w:sz w:val="30"/>
          <w:szCs w:val="30"/>
        </w:rPr>
        <w:t>，企业电子邮箱为</w:t>
      </w:r>
      <w:r>
        <w:rPr>
          <w:rFonts w:hint="eastAsia"/>
          <w:sz w:val="30"/>
          <w:szCs w:val="30"/>
        </w:rPr>
        <w:t>XX</w:t>
      </w:r>
      <w:r>
        <w:rPr>
          <w:rFonts w:hint="eastAsia"/>
          <w:sz w:val="30"/>
          <w:szCs w:val="30"/>
        </w:rPr>
        <w:t>＠</w:t>
      </w:r>
      <w:r>
        <w:rPr>
          <w:rFonts w:hint="eastAsia"/>
          <w:sz w:val="30"/>
          <w:szCs w:val="30"/>
        </w:rPr>
        <w:t>yzhuman.cn</w:t>
      </w:r>
      <w:r>
        <w:rPr>
          <w:rFonts w:hint="eastAsia"/>
          <w:sz w:val="30"/>
          <w:szCs w:val="30"/>
        </w:rPr>
        <w:t>；</w:t>
      </w:r>
      <w:r>
        <w:rPr>
          <w:rFonts w:hint="eastAsia"/>
          <w:sz w:val="30"/>
          <w:szCs w:val="30"/>
        </w:rPr>
        <w:t>2016</w:t>
      </w:r>
      <w:r>
        <w:rPr>
          <w:rFonts w:hint="eastAsia"/>
          <w:sz w:val="30"/>
          <w:szCs w:val="30"/>
        </w:rPr>
        <w:t>年度报告显示，企业联系电话为</w:t>
      </w:r>
      <w:r>
        <w:rPr>
          <w:rFonts w:hint="eastAsia"/>
          <w:sz w:val="30"/>
          <w:szCs w:val="30"/>
        </w:rPr>
        <w:t>1391790XXXX</w:t>
      </w:r>
      <w:r>
        <w:rPr>
          <w:rFonts w:hint="eastAsia"/>
          <w:sz w:val="30"/>
          <w:szCs w:val="30"/>
        </w:rPr>
        <w:t>，企业电子邮箱为</w:t>
      </w:r>
      <w:r>
        <w:rPr>
          <w:rFonts w:hint="eastAsia"/>
          <w:sz w:val="30"/>
          <w:szCs w:val="30"/>
        </w:rPr>
        <w:t>XX</w:t>
      </w:r>
      <w:r>
        <w:rPr>
          <w:rFonts w:hint="eastAsia"/>
          <w:sz w:val="30"/>
          <w:szCs w:val="30"/>
        </w:rPr>
        <w:t>＠</w:t>
      </w:r>
      <w:r>
        <w:rPr>
          <w:rFonts w:hint="eastAsia"/>
          <w:sz w:val="30"/>
          <w:szCs w:val="30"/>
        </w:rPr>
        <w:t>yzhuman.cn</w:t>
      </w:r>
      <w:r>
        <w:rPr>
          <w:rFonts w:hint="eastAsia"/>
          <w:sz w:val="30"/>
          <w:szCs w:val="30"/>
        </w:rPr>
        <w:t>，企业通信地址处为空白。</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日，印正中心申请“哲品尚行”的注册商标图像，于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日申请完成，且专用期限为</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2026</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日，商品服务列表包含广告、企业管理和组织咨询、商业管理顾问等，类似群为</w:t>
      </w:r>
      <w:r>
        <w:rPr>
          <w:rFonts w:hint="eastAsia"/>
          <w:sz w:val="30"/>
          <w:szCs w:val="30"/>
        </w:rPr>
        <w:t>3501-3504</w:t>
      </w:r>
      <w:r>
        <w:rPr>
          <w:rFonts w:hint="eastAsia"/>
          <w:sz w:val="30"/>
          <w:szCs w:val="30"/>
        </w:rPr>
        <w:t>。上海</w:t>
      </w:r>
      <w:r>
        <w:rPr>
          <w:rFonts w:hint="eastAsia"/>
          <w:sz w:val="30"/>
          <w:szCs w:val="30"/>
        </w:rPr>
        <w:t>XX</w:t>
      </w:r>
      <w:r>
        <w:rPr>
          <w:rFonts w:hint="eastAsia"/>
          <w:sz w:val="30"/>
          <w:szCs w:val="30"/>
        </w:rPr>
        <w:t>管理中心</w:t>
      </w:r>
      <w:r>
        <w:rPr>
          <w:rFonts w:hint="eastAsia"/>
          <w:sz w:val="30"/>
          <w:szCs w:val="30"/>
        </w:rPr>
        <w:t>（有限合伙）曾于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日申请“哲品尚行”注册商标图像，于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日申请完成，且专用期限为</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2025</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日，商品服务列表包含教育、组织教育或娱乐竞赛、安排和组织培训班等，类似群为</w:t>
      </w:r>
      <w:r>
        <w:rPr>
          <w:rFonts w:hint="eastAsia"/>
          <w:sz w:val="30"/>
          <w:szCs w:val="30"/>
        </w:rPr>
        <w:t>4101-4105</w:t>
      </w:r>
      <w:r>
        <w:rPr>
          <w:rFonts w:hint="eastAsia"/>
          <w:sz w:val="30"/>
          <w:szCs w:val="30"/>
        </w:rPr>
        <w:t>、</w:t>
      </w:r>
      <w:r>
        <w:rPr>
          <w:rFonts w:hint="eastAsia"/>
          <w:sz w:val="30"/>
          <w:szCs w:val="30"/>
        </w:rPr>
        <w:t>4107</w:t>
      </w:r>
      <w:r>
        <w:rPr>
          <w:rFonts w:hint="eastAsia"/>
          <w:sz w:val="30"/>
          <w:szCs w:val="30"/>
        </w:rPr>
        <w:t>。</w:t>
      </w:r>
    </w:p>
    <w:p w:rsidR="00000000" w:rsidRDefault="000E6A4A">
      <w:pPr>
        <w:spacing w:line="500" w:lineRule="atLeast"/>
        <w:ind w:firstLine="600"/>
        <w:divId w:val="1631590047"/>
        <w:rPr>
          <w:rFonts w:hint="eastAsia"/>
          <w:sz w:val="30"/>
          <w:szCs w:val="30"/>
        </w:rPr>
      </w:pP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日，谭健儿委托代理律师向哲尚公司的监事李某邮寄律师函</w:t>
      </w:r>
      <w:r>
        <w:rPr>
          <w:rFonts w:hint="eastAsia"/>
          <w:sz w:val="30"/>
          <w:szCs w:val="30"/>
        </w:rPr>
        <w:t>1</w:t>
      </w:r>
      <w:r>
        <w:rPr>
          <w:rFonts w:hint="eastAsia"/>
          <w:sz w:val="30"/>
          <w:szCs w:val="30"/>
        </w:rPr>
        <w:t>份，记载郑丹及王晓明作为公司高级管理人员在谭健儿不知情的情况下，未经公司股东会同</w:t>
      </w:r>
      <w:r>
        <w:rPr>
          <w:rFonts w:hint="eastAsia"/>
          <w:sz w:val="30"/>
          <w:szCs w:val="30"/>
        </w:rPr>
        <w:t>XX</w:t>
      </w:r>
      <w:r>
        <w:rPr>
          <w:rFonts w:hint="eastAsia"/>
          <w:sz w:val="30"/>
          <w:szCs w:val="30"/>
        </w:rPr>
        <w:t>公司相同类别业务，并利用其在公司中担任执行的职务便利为其所控制的合伙企业谋求原本属于公司的利益，该等</w:t>
      </w:r>
      <w:r>
        <w:rPr>
          <w:rFonts w:hint="eastAsia"/>
          <w:sz w:val="30"/>
          <w:szCs w:val="30"/>
        </w:rPr>
        <w:t>行为已违反法律及公司章程的规定，已使公司利益遭受了严重损失，李某作为公司监事，理应依法履行提起诉讼追究相应法律责任的法定职责，特此代表谭健儿要求李某在本律师函送达之日起</w:t>
      </w:r>
      <w:r>
        <w:rPr>
          <w:rFonts w:hint="eastAsia"/>
          <w:sz w:val="30"/>
          <w:szCs w:val="30"/>
        </w:rPr>
        <w:t>10</w:t>
      </w:r>
      <w:r>
        <w:rPr>
          <w:rFonts w:hint="eastAsia"/>
          <w:sz w:val="30"/>
          <w:szCs w:val="30"/>
        </w:rPr>
        <w:t>日内就郑丹及王晓明的前述违反行为向人民法院提起诉讼，否则谭健儿将依法向人民法院提起诉讼等。后，哲尚公司监事李某未就上述事宜向人民法院提起诉讼。</w:t>
      </w:r>
    </w:p>
    <w:p w:rsidR="00000000" w:rsidRDefault="000E6A4A">
      <w:pPr>
        <w:spacing w:line="500" w:lineRule="atLeast"/>
        <w:ind w:firstLine="600"/>
        <w:divId w:val="1421558970"/>
        <w:rPr>
          <w:rFonts w:hint="eastAsia"/>
          <w:sz w:val="30"/>
          <w:szCs w:val="30"/>
        </w:rPr>
      </w:pPr>
      <w:r>
        <w:rPr>
          <w:rFonts w:hint="eastAsia"/>
          <w:sz w:val="30"/>
          <w:szCs w:val="30"/>
        </w:rPr>
        <w:t>一审法院另查明，厦门</w:t>
      </w:r>
      <w:r>
        <w:rPr>
          <w:rFonts w:hint="eastAsia"/>
          <w:sz w:val="30"/>
          <w:szCs w:val="30"/>
        </w:rPr>
        <w:t>A</w:t>
      </w:r>
      <w:r>
        <w:rPr>
          <w:rFonts w:hint="eastAsia"/>
          <w:sz w:val="30"/>
          <w:szCs w:val="30"/>
        </w:rPr>
        <w:t>有限公司（以下简称</w:t>
      </w:r>
      <w:r>
        <w:rPr>
          <w:rFonts w:hint="eastAsia"/>
          <w:sz w:val="30"/>
          <w:szCs w:val="30"/>
        </w:rPr>
        <w:t>A</w:t>
      </w:r>
      <w:r>
        <w:rPr>
          <w:rFonts w:hint="eastAsia"/>
          <w:sz w:val="30"/>
          <w:szCs w:val="30"/>
        </w:rPr>
        <w:t>公司）成立于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日，原名厦门</w:t>
      </w:r>
      <w:r>
        <w:rPr>
          <w:rFonts w:hint="eastAsia"/>
          <w:sz w:val="30"/>
          <w:szCs w:val="30"/>
        </w:rPr>
        <w:t>B</w:t>
      </w:r>
      <w:r>
        <w:rPr>
          <w:rFonts w:hint="eastAsia"/>
          <w:sz w:val="30"/>
          <w:szCs w:val="30"/>
        </w:rPr>
        <w:t>有限公司，于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日变更为现名称，谭健儿、郑丹、王晓明曾是该公司的股东，三人于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7</w:t>
      </w:r>
      <w:r>
        <w:rPr>
          <w:rFonts w:hint="eastAsia"/>
          <w:sz w:val="30"/>
          <w:szCs w:val="30"/>
        </w:rPr>
        <w:t>日将持有的</w:t>
      </w:r>
      <w:r>
        <w:rPr>
          <w:rFonts w:hint="eastAsia"/>
          <w:sz w:val="30"/>
          <w:szCs w:val="30"/>
        </w:rPr>
        <w:t>A</w:t>
      </w:r>
      <w:r>
        <w:rPr>
          <w:rFonts w:hint="eastAsia"/>
          <w:sz w:val="30"/>
          <w:szCs w:val="30"/>
        </w:rPr>
        <w:t>公司股权出让给案外人。</w:t>
      </w:r>
    </w:p>
    <w:p w:rsidR="00000000" w:rsidRDefault="000E6A4A">
      <w:pPr>
        <w:spacing w:line="500" w:lineRule="atLeast"/>
        <w:ind w:firstLine="600"/>
        <w:divId w:val="506019705"/>
        <w:rPr>
          <w:rFonts w:hint="eastAsia"/>
          <w:sz w:val="30"/>
          <w:szCs w:val="30"/>
        </w:rPr>
      </w:pPr>
      <w:r>
        <w:rPr>
          <w:rFonts w:hint="eastAsia"/>
          <w:sz w:val="30"/>
          <w:szCs w:val="30"/>
        </w:rPr>
        <w:t>ICP</w:t>
      </w:r>
      <w:r>
        <w:rPr>
          <w:rFonts w:hint="eastAsia"/>
          <w:sz w:val="30"/>
          <w:szCs w:val="30"/>
        </w:rPr>
        <w:t>备案信息显示，网站名称“哲尚”，首页网址为“</w:t>
      </w:r>
      <w:r>
        <w:rPr>
          <w:rFonts w:hint="eastAsia"/>
          <w:sz w:val="30"/>
          <w:szCs w:val="30"/>
        </w:rPr>
        <w:t>www.sagion.cn</w:t>
      </w:r>
      <w:r>
        <w:rPr>
          <w:rFonts w:hint="eastAsia"/>
          <w:sz w:val="30"/>
          <w:szCs w:val="30"/>
        </w:rPr>
        <w:t>”，网站负责人为罗某，主办单位名称为“上海哲尚企业管理咨询有限公司”，审核通过时间为</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日。微信公众号哲品尚行（微信号为</w:t>
      </w:r>
      <w:r>
        <w:rPr>
          <w:rFonts w:hint="eastAsia"/>
          <w:sz w:val="30"/>
          <w:szCs w:val="30"/>
        </w:rPr>
        <w:t>XX</w:t>
      </w:r>
      <w:r>
        <w:rPr>
          <w:rFonts w:hint="eastAsia"/>
          <w:sz w:val="30"/>
          <w:szCs w:val="30"/>
        </w:rPr>
        <w:t>）未进行实名认证。徐汇公证处于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日出具的（</w:t>
      </w:r>
      <w:r>
        <w:rPr>
          <w:rFonts w:hint="eastAsia"/>
          <w:sz w:val="30"/>
          <w:szCs w:val="30"/>
        </w:rPr>
        <w:t>2015</w:t>
      </w:r>
      <w:r>
        <w:rPr>
          <w:rFonts w:hint="eastAsia"/>
          <w:sz w:val="30"/>
          <w:szCs w:val="30"/>
        </w:rPr>
        <w:t>）沪徐证字第</w:t>
      </w:r>
      <w:r>
        <w:rPr>
          <w:rFonts w:hint="eastAsia"/>
          <w:sz w:val="30"/>
          <w:szCs w:val="30"/>
        </w:rPr>
        <w:t>4220</w:t>
      </w:r>
      <w:r>
        <w:rPr>
          <w:rFonts w:hint="eastAsia"/>
          <w:sz w:val="30"/>
          <w:szCs w:val="30"/>
        </w:rPr>
        <w:t>号公证书显示，当时哲品尚行微信公众号的图标含有</w:t>
      </w:r>
      <w:r>
        <w:rPr>
          <w:rFonts w:hint="eastAsia"/>
          <w:sz w:val="30"/>
          <w:szCs w:val="30"/>
        </w:rPr>
        <w:t>SAGION</w:t>
      </w:r>
      <w:r>
        <w:rPr>
          <w:rFonts w:hint="eastAsia"/>
          <w:sz w:val="30"/>
          <w:szCs w:val="30"/>
        </w:rPr>
        <w:t>和哲品尚行字样，腾讯地图显示哲品尚行位于上海市徐汇区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号，且</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月间该微信公众号多次发布</w:t>
      </w:r>
      <w:r>
        <w:rPr>
          <w:rFonts w:hint="eastAsia"/>
          <w:sz w:val="30"/>
          <w:szCs w:val="30"/>
        </w:rPr>
        <w:t>关于哲尚公司调价通知、最新开课时间表、哲尚助教学习会等文章，其中曾出现如下信息：“详情请咨询哲尚公司相关人员”、“哲品尚行企业教练管理机构，公众微信号：</w:t>
      </w:r>
      <w:r>
        <w:rPr>
          <w:rFonts w:hint="eastAsia"/>
          <w:sz w:val="30"/>
          <w:szCs w:val="30"/>
        </w:rPr>
        <w:t>zpsx303</w:t>
      </w:r>
      <w:r>
        <w:rPr>
          <w:rFonts w:hint="eastAsia"/>
          <w:sz w:val="30"/>
          <w:szCs w:val="30"/>
        </w:rPr>
        <w:t>，企业网站：</w:t>
      </w:r>
      <w:r>
        <w:rPr>
          <w:rFonts w:hint="eastAsia"/>
          <w:sz w:val="30"/>
          <w:szCs w:val="30"/>
        </w:rPr>
        <w:t>www.sagion.cn</w:t>
      </w:r>
      <w:r>
        <w:rPr>
          <w:rFonts w:hint="eastAsia"/>
          <w:sz w:val="30"/>
          <w:szCs w:val="30"/>
        </w:rPr>
        <w:t>”、咨询热线含有上海及厦门两个地区的人员联系电话、“地址：上海市徐汇区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号楼</w:t>
      </w:r>
      <w:r>
        <w:rPr>
          <w:rFonts w:hint="eastAsia"/>
          <w:sz w:val="30"/>
          <w:szCs w:val="30"/>
        </w:rPr>
        <w:t>XX</w:t>
      </w:r>
      <w:r>
        <w:rPr>
          <w:rFonts w:hint="eastAsia"/>
          <w:sz w:val="30"/>
          <w:szCs w:val="30"/>
        </w:rPr>
        <w:t>室”等。</w:t>
      </w:r>
    </w:p>
    <w:p w:rsidR="00000000" w:rsidRDefault="000E6A4A">
      <w:pPr>
        <w:spacing w:line="500" w:lineRule="atLeast"/>
        <w:ind w:firstLine="600"/>
        <w:divId w:val="655182017"/>
        <w:rPr>
          <w:rFonts w:hint="eastAsia"/>
          <w:sz w:val="30"/>
          <w:szCs w:val="30"/>
        </w:rPr>
      </w:pPr>
      <w:r>
        <w:rPr>
          <w:rFonts w:hint="eastAsia"/>
          <w:sz w:val="30"/>
          <w:szCs w:val="30"/>
        </w:rPr>
        <w:t>徐汇公证处于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日出具的（</w:t>
      </w:r>
      <w:r>
        <w:rPr>
          <w:rFonts w:hint="eastAsia"/>
          <w:sz w:val="30"/>
          <w:szCs w:val="30"/>
        </w:rPr>
        <w:t>2016</w:t>
      </w:r>
      <w:r>
        <w:rPr>
          <w:rFonts w:hint="eastAsia"/>
          <w:sz w:val="30"/>
          <w:szCs w:val="30"/>
        </w:rPr>
        <w:t>）沪徐证字第</w:t>
      </w:r>
      <w:r>
        <w:rPr>
          <w:rFonts w:hint="eastAsia"/>
          <w:sz w:val="30"/>
          <w:szCs w:val="30"/>
        </w:rPr>
        <w:t>5559</w:t>
      </w:r>
      <w:r>
        <w:rPr>
          <w:rFonts w:hint="eastAsia"/>
          <w:sz w:val="30"/>
          <w:szCs w:val="30"/>
        </w:rPr>
        <w:t>号公证书显示，当时哲品尚行微信公众号图标已经进行了更换，更换后的图标含有“印正”字样，且其相关介绍记载“印正</w:t>
      </w:r>
      <w:r>
        <w:rPr>
          <w:rFonts w:hint="eastAsia"/>
          <w:sz w:val="30"/>
          <w:szCs w:val="30"/>
        </w:rPr>
        <w:t>-</w:t>
      </w:r>
      <w:r>
        <w:rPr>
          <w:rFonts w:hint="eastAsia"/>
          <w:sz w:val="30"/>
          <w:szCs w:val="30"/>
        </w:rPr>
        <w:t>哲品尚行”、“哲品尚行隶属</w:t>
      </w:r>
      <w:r>
        <w:rPr>
          <w:rFonts w:hint="eastAsia"/>
          <w:sz w:val="30"/>
          <w:szCs w:val="30"/>
        </w:rPr>
        <w:t>印正人文管理机构旗下，至今日起统一由印正人文管理机构公众号发布相关资讯，同时哲品尚行的公众号将不会再继续更新。回复关键词印正或二维码即可获取印正人文管理机构的公众号的关注方式”等，其历史信息中曾推送了印正人文管理机构微信公众号发布的文章，其中记载印正旗下五大品牌中含有哲品尚行、哲品尚行隶属印正人文管理机构旗下、哲品尚行公众号不再更新、此后由印正人文管理机构公众号发布相关资讯等内容；进入印正人文管理机构微信公众号显示该公众号进行了实名认证，企业全称为印正中心，其发布的资讯显示哲品尚行系其旗下的五大品牌之一，主</w:t>
      </w:r>
      <w:r>
        <w:rPr>
          <w:rFonts w:hint="eastAsia"/>
          <w:sz w:val="30"/>
          <w:szCs w:val="30"/>
        </w:rPr>
        <w:t>要运营教练技术个人领导力培训，并记载了其他四个品牌的特点，且其中亦提及“印正导师王晓明”等。</w:t>
      </w:r>
    </w:p>
    <w:p w:rsidR="00000000" w:rsidRDefault="000E6A4A">
      <w:pPr>
        <w:spacing w:line="500" w:lineRule="atLeast"/>
        <w:ind w:firstLine="600"/>
        <w:divId w:val="823008557"/>
        <w:rPr>
          <w:rFonts w:hint="eastAsia"/>
          <w:sz w:val="30"/>
          <w:szCs w:val="30"/>
        </w:rPr>
      </w:pPr>
      <w:r>
        <w:rPr>
          <w:rFonts w:hint="eastAsia"/>
          <w:sz w:val="30"/>
          <w:szCs w:val="30"/>
        </w:rPr>
        <w:t>长宁公证处于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日出具的（</w:t>
      </w:r>
      <w:r>
        <w:rPr>
          <w:rFonts w:hint="eastAsia"/>
          <w:sz w:val="30"/>
          <w:szCs w:val="30"/>
        </w:rPr>
        <w:t>2017</w:t>
      </w:r>
      <w:r>
        <w:rPr>
          <w:rFonts w:hint="eastAsia"/>
          <w:sz w:val="30"/>
          <w:szCs w:val="30"/>
        </w:rPr>
        <w:t>）沪长证字第</w:t>
      </w:r>
      <w:r>
        <w:rPr>
          <w:rFonts w:hint="eastAsia"/>
          <w:sz w:val="30"/>
          <w:szCs w:val="30"/>
        </w:rPr>
        <w:t>750</w:t>
      </w:r>
      <w:r>
        <w:rPr>
          <w:rFonts w:hint="eastAsia"/>
          <w:sz w:val="30"/>
          <w:szCs w:val="30"/>
        </w:rPr>
        <w:t>号公证书显示，印正人文管理机构的微信公众号于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月间曾发布多篇关于其组织的相关活动的报道，其中多次提及“上海印正人文管理机构董事长王晓明（或王小明）”并附有图片。</w:t>
      </w:r>
    </w:p>
    <w:p w:rsidR="00000000" w:rsidRDefault="000E6A4A">
      <w:pPr>
        <w:spacing w:line="500" w:lineRule="atLeast"/>
        <w:ind w:firstLine="600"/>
        <w:divId w:val="1550805524"/>
        <w:rPr>
          <w:rFonts w:hint="eastAsia"/>
          <w:sz w:val="30"/>
          <w:szCs w:val="30"/>
        </w:rPr>
      </w:pPr>
      <w:r>
        <w:rPr>
          <w:rFonts w:hint="eastAsia"/>
          <w:sz w:val="30"/>
          <w:szCs w:val="30"/>
        </w:rPr>
        <w:t>一审法院又查明，因存在股东知情权纠纷，谭健儿曾将哲尚公司诉至法院，要求查阅、复制哲尚公司的章程、股东会会议记录并要求查阅哲尚公司的财务会计报告、会计账簿、会计凭证。一审法院经审理，判决支持了谭健儿的诉讼请求。后哲尚公司不服该判决向上海市第一中级人民法院提起上诉【案号：（</w:t>
      </w:r>
      <w:r>
        <w:rPr>
          <w:rFonts w:hint="eastAsia"/>
          <w:sz w:val="30"/>
          <w:szCs w:val="30"/>
        </w:rPr>
        <w:t>2016</w:t>
      </w:r>
      <w:r>
        <w:rPr>
          <w:rFonts w:hint="eastAsia"/>
          <w:sz w:val="30"/>
          <w:szCs w:val="30"/>
        </w:rPr>
        <w:t>）沪</w:t>
      </w:r>
      <w:r>
        <w:rPr>
          <w:rFonts w:hint="eastAsia"/>
          <w:sz w:val="30"/>
          <w:szCs w:val="30"/>
        </w:rPr>
        <w:t>01</w:t>
      </w:r>
      <w:r>
        <w:rPr>
          <w:rFonts w:hint="eastAsia"/>
          <w:sz w:val="30"/>
          <w:szCs w:val="30"/>
        </w:rPr>
        <w:t>民终</w:t>
      </w:r>
      <w:r>
        <w:rPr>
          <w:rFonts w:hint="eastAsia"/>
          <w:sz w:val="30"/>
          <w:szCs w:val="30"/>
        </w:rPr>
        <w:t>76</w:t>
      </w:r>
      <w:r>
        <w:rPr>
          <w:rFonts w:hint="eastAsia"/>
          <w:sz w:val="30"/>
          <w:szCs w:val="30"/>
        </w:rPr>
        <w:t>号】。该院经审理，判决驳回上诉、维持原判。后哲尚公司未履行上述判决书，谭健儿向一审法院申请强制执行。在强制执行过程中，吴建曾代表被执行人哲尚公司向谭健儿出示了上述判决书中提及的部分材料，且在制作的相关执行笔录中，吴建曾</w:t>
      </w:r>
      <w:r>
        <w:rPr>
          <w:rFonts w:hint="eastAsia"/>
          <w:sz w:val="30"/>
          <w:szCs w:val="30"/>
        </w:rPr>
        <w:t>称“我曾是被执行人公司的员工，因为公司关门了，所以我现在不作了，是法人委托我帮他带过来的（即相关材料）”。</w:t>
      </w:r>
    </w:p>
    <w:p w:rsidR="00000000" w:rsidRDefault="000E6A4A">
      <w:pPr>
        <w:spacing w:line="500" w:lineRule="atLeast"/>
        <w:ind w:firstLine="600"/>
        <w:divId w:val="424620389"/>
        <w:rPr>
          <w:rFonts w:hint="eastAsia"/>
          <w:sz w:val="30"/>
          <w:szCs w:val="30"/>
        </w:rPr>
      </w:pPr>
      <w:r>
        <w:rPr>
          <w:rFonts w:hint="eastAsia"/>
          <w:sz w:val="30"/>
          <w:szCs w:val="30"/>
        </w:rPr>
        <w:t>一审法院认为，基于公司法的相关规定，谭健儿作为哲尚公司的股东，认为郑丹、王晓明、印正中心存在侵犯哲尚公司合法权益的情形并经书面请求监事李某就上述事宜向人民法院提起诉讼未果的情况下，谭健儿有权提起代表诉讼。虽然哲尚公司的章程及公司登记显示，哲尚公司不设立董事会并由郑丹担任执行董事，但是上述登记事项与哲尚公司成立之初形成的董事会行为的记载不一致，且依据后者的记载谭健儿与郑丹、王晓明均系董事会成员并明确了相</w:t>
      </w:r>
      <w:r>
        <w:rPr>
          <w:rFonts w:hint="eastAsia"/>
          <w:sz w:val="30"/>
          <w:szCs w:val="30"/>
        </w:rPr>
        <w:t>应职责及董事会职权等，加之未有证据表明哲尚公司的股东会曾形成决议撤销郑丹、王晓明的董事身份，故认为该份董事会行为真实反映了哲尚公司实际按照董事会的方式进行运作及郑丹、王晓明均系哲尚公司的董事会成员的事实，加之</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日前郑丹亦是哲尚公司的登记法定代表人，故郑丹作为哲尚公司的董事和高级管理人员、王晓明作为哲尚公司的董事均对哲尚公司负有公司法和章程规定的相关忠实、勤勉义务。</w:t>
      </w:r>
    </w:p>
    <w:p w:rsidR="00000000" w:rsidRDefault="000E6A4A">
      <w:pPr>
        <w:spacing w:line="500" w:lineRule="atLeast"/>
        <w:ind w:firstLine="600"/>
        <w:divId w:val="235358237"/>
        <w:rPr>
          <w:rFonts w:hint="eastAsia"/>
          <w:sz w:val="30"/>
          <w:szCs w:val="30"/>
        </w:rPr>
      </w:pPr>
      <w:r>
        <w:rPr>
          <w:rFonts w:hint="eastAsia"/>
          <w:sz w:val="30"/>
          <w:szCs w:val="30"/>
        </w:rPr>
        <w:t>对于谭健儿在第</w:t>
      </w:r>
      <w:r>
        <w:rPr>
          <w:rFonts w:hint="eastAsia"/>
          <w:sz w:val="30"/>
          <w:szCs w:val="30"/>
        </w:rPr>
        <w:t>1</w:t>
      </w:r>
      <w:r>
        <w:rPr>
          <w:rFonts w:hint="eastAsia"/>
          <w:sz w:val="30"/>
          <w:szCs w:val="30"/>
        </w:rPr>
        <w:t>项诉请中主张的要求郑丹、王晓明、印正中心停止损害哲尚公司利益行为的诉讼请求，其中涉及“哲品尚行”品牌事宜，因印</w:t>
      </w:r>
      <w:r>
        <w:rPr>
          <w:rFonts w:hint="eastAsia"/>
          <w:sz w:val="30"/>
          <w:szCs w:val="30"/>
        </w:rPr>
        <w:t>正中心已经申请完成了“哲品尚行”的注册商标图像，且该商标事宜亦不属于本案处理范围，故如果谭健儿对于印正中心取得的“哲品尚行”注册商标图像事宜存在异议，应另循合法途径解决；其中涉及停止攫取“哲品尚行”微信公众号及相关宣传误导事宜，因谭健儿未举证证明郑丹、王晓明、印正中心攫取“哲品尚行”微信公众号、进行误导宣传等行为仍在继续，故对于谭健儿要求郑丹、王晓明、印正中心停止该些行为的主张因缺乏事实依据，不予支持；对于谭健儿主张的郑丹、王晓明、印正中心存在的其他损害哲尚公司利益的行为，因谭健儿未举证证明曾发生过该些损害</w:t>
      </w:r>
      <w:r>
        <w:rPr>
          <w:rFonts w:hint="eastAsia"/>
          <w:sz w:val="30"/>
          <w:szCs w:val="30"/>
        </w:rPr>
        <w:t>行为以及该些损害行为尚在继续，故不利后果应由谭健儿承担。综上，对于谭健儿第</w:t>
      </w:r>
      <w:r>
        <w:rPr>
          <w:rFonts w:hint="eastAsia"/>
          <w:sz w:val="30"/>
          <w:szCs w:val="30"/>
        </w:rPr>
        <w:t>1</w:t>
      </w:r>
      <w:r>
        <w:rPr>
          <w:rFonts w:hint="eastAsia"/>
          <w:sz w:val="30"/>
          <w:szCs w:val="30"/>
        </w:rPr>
        <w:t>项诉讼请求，因缺乏事实和法律依据，不予支持。</w:t>
      </w:r>
    </w:p>
    <w:p w:rsidR="00000000" w:rsidRDefault="000E6A4A">
      <w:pPr>
        <w:spacing w:line="500" w:lineRule="atLeast"/>
        <w:ind w:firstLine="600"/>
        <w:divId w:val="271397834"/>
        <w:rPr>
          <w:rFonts w:hint="eastAsia"/>
          <w:sz w:val="30"/>
          <w:szCs w:val="30"/>
        </w:rPr>
      </w:pPr>
      <w:r>
        <w:rPr>
          <w:rFonts w:hint="eastAsia"/>
          <w:sz w:val="30"/>
          <w:szCs w:val="30"/>
        </w:rPr>
        <w:t>对于谭健儿提出的第</w:t>
      </w:r>
      <w:r>
        <w:rPr>
          <w:rFonts w:hint="eastAsia"/>
          <w:sz w:val="30"/>
          <w:szCs w:val="30"/>
        </w:rPr>
        <w:t>2</w:t>
      </w:r>
      <w:r>
        <w:rPr>
          <w:rFonts w:hint="eastAsia"/>
          <w:sz w:val="30"/>
          <w:szCs w:val="30"/>
        </w:rPr>
        <w:t>项诉请主张，即依据公司法第</w:t>
      </w:r>
      <w:r>
        <w:rPr>
          <w:rFonts w:hint="eastAsia"/>
          <w:sz w:val="30"/>
          <w:szCs w:val="30"/>
        </w:rPr>
        <w:t>147</w:t>
      </w:r>
      <w:r>
        <w:rPr>
          <w:rFonts w:hint="eastAsia"/>
          <w:sz w:val="30"/>
          <w:szCs w:val="30"/>
        </w:rPr>
        <w:t>条、</w:t>
      </w:r>
      <w:r>
        <w:rPr>
          <w:rFonts w:hint="eastAsia"/>
          <w:sz w:val="30"/>
          <w:szCs w:val="30"/>
        </w:rPr>
        <w:t>148</w:t>
      </w:r>
      <w:r>
        <w:rPr>
          <w:rFonts w:hint="eastAsia"/>
          <w:sz w:val="30"/>
          <w:szCs w:val="30"/>
        </w:rPr>
        <w:t>条、</w:t>
      </w:r>
      <w:r>
        <w:rPr>
          <w:rFonts w:hint="eastAsia"/>
          <w:sz w:val="30"/>
          <w:szCs w:val="30"/>
        </w:rPr>
        <w:t>149</w:t>
      </w:r>
      <w:r>
        <w:rPr>
          <w:rFonts w:hint="eastAsia"/>
          <w:sz w:val="30"/>
          <w:szCs w:val="30"/>
        </w:rPr>
        <w:t>条规定要求郑丹、王晓明、印正中心赔偿哲尚公司损失的诉讼请求，一审法院认为，郑丹、王晓明在担任哲尚公司高级管理人员、董事期间擅自成立了印正中心，且印正中心与哲尚公司的营业范围存在部分重合，郑丹、王晓明对哲尚公司未尽到忠实勤勉义务。虽然哲品尚行微信公众号未进行实名认证，但依据公证书中反映的该微信公众号的相关信息及发布的文</w:t>
      </w:r>
      <w:r>
        <w:rPr>
          <w:rFonts w:hint="eastAsia"/>
          <w:sz w:val="30"/>
          <w:szCs w:val="30"/>
        </w:rPr>
        <w:t>章等内容来看，该微信公众号的信息与哲尚公司的</w:t>
      </w:r>
      <w:r>
        <w:rPr>
          <w:rFonts w:hint="eastAsia"/>
          <w:sz w:val="30"/>
          <w:szCs w:val="30"/>
        </w:rPr>
        <w:t>ICP</w:t>
      </w:r>
      <w:r>
        <w:rPr>
          <w:rFonts w:hint="eastAsia"/>
          <w:sz w:val="30"/>
          <w:szCs w:val="30"/>
        </w:rPr>
        <w:t>备案信息具有关联性，且最初发布的文章及联系方式亦与哲尚公司有关，故认为该微信公众号与哲尚公司存在关联性，对于郑丹、王晓明仅凭该微信公众号曾发布几篇关于厦门哲品尚行活动的文章而辩称该微信公众号属于</w:t>
      </w:r>
      <w:r>
        <w:rPr>
          <w:rFonts w:hint="eastAsia"/>
          <w:sz w:val="30"/>
          <w:szCs w:val="30"/>
        </w:rPr>
        <w:t>A</w:t>
      </w:r>
      <w:r>
        <w:rPr>
          <w:rFonts w:hint="eastAsia"/>
          <w:sz w:val="30"/>
          <w:szCs w:val="30"/>
        </w:rPr>
        <w:t>公司（原名厦门</w:t>
      </w:r>
      <w:r>
        <w:rPr>
          <w:rFonts w:hint="eastAsia"/>
          <w:sz w:val="30"/>
          <w:szCs w:val="30"/>
        </w:rPr>
        <w:t>B</w:t>
      </w:r>
      <w:r>
        <w:rPr>
          <w:rFonts w:hint="eastAsia"/>
          <w:sz w:val="30"/>
          <w:szCs w:val="30"/>
        </w:rPr>
        <w:t>有限公司）的意见，因过于牵强，故不予采信。结合（</w:t>
      </w:r>
      <w:r>
        <w:rPr>
          <w:rFonts w:hint="eastAsia"/>
          <w:sz w:val="30"/>
          <w:szCs w:val="30"/>
        </w:rPr>
        <w:t>2016</w:t>
      </w:r>
      <w:r>
        <w:rPr>
          <w:rFonts w:hint="eastAsia"/>
          <w:sz w:val="30"/>
          <w:szCs w:val="30"/>
        </w:rPr>
        <w:t>）沪徐证字第</w:t>
      </w:r>
      <w:r>
        <w:rPr>
          <w:rFonts w:hint="eastAsia"/>
          <w:sz w:val="30"/>
          <w:szCs w:val="30"/>
        </w:rPr>
        <w:t>5559</w:t>
      </w:r>
      <w:r>
        <w:rPr>
          <w:rFonts w:hint="eastAsia"/>
          <w:sz w:val="30"/>
          <w:szCs w:val="30"/>
        </w:rPr>
        <w:t>号公证书的记载，一审法院认为，当时哲品尚行微信公众号和印正人文管理机构微信公众号发布的相关文章及哲品尚行微信公众号的头像变更等均表明，印正中心在未经哲尚公司及股东会同意的情况</w:t>
      </w:r>
      <w:r>
        <w:rPr>
          <w:rFonts w:hint="eastAsia"/>
          <w:sz w:val="30"/>
          <w:szCs w:val="30"/>
        </w:rPr>
        <w:t>下，将与哲尚公司具有关联性的哲品尚行微信公众号归入自己旗下，且上述行为发生时，郑丹、王晓明均系印正中心合伙人，故郑丹、王晓明违反了对哲尚公司负有的忠实、勤勉义务。但是，谭健儿对于郑丹、王晓明的上述违反忠实、勤勉义务中，存在利用职务便利谋取属于哲尚公司的商业机会及相应的损失金额负有举证责任。而仅凭郑丹、王晓明曾系印正中心合伙人、印正中心曾将哲品尚行微信公众号归入自己旗下、哲尚公司在印正中心成立后出现亏损等不足以证明郑丹、王晓明、印正中心谋取了属于哲尚公司的商业机会、印正中心的收入全部或部分来源于本属于哲尚公司</w:t>
      </w:r>
      <w:r>
        <w:rPr>
          <w:rFonts w:hint="eastAsia"/>
          <w:sz w:val="30"/>
          <w:szCs w:val="30"/>
        </w:rPr>
        <w:t>的商业机会以及郑丹、王晓明、印正中心通过哲尚公司亏损的方式从中获益，不利后果应由谭健儿承担。虽然哲尚公司与印正中心的年度报告，尤其是</w:t>
      </w:r>
      <w:r>
        <w:rPr>
          <w:rFonts w:hint="eastAsia"/>
          <w:sz w:val="30"/>
          <w:szCs w:val="30"/>
        </w:rPr>
        <w:t>2015</w:t>
      </w:r>
      <w:r>
        <w:rPr>
          <w:rFonts w:hint="eastAsia"/>
          <w:sz w:val="30"/>
          <w:szCs w:val="30"/>
        </w:rPr>
        <w:t>年度报告中记载的通信地址存在部分重合，以及吴建曾系哲尚公司员工，但在谭健儿提起本案诉讼后变更登记成为了印正中心的合伙人，哲尚公司登记的法定代表人及经理于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日均由郑丹变更为王强，印正中心的登记合伙人于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日由郑丹、王晓明变更登记为吴建、王强，且谭健儿称上述年度报告中记载的企业邮箱前缀</w:t>
      </w:r>
      <w:r>
        <w:rPr>
          <w:rFonts w:hint="eastAsia"/>
          <w:sz w:val="30"/>
          <w:szCs w:val="30"/>
        </w:rPr>
        <w:t>n</w:t>
      </w:r>
      <w:r>
        <w:rPr>
          <w:rFonts w:hint="eastAsia"/>
          <w:sz w:val="30"/>
          <w:szCs w:val="30"/>
        </w:rPr>
        <w:t>即瞿某系同一人，并称印正中心实际仍由郑丹、王晓明控制。</w:t>
      </w:r>
      <w:r>
        <w:rPr>
          <w:rFonts w:hint="eastAsia"/>
          <w:sz w:val="30"/>
          <w:szCs w:val="30"/>
        </w:rPr>
        <w:t>一审法院认为，年度报告中记载的部分通信地址存在重合不必然表明印正中心侵占了属于哲尚公司的经营场所、办公设备等资产，也不必然表明郑丹、王晓明、印正中心将印正中心的经营成本、管理费用计入哲尚公司，且依据（</w:t>
      </w:r>
      <w:r>
        <w:rPr>
          <w:rFonts w:hint="eastAsia"/>
          <w:sz w:val="30"/>
          <w:szCs w:val="30"/>
        </w:rPr>
        <w:t>2015</w:t>
      </w:r>
      <w:r>
        <w:rPr>
          <w:rFonts w:hint="eastAsia"/>
          <w:sz w:val="30"/>
          <w:szCs w:val="30"/>
        </w:rPr>
        <w:t>）沪徐证字第</w:t>
      </w:r>
      <w:r>
        <w:rPr>
          <w:rFonts w:hint="eastAsia"/>
          <w:sz w:val="30"/>
          <w:szCs w:val="30"/>
        </w:rPr>
        <w:t>4220</w:t>
      </w:r>
      <w:r>
        <w:rPr>
          <w:rFonts w:hint="eastAsia"/>
          <w:sz w:val="30"/>
          <w:szCs w:val="30"/>
        </w:rPr>
        <w:t>号公证书的记载，当时哲品尚行微信公众号在腾讯地图显示的地址及发布的文章中记载的联系地址，均与</w:t>
      </w:r>
      <w:r>
        <w:rPr>
          <w:rFonts w:hint="eastAsia"/>
          <w:sz w:val="30"/>
          <w:szCs w:val="30"/>
        </w:rPr>
        <w:t>2015</w:t>
      </w:r>
      <w:r>
        <w:rPr>
          <w:rFonts w:hint="eastAsia"/>
          <w:sz w:val="30"/>
          <w:szCs w:val="30"/>
        </w:rPr>
        <w:t>年度报告中记载的通信地址不一致，谭健儿亦未举证证明印正中心的经营地址原系哲尚公司的实际经营地址，郑丹、王晓明、印正中心侵占了哲尚公司的哪些办公设备、资产及相应金额等，不利后果应由谭健儿</w:t>
      </w:r>
      <w:r>
        <w:rPr>
          <w:rFonts w:hint="eastAsia"/>
          <w:sz w:val="30"/>
          <w:szCs w:val="30"/>
        </w:rPr>
        <w:t>承担；且即使按照谭健儿所述印正中心和哲尚公司年度报告中记载的</w:t>
      </w:r>
      <w:r>
        <w:rPr>
          <w:rFonts w:hint="eastAsia"/>
          <w:sz w:val="30"/>
          <w:szCs w:val="30"/>
        </w:rPr>
        <w:t>n</w:t>
      </w:r>
      <w:r>
        <w:rPr>
          <w:rFonts w:hint="eastAsia"/>
          <w:sz w:val="30"/>
          <w:szCs w:val="30"/>
        </w:rPr>
        <w:t>均是瞿某，但是瞿某及上述吴建、王强的就职和身份情况、年度报告中记载的部分通信地址存在重合的情形不必然表明印正中心侵占了哲尚公司的人力资源并攫取了属于哲尚公司的商业机会及相应金额，亦无法表明印正中心实际仍由郑丹、王晓明控制以及郑丹、王晓明、印正中心谋取了属于哲尚公司的商业机会及相应金额，不利后果应由谭健儿承担。加之，谭健儿未举证证明印正中心存在侵犯哲尚公司合法权益的行为及相应损失金额，亦未提供其它证据证明郑丹、王晓明存在违反公司法第</w:t>
      </w:r>
      <w:r>
        <w:rPr>
          <w:rFonts w:hint="eastAsia"/>
          <w:sz w:val="30"/>
          <w:szCs w:val="30"/>
        </w:rPr>
        <w:t>147</w:t>
      </w:r>
      <w:r>
        <w:rPr>
          <w:rFonts w:hint="eastAsia"/>
          <w:sz w:val="30"/>
          <w:szCs w:val="30"/>
        </w:rPr>
        <w:t>条、</w:t>
      </w:r>
      <w:r>
        <w:rPr>
          <w:rFonts w:hint="eastAsia"/>
          <w:sz w:val="30"/>
          <w:szCs w:val="30"/>
        </w:rPr>
        <w:t>148</w:t>
      </w:r>
      <w:r>
        <w:rPr>
          <w:rFonts w:hint="eastAsia"/>
          <w:sz w:val="30"/>
          <w:szCs w:val="30"/>
        </w:rPr>
        <w:t>条、</w:t>
      </w:r>
      <w:r>
        <w:rPr>
          <w:rFonts w:hint="eastAsia"/>
          <w:sz w:val="30"/>
          <w:szCs w:val="30"/>
        </w:rPr>
        <w:t>149</w:t>
      </w:r>
      <w:r>
        <w:rPr>
          <w:rFonts w:hint="eastAsia"/>
          <w:sz w:val="30"/>
          <w:szCs w:val="30"/>
        </w:rPr>
        <w:t>条规定的行为及由此所得的收入金额，不利后果应由谭健儿承担，且谭健儿基于哲尚公司的亏损额和印正中心的增值税缴纳额向郑丹、王晓明、印正中心主张行使款项的归入权亦缺乏事实和法律依据。印正中心未到庭参加诉讼，且未发表答辩意见，视为放弃其答辩权利，对此产生的法律后果，应由印正中心自行承担。综上，谭健儿要求郑丹、王晓明、印正中心连带赔偿哲尚公司价款暂计为</w:t>
      </w:r>
      <w:r>
        <w:rPr>
          <w:rFonts w:hint="eastAsia"/>
          <w:sz w:val="30"/>
          <w:szCs w:val="30"/>
        </w:rPr>
        <w:t>6,359,639.86</w:t>
      </w:r>
      <w:r>
        <w:rPr>
          <w:rFonts w:hint="eastAsia"/>
          <w:sz w:val="30"/>
          <w:szCs w:val="30"/>
        </w:rPr>
        <w:t>元的诉讼请求，缺乏事实和法律依据，不予支持。</w:t>
      </w:r>
    </w:p>
    <w:p w:rsidR="00000000" w:rsidRDefault="000E6A4A">
      <w:pPr>
        <w:spacing w:line="500" w:lineRule="atLeast"/>
        <w:ind w:firstLine="600"/>
        <w:divId w:val="1511794705"/>
        <w:rPr>
          <w:rFonts w:hint="eastAsia"/>
          <w:sz w:val="30"/>
          <w:szCs w:val="30"/>
        </w:rPr>
      </w:pPr>
      <w:r>
        <w:rPr>
          <w:rFonts w:hint="eastAsia"/>
          <w:sz w:val="30"/>
          <w:szCs w:val="30"/>
        </w:rPr>
        <w:t>一审法院判决：一、驳回谭健儿的全部诉讼请求；二、案件受理费</w:t>
      </w:r>
      <w:r>
        <w:rPr>
          <w:rFonts w:hint="eastAsia"/>
          <w:sz w:val="30"/>
          <w:szCs w:val="30"/>
        </w:rPr>
        <w:t>60,756</w:t>
      </w:r>
      <w:r>
        <w:rPr>
          <w:rFonts w:hint="eastAsia"/>
          <w:sz w:val="30"/>
          <w:szCs w:val="30"/>
        </w:rPr>
        <w:t>元，财产保全申请费</w:t>
      </w:r>
      <w:r>
        <w:rPr>
          <w:rFonts w:hint="eastAsia"/>
          <w:sz w:val="30"/>
          <w:szCs w:val="30"/>
        </w:rPr>
        <w:t>2,145</w:t>
      </w:r>
      <w:r>
        <w:rPr>
          <w:rFonts w:hint="eastAsia"/>
          <w:sz w:val="30"/>
          <w:szCs w:val="30"/>
        </w:rPr>
        <w:t>元，合计诉讼费</w:t>
      </w:r>
      <w:r>
        <w:rPr>
          <w:rFonts w:hint="eastAsia"/>
          <w:sz w:val="30"/>
          <w:szCs w:val="30"/>
        </w:rPr>
        <w:t>62,901</w:t>
      </w:r>
      <w:r>
        <w:rPr>
          <w:rFonts w:hint="eastAsia"/>
          <w:sz w:val="30"/>
          <w:szCs w:val="30"/>
        </w:rPr>
        <w:t>元，由谭健儿负担。</w:t>
      </w:r>
    </w:p>
    <w:p w:rsidR="00000000" w:rsidRDefault="000E6A4A">
      <w:pPr>
        <w:spacing w:line="500" w:lineRule="atLeast"/>
        <w:ind w:firstLine="600"/>
        <w:divId w:val="644507754"/>
        <w:rPr>
          <w:rFonts w:hint="eastAsia"/>
          <w:sz w:val="30"/>
          <w:szCs w:val="30"/>
        </w:rPr>
      </w:pPr>
      <w:r>
        <w:rPr>
          <w:rFonts w:hint="eastAsia"/>
          <w:sz w:val="30"/>
          <w:szCs w:val="30"/>
        </w:rPr>
        <w:t>二审中，各方当事人均没有提交新证据。</w:t>
      </w:r>
    </w:p>
    <w:p w:rsidR="00000000" w:rsidRDefault="000E6A4A">
      <w:pPr>
        <w:spacing w:line="500" w:lineRule="atLeast"/>
        <w:ind w:firstLine="600"/>
        <w:divId w:val="1511292091"/>
        <w:rPr>
          <w:rFonts w:hint="eastAsia"/>
          <w:sz w:val="30"/>
          <w:szCs w:val="30"/>
        </w:rPr>
      </w:pPr>
      <w:r>
        <w:rPr>
          <w:rFonts w:hint="eastAsia"/>
          <w:sz w:val="30"/>
          <w:szCs w:val="30"/>
        </w:rPr>
        <w:t>一审法院查明的本案法律事实基本属实，各方当事人均无异议，本院予以确认。</w:t>
      </w:r>
    </w:p>
    <w:p w:rsidR="00000000" w:rsidRDefault="000E6A4A">
      <w:pPr>
        <w:spacing w:line="500" w:lineRule="atLeast"/>
        <w:ind w:firstLine="600"/>
        <w:divId w:val="1337882993"/>
        <w:rPr>
          <w:rFonts w:hint="eastAsia"/>
          <w:sz w:val="30"/>
          <w:szCs w:val="30"/>
        </w:rPr>
      </w:pPr>
      <w:r>
        <w:rPr>
          <w:rFonts w:hint="eastAsia"/>
          <w:sz w:val="30"/>
          <w:szCs w:val="30"/>
        </w:rPr>
        <w:t>本院认为，本案系基于损害公司利益责任纠纷的股东代表诉讼，谭健儿系哲尚公司的股东（持股</w:t>
      </w:r>
      <w:r>
        <w:rPr>
          <w:rFonts w:hint="eastAsia"/>
          <w:sz w:val="30"/>
          <w:szCs w:val="30"/>
        </w:rPr>
        <w:t>20%</w:t>
      </w:r>
      <w:r>
        <w:rPr>
          <w:rFonts w:hint="eastAsia"/>
          <w:sz w:val="30"/>
          <w:szCs w:val="30"/>
        </w:rPr>
        <w:t>），诉求的对象是同为哲尚公司的股东郑丹（持股</w:t>
      </w:r>
      <w:r>
        <w:rPr>
          <w:rFonts w:hint="eastAsia"/>
          <w:sz w:val="30"/>
          <w:szCs w:val="30"/>
        </w:rPr>
        <w:t>35%</w:t>
      </w:r>
      <w:r>
        <w:rPr>
          <w:rFonts w:hint="eastAsia"/>
          <w:sz w:val="30"/>
          <w:szCs w:val="30"/>
        </w:rPr>
        <w:t>、公司执行董事）、王晓明（持股</w:t>
      </w:r>
      <w:r>
        <w:rPr>
          <w:rFonts w:hint="eastAsia"/>
          <w:sz w:val="30"/>
          <w:szCs w:val="30"/>
        </w:rPr>
        <w:t>30%</w:t>
      </w:r>
      <w:r>
        <w:rPr>
          <w:rFonts w:hint="eastAsia"/>
          <w:sz w:val="30"/>
          <w:szCs w:val="30"/>
        </w:rPr>
        <w:t>），适用的法律依据是《中华人民共和国公司法》第一百四十七条、第一百四十八条和第一百四十九条。一审判决已经确定谭健儿的诉权基础以及本案相关诉讼主体资格均符合相关法律规定，本</w:t>
      </w:r>
      <w:r>
        <w:rPr>
          <w:rFonts w:hint="eastAsia"/>
          <w:sz w:val="30"/>
          <w:szCs w:val="30"/>
        </w:rPr>
        <w:t>院予以确认。二审争议焦点在于谭健儿诉求的郑丹、王晓明的赔偿责任数额是否成立。</w:t>
      </w:r>
    </w:p>
    <w:p w:rsidR="00000000" w:rsidRDefault="000E6A4A">
      <w:pPr>
        <w:spacing w:line="500" w:lineRule="atLeast"/>
        <w:ind w:firstLine="600"/>
        <w:divId w:val="187918386"/>
        <w:rPr>
          <w:rFonts w:hint="eastAsia"/>
          <w:sz w:val="30"/>
          <w:szCs w:val="30"/>
        </w:rPr>
      </w:pPr>
      <w:r>
        <w:rPr>
          <w:rFonts w:hint="eastAsia"/>
          <w:sz w:val="30"/>
          <w:szCs w:val="30"/>
        </w:rPr>
        <w:t>鉴于谭健儿的请求权存在混合，包括了归入权和过错责任损害赔偿权，本院需逐一予以认定。关于归入权部分，郑丹、王晓明的身份符合法律规定情形，构成义务主体，上述两人的行为经一审判决认定亦构成违反对哲尚公司负有的忠实义务。对于责任范围，《中华人民共和国公司法》第一百四十八条第二款规定的是上述人员违反前款规定所得的收入应当归公司所有。但本案的基础事实无法证实郑丹、王晓明两人存在违法收入及具体数额，谭健儿举证证明的印正中心的经营收入不等同于郑丹</w:t>
      </w:r>
      <w:r>
        <w:rPr>
          <w:rFonts w:hint="eastAsia"/>
          <w:sz w:val="30"/>
          <w:szCs w:val="30"/>
        </w:rPr>
        <w:t>、王晓明的个人收入，据此本院无法支持谭健儿的此部分诉讼请求。关于损害赔偿部分，《中华人民共和国公司法》第一百四十九条规定的适用情形是公司的董、高、监人员在执行公司职务时违法或者违反公司章程的规定，给公司造成损失的，应当承担赔偿责任。按照侵权赔偿之诉的构成，谭健儿应当举证证实郑丹、王晓明两人存在过错行为、哲尚公司存在客观损失以及过错与损失之间存在因果关系。本案中，谭健儿举证证明哲尚公司自其离职后就陷于经营亏损，并将哲尚公司一定期间的亏损额作为赔偿依据。对此本院认为，亏损是属于公司一个持续状态的经营表现，亦是公</w:t>
      </w:r>
      <w:r>
        <w:rPr>
          <w:rFonts w:hint="eastAsia"/>
          <w:sz w:val="30"/>
          <w:szCs w:val="30"/>
        </w:rPr>
        <w:t>司内外各种因素的综合结果，不直接等同于公司的某项具体损失。结合案件其他事实可以反映，自</w:t>
      </w:r>
      <w:r>
        <w:rPr>
          <w:rFonts w:hint="eastAsia"/>
          <w:sz w:val="30"/>
          <w:szCs w:val="30"/>
        </w:rPr>
        <w:t>2014</w:t>
      </w:r>
      <w:r>
        <w:rPr>
          <w:rFonts w:hint="eastAsia"/>
          <w:sz w:val="30"/>
          <w:szCs w:val="30"/>
        </w:rPr>
        <w:t>年下半年起哲尚公司的股东之间产生矛盾，包括谭健儿在内都利用各自掌握的资源另起炉灶，弃哲尚公司于不顾，这才是哲尚公司持续亏损、歇业的根本原因。</w:t>
      </w:r>
    </w:p>
    <w:p w:rsidR="00000000" w:rsidRDefault="000E6A4A">
      <w:pPr>
        <w:spacing w:line="500" w:lineRule="atLeast"/>
        <w:ind w:firstLine="600"/>
        <w:divId w:val="1604266159"/>
        <w:rPr>
          <w:rFonts w:hint="eastAsia"/>
          <w:sz w:val="30"/>
          <w:szCs w:val="30"/>
        </w:rPr>
      </w:pPr>
      <w:r>
        <w:rPr>
          <w:rFonts w:hint="eastAsia"/>
          <w:sz w:val="30"/>
          <w:szCs w:val="30"/>
        </w:rPr>
        <w:t>综上所述，谭健儿的上诉请求不能成立，应予驳回；一审判决认定事实清楚，适用法律正确，应予维持。依照《中华人民共和国民事诉讼法》第一百七十条第一款第（一）项、第一百七十五条及第一百一十八条之规定，判决如下：</w:t>
      </w:r>
    </w:p>
    <w:p w:rsidR="00000000" w:rsidRDefault="000E6A4A">
      <w:pPr>
        <w:spacing w:line="500" w:lineRule="atLeast"/>
        <w:ind w:firstLine="600"/>
        <w:divId w:val="1216308866"/>
        <w:rPr>
          <w:rFonts w:hint="eastAsia"/>
          <w:sz w:val="30"/>
          <w:szCs w:val="30"/>
        </w:rPr>
      </w:pPr>
      <w:r>
        <w:rPr>
          <w:rFonts w:hint="eastAsia"/>
          <w:sz w:val="30"/>
          <w:szCs w:val="30"/>
        </w:rPr>
        <w:t>驳回上诉，维持原判。</w:t>
      </w:r>
    </w:p>
    <w:p w:rsidR="00000000" w:rsidRDefault="000E6A4A">
      <w:pPr>
        <w:spacing w:line="500" w:lineRule="atLeast"/>
        <w:ind w:firstLine="600"/>
        <w:divId w:val="809782652"/>
        <w:rPr>
          <w:rFonts w:hint="eastAsia"/>
          <w:sz w:val="30"/>
          <w:szCs w:val="30"/>
        </w:rPr>
      </w:pPr>
      <w:r>
        <w:rPr>
          <w:rFonts w:hint="eastAsia"/>
          <w:sz w:val="30"/>
          <w:szCs w:val="30"/>
        </w:rPr>
        <w:t>本案二审案件受理费为人民币</w:t>
      </w:r>
      <w:r>
        <w:rPr>
          <w:rFonts w:hint="eastAsia"/>
          <w:sz w:val="30"/>
          <w:szCs w:val="30"/>
        </w:rPr>
        <w:t>60,756</w:t>
      </w:r>
      <w:r>
        <w:rPr>
          <w:rFonts w:hint="eastAsia"/>
          <w:sz w:val="30"/>
          <w:szCs w:val="30"/>
        </w:rPr>
        <w:t>元，由上诉人</w:t>
      </w:r>
      <w:r>
        <w:rPr>
          <w:rFonts w:hint="eastAsia"/>
          <w:sz w:val="30"/>
          <w:szCs w:val="30"/>
        </w:rPr>
        <w:t>谭健儿负担。</w:t>
      </w:r>
    </w:p>
    <w:p w:rsidR="00000000" w:rsidRDefault="000E6A4A">
      <w:pPr>
        <w:spacing w:line="500" w:lineRule="atLeast"/>
        <w:ind w:firstLine="600"/>
        <w:divId w:val="921521749"/>
        <w:rPr>
          <w:rFonts w:hint="eastAsia"/>
          <w:sz w:val="30"/>
          <w:szCs w:val="30"/>
        </w:rPr>
      </w:pPr>
      <w:r>
        <w:rPr>
          <w:rFonts w:hint="eastAsia"/>
          <w:sz w:val="30"/>
          <w:szCs w:val="30"/>
        </w:rPr>
        <w:t>本判决为终审判决。</w:t>
      </w:r>
    </w:p>
    <w:p w:rsidR="00000000" w:rsidRDefault="000E6A4A">
      <w:pPr>
        <w:spacing w:line="500" w:lineRule="atLeast"/>
        <w:jc w:val="right"/>
        <w:divId w:val="893663251"/>
        <w:rPr>
          <w:rFonts w:hint="eastAsia"/>
          <w:sz w:val="30"/>
          <w:szCs w:val="30"/>
        </w:rPr>
      </w:pPr>
      <w:r>
        <w:rPr>
          <w:rFonts w:hint="eastAsia"/>
          <w:sz w:val="30"/>
          <w:szCs w:val="30"/>
        </w:rPr>
        <w:t>审判长　　严耿斌</w:t>
      </w:r>
    </w:p>
    <w:p w:rsidR="00000000" w:rsidRDefault="000E6A4A">
      <w:pPr>
        <w:spacing w:line="500" w:lineRule="atLeast"/>
        <w:jc w:val="right"/>
        <w:divId w:val="1512137467"/>
        <w:rPr>
          <w:rFonts w:hint="eastAsia"/>
          <w:sz w:val="30"/>
          <w:szCs w:val="30"/>
        </w:rPr>
      </w:pPr>
      <w:r>
        <w:rPr>
          <w:rFonts w:hint="eastAsia"/>
          <w:sz w:val="30"/>
          <w:szCs w:val="30"/>
        </w:rPr>
        <w:t>审判员　　季伟伟</w:t>
      </w:r>
    </w:p>
    <w:p w:rsidR="00000000" w:rsidRDefault="000E6A4A">
      <w:pPr>
        <w:spacing w:line="500" w:lineRule="atLeast"/>
        <w:jc w:val="right"/>
        <w:divId w:val="1530069367"/>
        <w:rPr>
          <w:rFonts w:hint="eastAsia"/>
          <w:sz w:val="30"/>
          <w:szCs w:val="30"/>
        </w:rPr>
      </w:pPr>
      <w:r>
        <w:rPr>
          <w:rFonts w:hint="eastAsia"/>
          <w:sz w:val="30"/>
          <w:szCs w:val="30"/>
        </w:rPr>
        <w:t>审判员　　刘　雯</w:t>
      </w:r>
    </w:p>
    <w:p w:rsidR="00000000" w:rsidRDefault="000E6A4A">
      <w:pPr>
        <w:spacing w:line="500" w:lineRule="atLeast"/>
        <w:jc w:val="right"/>
        <w:divId w:val="1160851799"/>
        <w:rPr>
          <w:rFonts w:hint="eastAsia"/>
          <w:sz w:val="30"/>
          <w:szCs w:val="30"/>
        </w:rPr>
      </w:pPr>
      <w:r>
        <w:rPr>
          <w:rFonts w:hint="eastAsia"/>
          <w:sz w:val="30"/>
          <w:szCs w:val="30"/>
        </w:rPr>
        <w:t>二〇一八年二月一日</w:t>
      </w:r>
    </w:p>
    <w:p w:rsidR="00000000" w:rsidRDefault="000E6A4A">
      <w:pPr>
        <w:spacing w:line="500" w:lineRule="atLeast"/>
        <w:jc w:val="right"/>
        <w:divId w:val="1570648529"/>
        <w:rPr>
          <w:rFonts w:hint="eastAsia"/>
          <w:sz w:val="30"/>
          <w:szCs w:val="30"/>
        </w:rPr>
      </w:pPr>
      <w:r>
        <w:rPr>
          <w:rFonts w:hint="eastAsia"/>
          <w:sz w:val="30"/>
          <w:szCs w:val="30"/>
        </w:rPr>
        <w:t>书记员　　郑雯晴</w:t>
      </w:r>
    </w:p>
    <w:p w:rsidR="00000000" w:rsidRDefault="000E6A4A">
      <w:pPr>
        <w:spacing w:line="500" w:lineRule="atLeast"/>
        <w:ind w:firstLine="600"/>
        <w:divId w:val="659038896"/>
        <w:rPr>
          <w:rFonts w:hint="eastAsia"/>
          <w:sz w:val="30"/>
          <w:szCs w:val="30"/>
        </w:rPr>
      </w:pPr>
      <w:r>
        <w:rPr>
          <w:rFonts w:hint="eastAsia"/>
          <w:sz w:val="30"/>
          <w:szCs w:val="30"/>
        </w:rPr>
        <w:t>附：相关法律条文</w:t>
      </w:r>
    </w:p>
    <w:p w:rsidR="00000000" w:rsidRDefault="000E6A4A">
      <w:pPr>
        <w:spacing w:line="500" w:lineRule="atLeast"/>
        <w:ind w:firstLine="600"/>
        <w:divId w:val="1519153238"/>
        <w:rPr>
          <w:rFonts w:hint="eastAsia"/>
          <w:sz w:val="30"/>
          <w:szCs w:val="30"/>
        </w:rPr>
      </w:pPr>
      <w:r>
        <w:rPr>
          <w:rFonts w:hint="eastAsia"/>
          <w:sz w:val="30"/>
          <w:szCs w:val="30"/>
        </w:rPr>
        <w:t>一、《中华人民共和国民事诉讼法》第一百七十条第二审人民法院对上诉案件，经过审理，按照下列情形，分别处理：（一）原判决、裁定认定事实清楚，适用法律正确的，以判决、裁定方式驳回上诉，维持原判决、裁定；……二、《中华人民共和国民事诉讼法》第一百七十五条第二审人民法院的判决、裁定，是终审的判决、裁定。三、《中华人民共和国民事诉讼法》第一百一十八条当事人进行民事诉讼，应当按照</w:t>
      </w:r>
      <w:r>
        <w:rPr>
          <w:rFonts w:hint="eastAsia"/>
          <w:sz w:val="30"/>
          <w:szCs w:val="30"/>
        </w:rPr>
        <w:t>规定交纳案件受理费。财产案件除交纳案件受理费外，并按照规定交纳其他诉讼费用。当事人交纳诉讼费用确有困难的，可以按照规定向人民法院申请缓交、减交或者免交。收取诉讼费用的办法另行制定。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A4A" w:rsidRDefault="000E6A4A" w:rsidP="000E6A4A">
      <w:r>
        <w:separator/>
      </w:r>
    </w:p>
  </w:endnote>
  <w:endnote w:type="continuationSeparator" w:id="0">
    <w:p w:rsidR="000E6A4A" w:rsidRDefault="000E6A4A" w:rsidP="000E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A4A" w:rsidRDefault="000E6A4A" w:rsidP="000E6A4A">
      <w:r>
        <w:separator/>
      </w:r>
    </w:p>
  </w:footnote>
  <w:footnote w:type="continuationSeparator" w:id="0">
    <w:p w:rsidR="000E6A4A" w:rsidRDefault="000E6A4A" w:rsidP="000E6A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E6A4A"/>
    <w:rsid w:val="000E6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E6A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6A4A"/>
    <w:rPr>
      <w:rFonts w:ascii="宋体" w:eastAsia="宋体" w:hAnsi="宋体" w:cs="宋体"/>
      <w:sz w:val="18"/>
      <w:szCs w:val="18"/>
    </w:rPr>
  </w:style>
  <w:style w:type="paragraph" w:styleId="a5">
    <w:name w:val="footer"/>
    <w:basedOn w:val="a"/>
    <w:link w:val="a6"/>
    <w:uiPriority w:val="99"/>
    <w:unhideWhenUsed/>
    <w:rsid w:val="000E6A4A"/>
    <w:pPr>
      <w:tabs>
        <w:tab w:val="center" w:pos="4153"/>
        <w:tab w:val="right" w:pos="8306"/>
      </w:tabs>
      <w:snapToGrid w:val="0"/>
    </w:pPr>
    <w:rPr>
      <w:sz w:val="18"/>
      <w:szCs w:val="18"/>
    </w:rPr>
  </w:style>
  <w:style w:type="character" w:customStyle="1" w:styleId="a6">
    <w:name w:val="页脚 字符"/>
    <w:basedOn w:val="a0"/>
    <w:link w:val="a5"/>
    <w:uiPriority w:val="99"/>
    <w:rsid w:val="000E6A4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169">
      <w:marLeft w:val="0"/>
      <w:marRight w:val="0"/>
      <w:marTop w:val="10"/>
      <w:marBottom w:val="10"/>
      <w:divBdr>
        <w:top w:val="none" w:sz="0" w:space="0" w:color="auto"/>
        <w:left w:val="none" w:sz="0" w:space="0" w:color="auto"/>
        <w:bottom w:val="none" w:sz="0" w:space="0" w:color="auto"/>
        <w:right w:val="none" w:sz="0" w:space="0" w:color="auto"/>
      </w:divBdr>
    </w:div>
    <w:div w:id="16658009">
      <w:marLeft w:val="0"/>
      <w:marRight w:val="0"/>
      <w:marTop w:val="10"/>
      <w:marBottom w:val="10"/>
      <w:divBdr>
        <w:top w:val="none" w:sz="0" w:space="0" w:color="auto"/>
        <w:left w:val="none" w:sz="0" w:space="0" w:color="auto"/>
        <w:bottom w:val="none" w:sz="0" w:space="0" w:color="auto"/>
        <w:right w:val="none" w:sz="0" w:space="0" w:color="auto"/>
      </w:divBdr>
    </w:div>
    <w:div w:id="108159422">
      <w:marLeft w:val="0"/>
      <w:marRight w:val="0"/>
      <w:marTop w:val="10"/>
      <w:marBottom w:val="10"/>
      <w:divBdr>
        <w:top w:val="none" w:sz="0" w:space="0" w:color="auto"/>
        <w:left w:val="none" w:sz="0" w:space="0" w:color="auto"/>
        <w:bottom w:val="none" w:sz="0" w:space="0" w:color="auto"/>
        <w:right w:val="none" w:sz="0" w:space="0" w:color="auto"/>
      </w:divBdr>
    </w:div>
    <w:div w:id="138765616">
      <w:marLeft w:val="0"/>
      <w:marRight w:val="0"/>
      <w:marTop w:val="10"/>
      <w:marBottom w:val="10"/>
      <w:divBdr>
        <w:top w:val="none" w:sz="0" w:space="0" w:color="auto"/>
        <w:left w:val="none" w:sz="0" w:space="0" w:color="auto"/>
        <w:bottom w:val="none" w:sz="0" w:space="0" w:color="auto"/>
        <w:right w:val="none" w:sz="0" w:space="0" w:color="auto"/>
      </w:divBdr>
    </w:div>
    <w:div w:id="187918386">
      <w:marLeft w:val="0"/>
      <w:marRight w:val="0"/>
      <w:marTop w:val="10"/>
      <w:marBottom w:val="10"/>
      <w:divBdr>
        <w:top w:val="none" w:sz="0" w:space="0" w:color="auto"/>
        <w:left w:val="none" w:sz="0" w:space="0" w:color="auto"/>
        <w:bottom w:val="none" w:sz="0" w:space="0" w:color="auto"/>
        <w:right w:val="none" w:sz="0" w:space="0" w:color="auto"/>
      </w:divBdr>
    </w:div>
    <w:div w:id="198472225">
      <w:marLeft w:val="0"/>
      <w:marRight w:val="0"/>
      <w:marTop w:val="10"/>
      <w:marBottom w:val="10"/>
      <w:divBdr>
        <w:top w:val="none" w:sz="0" w:space="0" w:color="auto"/>
        <w:left w:val="none" w:sz="0" w:space="0" w:color="auto"/>
        <w:bottom w:val="none" w:sz="0" w:space="0" w:color="auto"/>
        <w:right w:val="none" w:sz="0" w:space="0" w:color="auto"/>
      </w:divBdr>
    </w:div>
    <w:div w:id="235358237">
      <w:marLeft w:val="0"/>
      <w:marRight w:val="0"/>
      <w:marTop w:val="10"/>
      <w:marBottom w:val="10"/>
      <w:divBdr>
        <w:top w:val="none" w:sz="0" w:space="0" w:color="auto"/>
        <w:left w:val="none" w:sz="0" w:space="0" w:color="auto"/>
        <w:bottom w:val="none" w:sz="0" w:space="0" w:color="auto"/>
        <w:right w:val="none" w:sz="0" w:space="0" w:color="auto"/>
      </w:divBdr>
    </w:div>
    <w:div w:id="271397834">
      <w:marLeft w:val="0"/>
      <w:marRight w:val="0"/>
      <w:marTop w:val="10"/>
      <w:marBottom w:val="10"/>
      <w:divBdr>
        <w:top w:val="none" w:sz="0" w:space="0" w:color="auto"/>
        <w:left w:val="none" w:sz="0" w:space="0" w:color="auto"/>
        <w:bottom w:val="none" w:sz="0" w:space="0" w:color="auto"/>
        <w:right w:val="none" w:sz="0" w:space="0" w:color="auto"/>
      </w:divBdr>
    </w:div>
    <w:div w:id="279262423">
      <w:marLeft w:val="0"/>
      <w:marRight w:val="0"/>
      <w:marTop w:val="10"/>
      <w:marBottom w:val="10"/>
      <w:divBdr>
        <w:top w:val="none" w:sz="0" w:space="0" w:color="auto"/>
        <w:left w:val="none" w:sz="0" w:space="0" w:color="auto"/>
        <w:bottom w:val="none" w:sz="0" w:space="0" w:color="auto"/>
        <w:right w:val="none" w:sz="0" w:space="0" w:color="auto"/>
      </w:divBdr>
    </w:div>
    <w:div w:id="424620389">
      <w:marLeft w:val="0"/>
      <w:marRight w:val="0"/>
      <w:marTop w:val="10"/>
      <w:marBottom w:val="10"/>
      <w:divBdr>
        <w:top w:val="none" w:sz="0" w:space="0" w:color="auto"/>
        <w:left w:val="none" w:sz="0" w:space="0" w:color="auto"/>
        <w:bottom w:val="none" w:sz="0" w:space="0" w:color="auto"/>
        <w:right w:val="none" w:sz="0" w:space="0" w:color="auto"/>
      </w:divBdr>
    </w:div>
    <w:div w:id="506019705">
      <w:marLeft w:val="0"/>
      <w:marRight w:val="0"/>
      <w:marTop w:val="10"/>
      <w:marBottom w:val="10"/>
      <w:divBdr>
        <w:top w:val="none" w:sz="0" w:space="0" w:color="auto"/>
        <w:left w:val="none" w:sz="0" w:space="0" w:color="auto"/>
        <w:bottom w:val="none" w:sz="0" w:space="0" w:color="auto"/>
        <w:right w:val="none" w:sz="0" w:space="0" w:color="auto"/>
      </w:divBdr>
    </w:div>
    <w:div w:id="604266459">
      <w:marLeft w:val="0"/>
      <w:marRight w:val="0"/>
      <w:marTop w:val="10"/>
      <w:marBottom w:val="10"/>
      <w:divBdr>
        <w:top w:val="none" w:sz="0" w:space="0" w:color="auto"/>
        <w:left w:val="none" w:sz="0" w:space="0" w:color="auto"/>
        <w:bottom w:val="none" w:sz="0" w:space="0" w:color="auto"/>
        <w:right w:val="none" w:sz="0" w:space="0" w:color="auto"/>
      </w:divBdr>
    </w:div>
    <w:div w:id="644507754">
      <w:marLeft w:val="0"/>
      <w:marRight w:val="0"/>
      <w:marTop w:val="10"/>
      <w:marBottom w:val="10"/>
      <w:divBdr>
        <w:top w:val="none" w:sz="0" w:space="0" w:color="auto"/>
        <w:left w:val="none" w:sz="0" w:space="0" w:color="auto"/>
        <w:bottom w:val="none" w:sz="0" w:space="0" w:color="auto"/>
        <w:right w:val="none" w:sz="0" w:space="0" w:color="auto"/>
      </w:divBdr>
    </w:div>
    <w:div w:id="652949983">
      <w:marLeft w:val="0"/>
      <w:marRight w:val="0"/>
      <w:marTop w:val="10"/>
      <w:marBottom w:val="10"/>
      <w:divBdr>
        <w:top w:val="none" w:sz="0" w:space="0" w:color="auto"/>
        <w:left w:val="none" w:sz="0" w:space="0" w:color="auto"/>
        <w:bottom w:val="none" w:sz="0" w:space="0" w:color="auto"/>
        <w:right w:val="none" w:sz="0" w:space="0" w:color="auto"/>
      </w:divBdr>
    </w:div>
    <w:div w:id="655182017">
      <w:marLeft w:val="0"/>
      <w:marRight w:val="0"/>
      <w:marTop w:val="10"/>
      <w:marBottom w:val="10"/>
      <w:divBdr>
        <w:top w:val="none" w:sz="0" w:space="0" w:color="auto"/>
        <w:left w:val="none" w:sz="0" w:space="0" w:color="auto"/>
        <w:bottom w:val="none" w:sz="0" w:space="0" w:color="auto"/>
        <w:right w:val="none" w:sz="0" w:space="0" w:color="auto"/>
      </w:divBdr>
    </w:div>
    <w:div w:id="659038896">
      <w:marLeft w:val="0"/>
      <w:marRight w:val="0"/>
      <w:marTop w:val="10"/>
      <w:marBottom w:val="10"/>
      <w:divBdr>
        <w:top w:val="none" w:sz="0" w:space="0" w:color="auto"/>
        <w:left w:val="none" w:sz="0" w:space="0" w:color="auto"/>
        <w:bottom w:val="none" w:sz="0" w:space="0" w:color="auto"/>
        <w:right w:val="none" w:sz="0" w:space="0" w:color="auto"/>
      </w:divBdr>
    </w:div>
    <w:div w:id="675770619">
      <w:marLeft w:val="0"/>
      <w:marRight w:val="0"/>
      <w:marTop w:val="10"/>
      <w:marBottom w:val="10"/>
      <w:divBdr>
        <w:top w:val="none" w:sz="0" w:space="0" w:color="auto"/>
        <w:left w:val="none" w:sz="0" w:space="0" w:color="auto"/>
        <w:bottom w:val="none" w:sz="0" w:space="0" w:color="auto"/>
        <w:right w:val="none" w:sz="0" w:space="0" w:color="auto"/>
      </w:divBdr>
    </w:div>
    <w:div w:id="677779437">
      <w:marLeft w:val="0"/>
      <w:marRight w:val="0"/>
      <w:marTop w:val="10"/>
      <w:marBottom w:val="10"/>
      <w:divBdr>
        <w:top w:val="none" w:sz="0" w:space="0" w:color="auto"/>
        <w:left w:val="none" w:sz="0" w:space="0" w:color="auto"/>
        <w:bottom w:val="none" w:sz="0" w:space="0" w:color="auto"/>
        <w:right w:val="none" w:sz="0" w:space="0" w:color="auto"/>
      </w:divBdr>
    </w:div>
    <w:div w:id="693384203">
      <w:marLeft w:val="0"/>
      <w:marRight w:val="0"/>
      <w:marTop w:val="10"/>
      <w:marBottom w:val="10"/>
      <w:divBdr>
        <w:top w:val="none" w:sz="0" w:space="0" w:color="auto"/>
        <w:left w:val="none" w:sz="0" w:space="0" w:color="auto"/>
        <w:bottom w:val="none" w:sz="0" w:space="0" w:color="auto"/>
        <w:right w:val="none" w:sz="0" w:space="0" w:color="auto"/>
      </w:divBdr>
    </w:div>
    <w:div w:id="745612809">
      <w:marLeft w:val="0"/>
      <w:marRight w:val="0"/>
      <w:marTop w:val="10"/>
      <w:marBottom w:val="10"/>
      <w:divBdr>
        <w:top w:val="none" w:sz="0" w:space="0" w:color="auto"/>
        <w:left w:val="none" w:sz="0" w:space="0" w:color="auto"/>
        <w:bottom w:val="none" w:sz="0" w:space="0" w:color="auto"/>
        <w:right w:val="none" w:sz="0" w:space="0" w:color="auto"/>
      </w:divBdr>
    </w:div>
    <w:div w:id="770973839">
      <w:marLeft w:val="0"/>
      <w:marRight w:val="0"/>
      <w:marTop w:val="10"/>
      <w:marBottom w:val="10"/>
      <w:divBdr>
        <w:top w:val="none" w:sz="0" w:space="0" w:color="auto"/>
        <w:left w:val="none" w:sz="0" w:space="0" w:color="auto"/>
        <w:bottom w:val="none" w:sz="0" w:space="0" w:color="auto"/>
        <w:right w:val="none" w:sz="0" w:space="0" w:color="auto"/>
      </w:divBdr>
    </w:div>
    <w:div w:id="809782652">
      <w:marLeft w:val="0"/>
      <w:marRight w:val="0"/>
      <w:marTop w:val="10"/>
      <w:marBottom w:val="10"/>
      <w:divBdr>
        <w:top w:val="none" w:sz="0" w:space="0" w:color="auto"/>
        <w:left w:val="none" w:sz="0" w:space="0" w:color="auto"/>
        <w:bottom w:val="none" w:sz="0" w:space="0" w:color="auto"/>
        <w:right w:val="none" w:sz="0" w:space="0" w:color="auto"/>
      </w:divBdr>
    </w:div>
    <w:div w:id="823008557">
      <w:marLeft w:val="0"/>
      <w:marRight w:val="0"/>
      <w:marTop w:val="10"/>
      <w:marBottom w:val="10"/>
      <w:divBdr>
        <w:top w:val="none" w:sz="0" w:space="0" w:color="auto"/>
        <w:left w:val="none" w:sz="0" w:space="0" w:color="auto"/>
        <w:bottom w:val="none" w:sz="0" w:space="0" w:color="auto"/>
        <w:right w:val="none" w:sz="0" w:space="0" w:color="auto"/>
      </w:divBdr>
    </w:div>
    <w:div w:id="843083187">
      <w:marLeft w:val="0"/>
      <w:marRight w:val="0"/>
      <w:marTop w:val="10"/>
      <w:marBottom w:val="10"/>
      <w:divBdr>
        <w:top w:val="none" w:sz="0" w:space="0" w:color="auto"/>
        <w:left w:val="none" w:sz="0" w:space="0" w:color="auto"/>
        <w:bottom w:val="none" w:sz="0" w:space="0" w:color="auto"/>
        <w:right w:val="none" w:sz="0" w:space="0" w:color="auto"/>
      </w:divBdr>
    </w:div>
    <w:div w:id="893663251">
      <w:marLeft w:val="0"/>
      <w:marRight w:val="720"/>
      <w:marTop w:val="10"/>
      <w:marBottom w:val="10"/>
      <w:divBdr>
        <w:top w:val="none" w:sz="0" w:space="0" w:color="auto"/>
        <w:left w:val="none" w:sz="0" w:space="0" w:color="auto"/>
        <w:bottom w:val="none" w:sz="0" w:space="0" w:color="auto"/>
        <w:right w:val="none" w:sz="0" w:space="0" w:color="auto"/>
      </w:divBdr>
    </w:div>
    <w:div w:id="912354151">
      <w:marLeft w:val="0"/>
      <w:marRight w:val="0"/>
      <w:marTop w:val="10"/>
      <w:marBottom w:val="10"/>
      <w:divBdr>
        <w:top w:val="none" w:sz="0" w:space="0" w:color="auto"/>
        <w:left w:val="none" w:sz="0" w:space="0" w:color="auto"/>
        <w:bottom w:val="none" w:sz="0" w:space="0" w:color="auto"/>
        <w:right w:val="none" w:sz="0" w:space="0" w:color="auto"/>
      </w:divBdr>
    </w:div>
    <w:div w:id="921521749">
      <w:marLeft w:val="0"/>
      <w:marRight w:val="0"/>
      <w:marTop w:val="10"/>
      <w:marBottom w:val="10"/>
      <w:divBdr>
        <w:top w:val="none" w:sz="0" w:space="0" w:color="auto"/>
        <w:left w:val="none" w:sz="0" w:space="0" w:color="auto"/>
        <w:bottom w:val="none" w:sz="0" w:space="0" w:color="auto"/>
        <w:right w:val="none" w:sz="0" w:space="0" w:color="auto"/>
      </w:divBdr>
    </w:div>
    <w:div w:id="1160851799">
      <w:marLeft w:val="0"/>
      <w:marRight w:val="720"/>
      <w:marTop w:val="10"/>
      <w:marBottom w:val="10"/>
      <w:divBdr>
        <w:top w:val="none" w:sz="0" w:space="0" w:color="auto"/>
        <w:left w:val="none" w:sz="0" w:space="0" w:color="auto"/>
        <w:bottom w:val="none" w:sz="0" w:space="0" w:color="auto"/>
        <w:right w:val="none" w:sz="0" w:space="0" w:color="auto"/>
      </w:divBdr>
    </w:div>
    <w:div w:id="1161770129">
      <w:marLeft w:val="0"/>
      <w:marRight w:val="0"/>
      <w:marTop w:val="10"/>
      <w:marBottom w:val="10"/>
      <w:divBdr>
        <w:top w:val="none" w:sz="0" w:space="0" w:color="auto"/>
        <w:left w:val="none" w:sz="0" w:space="0" w:color="auto"/>
        <w:bottom w:val="none" w:sz="0" w:space="0" w:color="auto"/>
        <w:right w:val="none" w:sz="0" w:space="0" w:color="auto"/>
      </w:divBdr>
    </w:div>
    <w:div w:id="1216308866">
      <w:marLeft w:val="0"/>
      <w:marRight w:val="0"/>
      <w:marTop w:val="10"/>
      <w:marBottom w:val="10"/>
      <w:divBdr>
        <w:top w:val="none" w:sz="0" w:space="0" w:color="auto"/>
        <w:left w:val="none" w:sz="0" w:space="0" w:color="auto"/>
        <w:bottom w:val="none" w:sz="0" w:space="0" w:color="auto"/>
        <w:right w:val="none" w:sz="0" w:space="0" w:color="auto"/>
      </w:divBdr>
    </w:div>
    <w:div w:id="1307314655">
      <w:marLeft w:val="0"/>
      <w:marRight w:val="0"/>
      <w:marTop w:val="10"/>
      <w:marBottom w:val="10"/>
      <w:divBdr>
        <w:top w:val="none" w:sz="0" w:space="0" w:color="auto"/>
        <w:left w:val="none" w:sz="0" w:space="0" w:color="auto"/>
        <w:bottom w:val="none" w:sz="0" w:space="0" w:color="auto"/>
        <w:right w:val="none" w:sz="0" w:space="0" w:color="auto"/>
      </w:divBdr>
    </w:div>
    <w:div w:id="1337882993">
      <w:marLeft w:val="0"/>
      <w:marRight w:val="0"/>
      <w:marTop w:val="10"/>
      <w:marBottom w:val="10"/>
      <w:divBdr>
        <w:top w:val="none" w:sz="0" w:space="0" w:color="auto"/>
        <w:left w:val="none" w:sz="0" w:space="0" w:color="auto"/>
        <w:bottom w:val="none" w:sz="0" w:space="0" w:color="auto"/>
        <w:right w:val="none" w:sz="0" w:space="0" w:color="auto"/>
      </w:divBdr>
    </w:div>
    <w:div w:id="1421558970">
      <w:marLeft w:val="0"/>
      <w:marRight w:val="0"/>
      <w:marTop w:val="10"/>
      <w:marBottom w:val="10"/>
      <w:divBdr>
        <w:top w:val="none" w:sz="0" w:space="0" w:color="auto"/>
        <w:left w:val="none" w:sz="0" w:space="0" w:color="auto"/>
        <w:bottom w:val="none" w:sz="0" w:space="0" w:color="auto"/>
        <w:right w:val="none" w:sz="0" w:space="0" w:color="auto"/>
      </w:divBdr>
    </w:div>
    <w:div w:id="1511292091">
      <w:marLeft w:val="0"/>
      <w:marRight w:val="0"/>
      <w:marTop w:val="10"/>
      <w:marBottom w:val="10"/>
      <w:divBdr>
        <w:top w:val="none" w:sz="0" w:space="0" w:color="auto"/>
        <w:left w:val="none" w:sz="0" w:space="0" w:color="auto"/>
        <w:bottom w:val="none" w:sz="0" w:space="0" w:color="auto"/>
        <w:right w:val="none" w:sz="0" w:space="0" w:color="auto"/>
      </w:divBdr>
    </w:div>
    <w:div w:id="1511794705">
      <w:marLeft w:val="0"/>
      <w:marRight w:val="0"/>
      <w:marTop w:val="10"/>
      <w:marBottom w:val="10"/>
      <w:divBdr>
        <w:top w:val="none" w:sz="0" w:space="0" w:color="auto"/>
        <w:left w:val="none" w:sz="0" w:space="0" w:color="auto"/>
        <w:bottom w:val="none" w:sz="0" w:space="0" w:color="auto"/>
        <w:right w:val="none" w:sz="0" w:space="0" w:color="auto"/>
      </w:divBdr>
    </w:div>
    <w:div w:id="1512137467">
      <w:marLeft w:val="0"/>
      <w:marRight w:val="720"/>
      <w:marTop w:val="10"/>
      <w:marBottom w:val="10"/>
      <w:divBdr>
        <w:top w:val="none" w:sz="0" w:space="0" w:color="auto"/>
        <w:left w:val="none" w:sz="0" w:space="0" w:color="auto"/>
        <w:bottom w:val="none" w:sz="0" w:space="0" w:color="auto"/>
        <w:right w:val="none" w:sz="0" w:space="0" w:color="auto"/>
      </w:divBdr>
    </w:div>
    <w:div w:id="1519153238">
      <w:marLeft w:val="0"/>
      <w:marRight w:val="0"/>
      <w:marTop w:val="10"/>
      <w:marBottom w:val="10"/>
      <w:divBdr>
        <w:top w:val="none" w:sz="0" w:space="0" w:color="auto"/>
        <w:left w:val="none" w:sz="0" w:space="0" w:color="auto"/>
        <w:bottom w:val="none" w:sz="0" w:space="0" w:color="auto"/>
        <w:right w:val="none" w:sz="0" w:space="0" w:color="auto"/>
      </w:divBdr>
    </w:div>
    <w:div w:id="1530069367">
      <w:marLeft w:val="0"/>
      <w:marRight w:val="720"/>
      <w:marTop w:val="10"/>
      <w:marBottom w:val="10"/>
      <w:divBdr>
        <w:top w:val="none" w:sz="0" w:space="0" w:color="auto"/>
        <w:left w:val="none" w:sz="0" w:space="0" w:color="auto"/>
        <w:bottom w:val="none" w:sz="0" w:space="0" w:color="auto"/>
        <w:right w:val="none" w:sz="0" w:space="0" w:color="auto"/>
      </w:divBdr>
    </w:div>
    <w:div w:id="1550805524">
      <w:marLeft w:val="0"/>
      <w:marRight w:val="0"/>
      <w:marTop w:val="10"/>
      <w:marBottom w:val="10"/>
      <w:divBdr>
        <w:top w:val="none" w:sz="0" w:space="0" w:color="auto"/>
        <w:left w:val="none" w:sz="0" w:space="0" w:color="auto"/>
        <w:bottom w:val="none" w:sz="0" w:space="0" w:color="auto"/>
        <w:right w:val="none" w:sz="0" w:space="0" w:color="auto"/>
      </w:divBdr>
    </w:div>
    <w:div w:id="1554074721">
      <w:marLeft w:val="0"/>
      <w:marRight w:val="0"/>
      <w:marTop w:val="10"/>
      <w:marBottom w:val="10"/>
      <w:divBdr>
        <w:top w:val="none" w:sz="0" w:space="0" w:color="auto"/>
        <w:left w:val="none" w:sz="0" w:space="0" w:color="auto"/>
        <w:bottom w:val="none" w:sz="0" w:space="0" w:color="auto"/>
        <w:right w:val="none" w:sz="0" w:space="0" w:color="auto"/>
      </w:divBdr>
    </w:div>
    <w:div w:id="1570648529">
      <w:marLeft w:val="0"/>
      <w:marRight w:val="720"/>
      <w:marTop w:val="10"/>
      <w:marBottom w:val="10"/>
      <w:divBdr>
        <w:top w:val="none" w:sz="0" w:space="0" w:color="auto"/>
        <w:left w:val="none" w:sz="0" w:space="0" w:color="auto"/>
        <w:bottom w:val="none" w:sz="0" w:space="0" w:color="auto"/>
        <w:right w:val="none" w:sz="0" w:space="0" w:color="auto"/>
      </w:divBdr>
    </w:div>
    <w:div w:id="1604266159">
      <w:marLeft w:val="0"/>
      <w:marRight w:val="0"/>
      <w:marTop w:val="10"/>
      <w:marBottom w:val="10"/>
      <w:divBdr>
        <w:top w:val="none" w:sz="0" w:space="0" w:color="auto"/>
        <w:left w:val="none" w:sz="0" w:space="0" w:color="auto"/>
        <w:bottom w:val="none" w:sz="0" w:space="0" w:color="auto"/>
        <w:right w:val="none" w:sz="0" w:space="0" w:color="auto"/>
      </w:divBdr>
    </w:div>
    <w:div w:id="1624648392">
      <w:marLeft w:val="0"/>
      <w:marRight w:val="0"/>
      <w:marTop w:val="10"/>
      <w:marBottom w:val="10"/>
      <w:divBdr>
        <w:top w:val="none" w:sz="0" w:space="0" w:color="auto"/>
        <w:left w:val="none" w:sz="0" w:space="0" w:color="auto"/>
        <w:bottom w:val="none" w:sz="0" w:space="0" w:color="auto"/>
        <w:right w:val="none" w:sz="0" w:space="0" w:color="auto"/>
      </w:divBdr>
    </w:div>
    <w:div w:id="1631590047">
      <w:marLeft w:val="0"/>
      <w:marRight w:val="0"/>
      <w:marTop w:val="10"/>
      <w:marBottom w:val="10"/>
      <w:divBdr>
        <w:top w:val="none" w:sz="0" w:space="0" w:color="auto"/>
        <w:left w:val="none" w:sz="0" w:space="0" w:color="auto"/>
        <w:bottom w:val="none" w:sz="0" w:space="0" w:color="auto"/>
        <w:right w:val="none" w:sz="0" w:space="0" w:color="auto"/>
      </w:divBdr>
    </w:div>
    <w:div w:id="1847551913">
      <w:marLeft w:val="0"/>
      <w:marRight w:val="0"/>
      <w:marTop w:val="10"/>
      <w:marBottom w:val="10"/>
      <w:divBdr>
        <w:top w:val="none" w:sz="0" w:space="0" w:color="auto"/>
        <w:left w:val="none" w:sz="0" w:space="0" w:color="auto"/>
        <w:bottom w:val="none" w:sz="0" w:space="0" w:color="auto"/>
        <w:right w:val="none" w:sz="0" w:space="0" w:color="auto"/>
      </w:divBdr>
    </w:div>
    <w:div w:id="19503156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