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E47DC">
      <w:pPr>
        <w:spacing w:line="500" w:lineRule="atLeast"/>
        <w:jc w:val="center"/>
        <w:divId w:val="1344747274"/>
        <w:rPr>
          <w:rFonts w:ascii="黑体" w:eastAsia="黑体" w:hAnsi="黑体"/>
          <w:sz w:val="36"/>
          <w:szCs w:val="36"/>
        </w:rPr>
      </w:pPr>
      <w:bookmarkStart w:id="0" w:name="_GoBack"/>
      <w:bookmarkEnd w:id="0"/>
      <w:r>
        <w:rPr>
          <w:rFonts w:ascii="黑体" w:eastAsia="黑体" w:hAnsi="黑体" w:hint="eastAsia"/>
          <w:sz w:val="36"/>
          <w:szCs w:val="36"/>
        </w:rPr>
        <w:t>河南省郑州市中级人民法院</w:t>
      </w:r>
    </w:p>
    <w:p w:rsidR="00000000" w:rsidRDefault="00FE47DC">
      <w:pPr>
        <w:spacing w:line="500" w:lineRule="atLeast"/>
        <w:jc w:val="center"/>
        <w:divId w:val="49684634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E47DC">
      <w:pPr>
        <w:spacing w:line="500" w:lineRule="atLeast"/>
        <w:jc w:val="right"/>
        <w:divId w:val="1708748899"/>
        <w:rPr>
          <w:rFonts w:hint="eastAsia"/>
          <w:sz w:val="30"/>
          <w:szCs w:val="30"/>
        </w:rPr>
      </w:pPr>
      <w:r>
        <w:rPr>
          <w:rFonts w:hint="eastAsia"/>
          <w:sz w:val="30"/>
          <w:szCs w:val="30"/>
        </w:rPr>
        <w:t>（</w:t>
      </w:r>
      <w:r>
        <w:rPr>
          <w:rFonts w:hint="eastAsia"/>
          <w:sz w:val="30"/>
          <w:szCs w:val="30"/>
        </w:rPr>
        <w:t>2021</w:t>
      </w:r>
      <w:r>
        <w:rPr>
          <w:rFonts w:hint="eastAsia"/>
          <w:sz w:val="30"/>
          <w:szCs w:val="30"/>
        </w:rPr>
        <w:t>）豫</w:t>
      </w:r>
      <w:r>
        <w:rPr>
          <w:rFonts w:hint="eastAsia"/>
          <w:sz w:val="30"/>
          <w:szCs w:val="30"/>
        </w:rPr>
        <w:t>01</w:t>
      </w:r>
      <w:r>
        <w:rPr>
          <w:rFonts w:hint="eastAsia"/>
          <w:sz w:val="30"/>
          <w:szCs w:val="30"/>
        </w:rPr>
        <w:t>民终</w:t>
      </w:r>
      <w:r>
        <w:rPr>
          <w:rFonts w:hint="eastAsia"/>
          <w:sz w:val="30"/>
          <w:szCs w:val="30"/>
        </w:rPr>
        <w:t>3447</w:t>
      </w:r>
      <w:r>
        <w:rPr>
          <w:rFonts w:hint="eastAsia"/>
          <w:sz w:val="30"/>
          <w:szCs w:val="30"/>
        </w:rPr>
        <w:t>号</w:t>
      </w:r>
    </w:p>
    <w:p w:rsidR="00000000" w:rsidRDefault="00FE47DC">
      <w:pPr>
        <w:spacing w:line="500" w:lineRule="atLeast"/>
        <w:ind w:firstLine="600"/>
        <w:divId w:val="496770118"/>
        <w:rPr>
          <w:rFonts w:hint="eastAsia"/>
          <w:sz w:val="30"/>
          <w:szCs w:val="30"/>
        </w:rPr>
      </w:pPr>
      <w:r>
        <w:rPr>
          <w:rFonts w:hint="eastAsia"/>
          <w:sz w:val="30"/>
          <w:szCs w:val="30"/>
        </w:rPr>
        <w:t>上诉人</w:t>
      </w:r>
      <w:r>
        <w:rPr>
          <w:rFonts w:hint="eastAsia"/>
          <w:sz w:val="30"/>
          <w:szCs w:val="30"/>
        </w:rPr>
        <w:t>(</w:t>
      </w:r>
      <w:r>
        <w:rPr>
          <w:rFonts w:hint="eastAsia"/>
          <w:sz w:val="30"/>
          <w:szCs w:val="30"/>
        </w:rPr>
        <w:t>原审原告</w:t>
      </w:r>
      <w:r>
        <w:rPr>
          <w:rFonts w:hint="eastAsia"/>
          <w:sz w:val="30"/>
          <w:szCs w:val="30"/>
        </w:rPr>
        <w:t>)</w:t>
      </w:r>
      <w:r>
        <w:rPr>
          <w:rFonts w:hint="eastAsia"/>
          <w:sz w:val="30"/>
          <w:szCs w:val="30"/>
        </w:rPr>
        <w:t>：郑州克莱克特科学仪器有限公司，住所地河南省郑州高新开发区长椿路</w:t>
      </w:r>
      <w:r>
        <w:rPr>
          <w:rFonts w:hint="eastAsia"/>
          <w:sz w:val="30"/>
          <w:szCs w:val="30"/>
        </w:rPr>
        <w:t>11</w:t>
      </w:r>
      <w:r>
        <w:rPr>
          <w:rFonts w:hint="eastAsia"/>
          <w:sz w:val="30"/>
          <w:szCs w:val="30"/>
        </w:rPr>
        <w:t>号</w:t>
      </w:r>
      <w:r>
        <w:rPr>
          <w:rFonts w:hint="eastAsia"/>
          <w:sz w:val="30"/>
          <w:szCs w:val="30"/>
        </w:rPr>
        <w:t>2</w:t>
      </w:r>
      <w:r>
        <w:rPr>
          <w:rFonts w:hint="eastAsia"/>
          <w:sz w:val="30"/>
          <w:szCs w:val="30"/>
        </w:rPr>
        <w:t>号厂房</w:t>
      </w:r>
      <w:r>
        <w:rPr>
          <w:rFonts w:hint="eastAsia"/>
          <w:sz w:val="30"/>
          <w:szCs w:val="30"/>
        </w:rPr>
        <w:t>A</w:t>
      </w:r>
      <w:r>
        <w:rPr>
          <w:rFonts w:hint="eastAsia"/>
          <w:sz w:val="30"/>
          <w:szCs w:val="30"/>
        </w:rPr>
        <w:t>单元</w:t>
      </w:r>
      <w:r>
        <w:rPr>
          <w:rFonts w:hint="eastAsia"/>
          <w:sz w:val="30"/>
          <w:szCs w:val="30"/>
        </w:rPr>
        <w:t>1</w:t>
      </w:r>
      <w:r>
        <w:rPr>
          <w:rFonts w:hint="eastAsia"/>
          <w:sz w:val="30"/>
          <w:szCs w:val="30"/>
        </w:rPr>
        <w:t>层</w:t>
      </w:r>
      <w:r>
        <w:rPr>
          <w:rFonts w:hint="eastAsia"/>
          <w:sz w:val="30"/>
          <w:szCs w:val="30"/>
        </w:rPr>
        <w:t>A1</w:t>
      </w:r>
      <w:r>
        <w:rPr>
          <w:rFonts w:hint="eastAsia"/>
          <w:sz w:val="30"/>
          <w:szCs w:val="30"/>
        </w:rPr>
        <w:t>号，统一社会信用代码</w:t>
      </w:r>
      <w:r>
        <w:rPr>
          <w:rFonts w:hint="eastAsia"/>
          <w:sz w:val="30"/>
          <w:szCs w:val="30"/>
        </w:rPr>
        <w:t>9141010069488468XT</w:t>
      </w:r>
      <w:r>
        <w:rPr>
          <w:rFonts w:hint="eastAsia"/>
          <w:sz w:val="30"/>
          <w:szCs w:val="30"/>
        </w:rPr>
        <w:t>。</w:t>
      </w:r>
    </w:p>
    <w:p w:rsidR="00000000" w:rsidRDefault="00FE47DC">
      <w:pPr>
        <w:spacing w:line="500" w:lineRule="atLeast"/>
        <w:ind w:firstLine="600"/>
        <w:divId w:val="664237503"/>
        <w:rPr>
          <w:rFonts w:hint="eastAsia"/>
          <w:sz w:val="30"/>
          <w:szCs w:val="30"/>
        </w:rPr>
      </w:pPr>
      <w:r>
        <w:rPr>
          <w:rFonts w:hint="eastAsia"/>
          <w:sz w:val="30"/>
          <w:szCs w:val="30"/>
        </w:rPr>
        <w:t>法定代表人：梅建伟，总经理。</w:t>
      </w:r>
    </w:p>
    <w:p w:rsidR="00000000" w:rsidRDefault="00FE47DC">
      <w:pPr>
        <w:spacing w:line="500" w:lineRule="atLeast"/>
        <w:ind w:firstLine="600"/>
        <w:divId w:val="1339231954"/>
        <w:rPr>
          <w:rFonts w:hint="eastAsia"/>
          <w:sz w:val="30"/>
          <w:szCs w:val="30"/>
        </w:rPr>
      </w:pPr>
      <w:r>
        <w:rPr>
          <w:rFonts w:hint="eastAsia"/>
          <w:sz w:val="30"/>
          <w:szCs w:val="30"/>
        </w:rPr>
        <w:t>委托诉讼代理人：马鹏程，河南亚太人律师事务所律师。</w:t>
      </w:r>
    </w:p>
    <w:p w:rsidR="00000000" w:rsidRDefault="00FE47DC">
      <w:pPr>
        <w:spacing w:line="500" w:lineRule="atLeast"/>
        <w:ind w:firstLine="600"/>
        <w:divId w:val="682824886"/>
        <w:rPr>
          <w:rFonts w:hint="eastAsia"/>
          <w:sz w:val="30"/>
          <w:szCs w:val="30"/>
        </w:rPr>
      </w:pPr>
      <w:r>
        <w:rPr>
          <w:rFonts w:hint="eastAsia"/>
          <w:sz w:val="30"/>
          <w:szCs w:val="30"/>
        </w:rPr>
        <w:t>被上诉人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刘宁，女，</w:t>
      </w:r>
      <w:r>
        <w:rPr>
          <w:rFonts w:hint="eastAsia"/>
          <w:sz w:val="30"/>
          <w:szCs w:val="30"/>
        </w:rPr>
        <w:t>1984</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日出生，汉族，住河南省郑州市高新技术开发区。</w:t>
      </w:r>
    </w:p>
    <w:p w:rsidR="00000000" w:rsidRDefault="00FE47DC">
      <w:pPr>
        <w:spacing w:line="500" w:lineRule="atLeast"/>
        <w:ind w:firstLine="600"/>
        <w:divId w:val="573904358"/>
        <w:rPr>
          <w:rFonts w:hint="eastAsia"/>
          <w:sz w:val="30"/>
          <w:szCs w:val="30"/>
        </w:rPr>
      </w:pPr>
      <w:r>
        <w:rPr>
          <w:rFonts w:hint="eastAsia"/>
          <w:sz w:val="30"/>
          <w:szCs w:val="30"/>
        </w:rPr>
        <w:t>委托诉讼代理人：睢雪亮，河南明治律师事务所律师。</w:t>
      </w:r>
    </w:p>
    <w:p w:rsidR="00000000" w:rsidRDefault="00FE47DC">
      <w:pPr>
        <w:spacing w:line="500" w:lineRule="atLeast"/>
        <w:ind w:firstLine="600"/>
        <w:divId w:val="962930070"/>
        <w:rPr>
          <w:rFonts w:hint="eastAsia"/>
          <w:sz w:val="30"/>
          <w:szCs w:val="30"/>
        </w:rPr>
      </w:pPr>
      <w:r>
        <w:rPr>
          <w:rFonts w:hint="eastAsia"/>
          <w:sz w:val="30"/>
          <w:szCs w:val="30"/>
        </w:rPr>
        <w:t>委托诉讼代理人：吕威威，河南明治律师事务所实习律师。</w:t>
      </w:r>
    </w:p>
    <w:p w:rsidR="00000000" w:rsidRDefault="00FE47DC">
      <w:pPr>
        <w:spacing w:line="500" w:lineRule="atLeast"/>
        <w:ind w:firstLine="600"/>
        <w:divId w:val="1951737642"/>
        <w:rPr>
          <w:rFonts w:hint="eastAsia"/>
          <w:sz w:val="30"/>
          <w:szCs w:val="30"/>
        </w:rPr>
      </w:pPr>
      <w:r>
        <w:rPr>
          <w:rFonts w:hint="eastAsia"/>
          <w:sz w:val="30"/>
          <w:szCs w:val="30"/>
        </w:rPr>
        <w:t>上诉人郑州克莱克特科学仪器有限公司（以下简称克莱克特公司）因与被上诉人刘宁损害公司利益责任纠纷一案，不服河南省郑州高新技术产业开发区人民法院（</w:t>
      </w:r>
      <w:r>
        <w:rPr>
          <w:rFonts w:hint="eastAsia"/>
          <w:sz w:val="30"/>
          <w:szCs w:val="30"/>
        </w:rPr>
        <w:t>2020</w:t>
      </w:r>
      <w:r>
        <w:rPr>
          <w:rFonts w:hint="eastAsia"/>
          <w:sz w:val="30"/>
          <w:szCs w:val="30"/>
        </w:rPr>
        <w:t>）豫</w:t>
      </w:r>
      <w:r>
        <w:rPr>
          <w:rFonts w:hint="eastAsia"/>
          <w:sz w:val="30"/>
          <w:szCs w:val="30"/>
        </w:rPr>
        <w:t>0191</w:t>
      </w:r>
      <w:r>
        <w:rPr>
          <w:rFonts w:hint="eastAsia"/>
          <w:sz w:val="30"/>
          <w:szCs w:val="30"/>
        </w:rPr>
        <w:t>民初</w:t>
      </w:r>
      <w:r>
        <w:rPr>
          <w:rFonts w:hint="eastAsia"/>
          <w:sz w:val="30"/>
          <w:szCs w:val="30"/>
        </w:rPr>
        <w:t>24003</w:t>
      </w:r>
      <w:r>
        <w:rPr>
          <w:rFonts w:hint="eastAsia"/>
          <w:sz w:val="30"/>
          <w:szCs w:val="30"/>
        </w:rPr>
        <w:t>号民事判决，向本院提起上诉。本院于</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立案后，依据《全国人民代表大会常务委员会关于授权最高人民法院在部分地区开展民事诉讼程序繁简分流改革试点工作的决定》，适用普通程序，由审判员独任进行了审理。上诉人克莱克特公司委托诉讼代理人马鹏程，被上诉人刘宁委托诉讼代理人睢雪亮、吕</w:t>
      </w:r>
      <w:r>
        <w:rPr>
          <w:rFonts w:hint="eastAsia"/>
          <w:sz w:val="30"/>
          <w:szCs w:val="30"/>
        </w:rPr>
        <w:t>威威，到庭参加诉讼。本案现已审理终结。</w:t>
      </w:r>
    </w:p>
    <w:p w:rsidR="00000000" w:rsidRDefault="00FE47DC">
      <w:pPr>
        <w:spacing w:line="500" w:lineRule="atLeast"/>
        <w:ind w:firstLine="600"/>
        <w:divId w:val="375861614"/>
        <w:rPr>
          <w:rFonts w:hint="eastAsia"/>
          <w:sz w:val="30"/>
          <w:szCs w:val="30"/>
        </w:rPr>
      </w:pPr>
      <w:r>
        <w:rPr>
          <w:rFonts w:hint="eastAsia"/>
          <w:sz w:val="30"/>
          <w:szCs w:val="30"/>
        </w:rPr>
        <w:t>克莱克特公司上诉请求：</w:t>
      </w:r>
      <w:r>
        <w:rPr>
          <w:rFonts w:hint="eastAsia"/>
          <w:sz w:val="30"/>
          <w:szCs w:val="30"/>
        </w:rPr>
        <w:t>1</w:t>
      </w:r>
      <w:r>
        <w:rPr>
          <w:rFonts w:hint="eastAsia"/>
          <w:sz w:val="30"/>
          <w:szCs w:val="30"/>
        </w:rPr>
        <w:t>、依法撤销</w:t>
      </w:r>
      <w:r>
        <w:rPr>
          <w:rFonts w:hint="eastAsia"/>
          <w:sz w:val="30"/>
          <w:szCs w:val="30"/>
        </w:rPr>
        <w:t>(2020)</w:t>
      </w:r>
      <w:r>
        <w:rPr>
          <w:rFonts w:hint="eastAsia"/>
          <w:sz w:val="30"/>
          <w:szCs w:val="30"/>
        </w:rPr>
        <w:t>豫</w:t>
      </w:r>
      <w:r>
        <w:rPr>
          <w:rFonts w:hint="eastAsia"/>
          <w:sz w:val="30"/>
          <w:szCs w:val="30"/>
        </w:rPr>
        <w:t>0191</w:t>
      </w:r>
      <w:r>
        <w:rPr>
          <w:rFonts w:hint="eastAsia"/>
          <w:sz w:val="30"/>
          <w:szCs w:val="30"/>
        </w:rPr>
        <w:t>民初</w:t>
      </w:r>
      <w:r>
        <w:rPr>
          <w:rFonts w:hint="eastAsia"/>
          <w:sz w:val="30"/>
          <w:szCs w:val="30"/>
        </w:rPr>
        <w:t>24003</w:t>
      </w:r>
      <w:r>
        <w:rPr>
          <w:rFonts w:hint="eastAsia"/>
          <w:sz w:val="30"/>
          <w:szCs w:val="30"/>
        </w:rPr>
        <w:t>号民事判决；</w:t>
      </w:r>
      <w:r>
        <w:rPr>
          <w:rFonts w:hint="eastAsia"/>
          <w:sz w:val="30"/>
          <w:szCs w:val="30"/>
        </w:rPr>
        <w:t>2</w:t>
      </w:r>
      <w:r>
        <w:rPr>
          <w:rFonts w:hint="eastAsia"/>
          <w:sz w:val="30"/>
          <w:szCs w:val="30"/>
        </w:rPr>
        <w:t>、依法改判支持克莱克特公司的一审诉讼请求</w:t>
      </w:r>
      <w:r>
        <w:rPr>
          <w:rFonts w:hint="eastAsia"/>
          <w:sz w:val="30"/>
          <w:szCs w:val="30"/>
        </w:rPr>
        <w:t>;3</w:t>
      </w:r>
      <w:r>
        <w:rPr>
          <w:rFonts w:hint="eastAsia"/>
          <w:sz w:val="30"/>
          <w:szCs w:val="30"/>
        </w:rPr>
        <w:t>、本案一审、二审诉讼费由刘宁承担。事实和理由：一、克莱克特公司在原审中提交的证据能够充分证明刘宁在担任克莱克特公司财务负责人期间</w:t>
      </w:r>
      <w:r>
        <w:rPr>
          <w:rFonts w:hint="eastAsia"/>
          <w:sz w:val="30"/>
          <w:szCs w:val="30"/>
        </w:rPr>
        <w:t>,</w:t>
      </w:r>
      <w:r>
        <w:rPr>
          <w:rFonts w:hint="eastAsia"/>
          <w:sz w:val="30"/>
          <w:szCs w:val="30"/>
        </w:rPr>
        <w:t>同时兼职与克莱克特公司有同</w:t>
      </w:r>
      <w:r>
        <w:rPr>
          <w:rFonts w:hint="eastAsia"/>
          <w:sz w:val="30"/>
          <w:szCs w:val="30"/>
        </w:rPr>
        <w:lastRenderedPageBreak/>
        <w:t>业竟争关系的郑州安诺科学仪器有限公司</w:t>
      </w:r>
      <w:r>
        <w:rPr>
          <w:rFonts w:hint="eastAsia"/>
          <w:sz w:val="30"/>
          <w:szCs w:val="30"/>
        </w:rPr>
        <w:t>(</w:t>
      </w:r>
      <w:r>
        <w:rPr>
          <w:rFonts w:hint="eastAsia"/>
          <w:sz w:val="30"/>
          <w:szCs w:val="30"/>
        </w:rPr>
        <w:t>以下称安诺公司</w:t>
      </w:r>
      <w:r>
        <w:rPr>
          <w:rFonts w:hint="eastAsia"/>
          <w:sz w:val="30"/>
          <w:szCs w:val="30"/>
        </w:rPr>
        <w:t>)</w:t>
      </w:r>
      <w:r>
        <w:rPr>
          <w:rFonts w:hint="eastAsia"/>
          <w:sz w:val="30"/>
          <w:szCs w:val="30"/>
        </w:rPr>
        <w:t>的财务负责人</w:t>
      </w:r>
      <w:r>
        <w:rPr>
          <w:rFonts w:hint="eastAsia"/>
          <w:sz w:val="30"/>
          <w:szCs w:val="30"/>
        </w:rPr>
        <w:t>,</w:t>
      </w:r>
      <w:r>
        <w:rPr>
          <w:rFonts w:hint="eastAsia"/>
          <w:sz w:val="30"/>
          <w:szCs w:val="30"/>
        </w:rPr>
        <w:t>原审判决认定刘宁担任克莱克特公司会计岗位工作系事实认定错误。原审中</w:t>
      </w:r>
      <w:r>
        <w:rPr>
          <w:rFonts w:hint="eastAsia"/>
          <w:sz w:val="30"/>
          <w:szCs w:val="30"/>
        </w:rPr>
        <w:t>,</w:t>
      </w:r>
      <w:r>
        <w:rPr>
          <w:rFonts w:hint="eastAsia"/>
          <w:sz w:val="30"/>
          <w:szCs w:val="30"/>
        </w:rPr>
        <w:t>克莱克特公司提交了税局查询信息及视频资料、银行电子回</w:t>
      </w:r>
      <w:r>
        <w:rPr>
          <w:rFonts w:hint="eastAsia"/>
          <w:sz w:val="30"/>
          <w:szCs w:val="30"/>
        </w:rPr>
        <w:t>单等证据</w:t>
      </w:r>
      <w:r>
        <w:rPr>
          <w:rFonts w:hint="eastAsia"/>
          <w:sz w:val="30"/>
          <w:szCs w:val="30"/>
        </w:rPr>
        <w:t>,</w:t>
      </w:r>
      <w:r>
        <w:rPr>
          <w:rFonts w:hint="eastAsia"/>
          <w:sz w:val="30"/>
          <w:szCs w:val="30"/>
        </w:rPr>
        <w:t>该证据能够证明刘宁离职前在公司担任财务负责人。原审判决以劳动合同即认定刘宁在公司担任会计岗位工作系事实认定错误。克莱克特公司与刘宁的劳动合同上虽显示是担任会计岗位工作</w:t>
      </w:r>
      <w:r>
        <w:rPr>
          <w:rFonts w:hint="eastAsia"/>
          <w:sz w:val="30"/>
          <w:szCs w:val="30"/>
        </w:rPr>
        <w:t>,</w:t>
      </w:r>
      <w:r>
        <w:rPr>
          <w:rFonts w:hint="eastAsia"/>
          <w:sz w:val="30"/>
          <w:szCs w:val="30"/>
        </w:rPr>
        <w:t>但根据克莱克特公司的其他证据可知</w:t>
      </w:r>
      <w:r>
        <w:rPr>
          <w:rFonts w:hint="eastAsia"/>
          <w:sz w:val="30"/>
          <w:szCs w:val="30"/>
        </w:rPr>
        <w:t>,</w:t>
      </w:r>
      <w:r>
        <w:rPr>
          <w:rFonts w:hint="eastAsia"/>
          <w:sz w:val="30"/>
          <w:szCs w:val="30"/>
        </w:rPr>
        <w:t>刘宁实际上担任的是克莱克特公司的财务负责人。劳动者的工作内容与签订的岗位不同</w:t>
      </w:r>
      <w:r>
        <w:rPr>
          <w:rFonts w:hint="eastAsia"/>
          <w:sz w:val="30"/>
          <w:szCs w:val="30"/>
        </w:rPr>
        <w:t>,</w:t>
      </w:r>
      <w:r>
        <w:rPr>
          <w:rFonts w:hint="eastAsia"/>
          <w:sz w:val="30"/>
          <w:szCs w:val="30"/>
        </w:rPr>
        <w:t>属于对劳动合同的变更。本案中</w:t>
      </w:r>
      <w:r>
        <w:rPr>
          <w:rFonts w:hint="eastAsia"/>
          <w:sz w:val="30"/>
          <w:szCs w:val="30"/>
        </w:rPr>
        <w:t>,</w:t>
      </w:r>
      <w:r>
        <w:rPr>
          <w:rFonts w:hint="eastAsia"/>
          <w:sz w:val="30"/>
          <w:szCs w:val="30"/>
        </w:rPr>
        <w:t>刘宁在克莱克特公司处任职后</w:t>
      </w:r>
      <w:r>
        <w:rPr>
          <w:rFonts w:hint="eastAsia"/>
          <w:sz w:val="30"/>
          <w:szCs w:val="30"/>
        </w:rPr>
        <w:t>,</w:t>
      </w:r>
      <w:r>
        <w:rPr>
          <w:rFonts w:hint="eastAsia"/>
          <w:sz w:val="30"/>
          <w:szCs w:val="30"/>
        </w:rPr>
        <w:t>并未提出解除劳动合同</w:t>
      </w:r>
      <w:r>
        <w:rPr>
          <w:rFonts w:hint="eastAsia"/>
          <w:sz w:val="30"/>
          <w:szCs w:val="30"/>
        </w:rPr>
        <w:t>,</w:t>
      </w:r>
      <w:r>
        <w:rPr>
          <w:rFonts w:hint="eastAsia"/>
          <w:sz w:val="30"/>
          <w:szCs w:val="30"/>
        </w:rPr>
        <w:t>且已在公司从事财务负责人的相关工作</w:t>
      </w:r>
      <w:r>
        <w:rPr>
          <w:rFonts w:hint="eastAsia"/>
          <w:sz w:val="30"/>
          <w:szCs w:val="30"/>
        </w:rPr>
        <w:t>,</w:t>
      </w:r>
      <w:r>
        <w:rPr>
          <w:rFonts w:hint="eastAsia"/>
          <w:sz w:val="30"/>
          <w:szCs w:val="30"/>
        </w:rPr>
        <w:t>并收取公司支付的对应劳动报酬</w:t>
      </w:r>
      <w:r>
        <w:rPr>
          <w:rFonts w:hint="eastAsia"/>
          <w:sz w:val="30"/>
          <w:szCs w:val="30"/>
        </w:rPr>
        <w:t>,</w:t>
      </w:r>
      <w:r>
        <w:rPr>
          <w:rFonts w:hint="eastAsia"/>
          <w:sz w:val="30"/>
          <w:szCs w:val="30"/>
        </w:rPr>
        <w:t>即视为同意劳动合同的变更</w:t>
      </w:r>
      <w:r>
        <w:rPr>
          <w:rFonts w:hint="eastAsia"/>
          <w:sz w:val="30"/>
          <w:szCs w:val="30"/>
        </w:rPr>
        <w:t>,</w:t>
      </w:r>
      <w:r>
        <w:rPr>
          <w:rFonts w:hint="eastAsia"/>
          <w:sz w:val="30"/>
          <w:szCs w:val="30"/>
        </w:rPr>
        <w:t>综合克莱克特公司所提交的证据能够明确得知刘宁的职位</w:t>
      </w:r>
      <w:r>
        <w:rPr>
          <w:rFonts w:hint="eastAsia"/>
          <w:sz w:val="30"/>
          <w:szCs w:val="30"/>
        </w:rPr>
        <w:t>是财务负责人。原审判决依据劳动合同即认定刘宁担任克莱克特公司会计岗位</w:t>
      </w:r>
      <w:r>
        <w:rPr>
          <w:rFonts w:hint="eastAsia"/>
          <w:sz w:val="30"/>
          <w:szCs w:val="30"/>
        </w:rPr>
        <w:t>,</w:t>
      </w:r>
      <w:r>
        <w:rPr>
          <w:rFonts w:hint="eastAsia"/>
          <w:sz w:val="30"/>
          <w:szCs w:val="30"/>
        </w:rPr>
        <w:t>与事实不符。二、原审判决适用法律错误</w:t>
      </w:r>
      <w:r>
        <w:rPr>
          <w:rFonts w:hint="eastAsia"/>
          <w:sz w:val="30"/>
          <w:szCs w:val="30"/>
        </w:rPr>
        <w:t>,</w:t>
      </w:r>
      <w:r>
        <w:rPr>
          <w:rFonts w:hint="eastAsia"/>
          <w:sz w:val="30"/>
          <w:szCs w:val="30"/>
        </w:rPr>
        <w:t>刘宁作为克莱克特公司的财务负责人</w:t>
      </w:r>
      <w:r>
        <w:rPr>
          <w:rFonts w:hint="eastAsia"/>
          <w:sz w:val="30"/>
          <w:szCs w:val="30"/>
        </w:rPr>
        <w:t>,</w:t>
      </w:r>
      <w:r>
        <w:rPr>
          <w:rFonts w:hint="eastAsia"/>
          <w:sz w:val="30"/>
          <w:szCs w:val="30"/>
        </w:rPr>
        <w:t>不但违反了克莱克特公司的公司章程</w:t>
      </w:r>
      <w:r>
        <w:rPr>
          <w:rFonts w:hint="eastAsia"/>
          <w:sz w:val="30"/>
          <w:szCs w:val="30"/>
        </w:rPr>
        <w:t>,</w:t>
      </w:r>
      <w:r>
        <w:rPr>
          <w:rFonts w:hint="eastAsia"/>
          <w:sz w:val="30"/>
          <w:szCs w:val="30"/>
        </w:rPr>
        <w:t>而且实施了公司法所明确禁止的行为</w:t>
      </w:r>
      <w:r>
        <w:rPr>
          <w:rFonts w:hint="eastAsia"/>
          <w:sz w:val="30"/>
          <w:szCs w:val="30"/>
        </w:rPr>
        <w:t>,</w:t>
      </w:r>
      <w:r>
        <w:rPr>
          <w:rFonts w:hint="eastAsia"/>
          <w:sz w:val="30"/>
          <w:szCs w:val="30"/>
        </w:rPr>
        <w:t>严重损害了克莱克特公司的利益</w:t>
      </w:r>
      <w:r>
        <w:rPr>
          <w:rFonts w:hint="eastAsia"/>
          <w:sz w:val="30"/>
          <w:szCs w:val="30"/>
        </w:rPr>
        <w:t>,</w:t>
      </w:r>
      <w:r>
        <w:rPr>
          <w:rFonts w:hint="eastAsia"/>
          <w:sz w:val="30"/>
          <w:szCs w:val="30"/>
        </w:rPr>
        <w:t>原审法院应当判决刘宁将兼职收入归克莱克特公司所有。《中华人民共和国公司法》第一百四十八条“董事、高级管理人员不得有下列行为</w:t>
      </w:r>
      <w:r>
        <w:rPr>
          <w:rFonts w:hint="eastAsia"/>
          <w:sz w:val="30"/>
          <w:szCs w:val="30"/>
        </w:rPr>
        <w:t>:</w:t>
      </w:r>
      <w:r>
        <w:rPr>
          <w:rFonts w:hint="eastAsia"/>
          <w:sz w:val="30"/>
          <w:szCs w:val="30"/>
        </w:rPr>
        <w:t>。</w:t>
      </w:r>
      <w:r>
        <w:rPr>
          <w:rFonts w:hint="eastAsia"/>
          <w:sz w:val="30"/>
          <w:szCs w:val="30"/>
        </w:rPr>
        <w:t>(</w:t>
      </w:r>
      <w:r>
        <w:rPr>
          <w:rFonts w:hint="eastAsia"/>
          <w:sz w:val="30"/>
          <w:szCs w:val="30"/>
        </w:rPr>
        <w:t>五</w:t>
      </w:r>
      <w:r>
        <w:rPr>
          <w:rFonts w:hint="eastAsia"/>
          <w:sz w:val="30"/>
          <w:szCs w:val="30"/>
        </w:rPr>
        <w:t>)</w:t>
      </w:r>
      <w:r>
        <w:rPr>
          <w:rFonts w:hint="eastAsia"/>
          <w:sz w:val="30"/>
          <w:szCs w:val="30"/>
        </w:rPr>
        <w:t>未经股东会或者股东大会同意，利用职务便利为自己或者他人谋取属于公司的商业机会</w:t>
      </w:r>
      <w:r>
        <w:rPr>
          <w:rFonts w:hint="eastAsia"/>
          <w:sz w:val="30"/>
          <w:szCs w:val="30"/>
        </w:rPr>
        <w:t>,</w:t>
      </w:r>
      <w:r>
        <w:rPr>
          <w:rFonts w:hint="eastAsia"/>
          <w:sz w:val="30"/>
          <w:szCs w:val="30"/>
        </w:rPr>
        <w:t>自营或者为他人经营与所任职公司同类的业务</w:t>
      </w:r>
      <w:r>
        <w:rPr>
          <w:rFonts w:hint="eastAsia"/>
          <w:sz w:val="30"/>
          <w:szCs w:val="30"/>
        </w:rPr>
        <w:t>;</w:t>
      </w:r>
      <w:r>
        <w:rPr>
          <w:rFonts w:hint="eastAsia"/>
          <w:sz w:val="30"/>
          <w:szCs w:val="30"/>
        </w:rPr>
        <w:t>。</w:t>
      </w:r>
      <w:r>
        <w:rPr>
          <w:rFonts w:hint="eastAsia"/>
          <w:sz w:val="30"/>
          <w:szCs w:val="30"/>
        </w:rPr>
        <w:t>(</w:t>
      </w:r>
      <w:r>
        <w:rPr>
          <w:rFonts w:hint="eastAsia"/>
          <w:sz w:val="30"/>
          <w:szCs w:val="30"/>
        </w:rPr>
        <w:t>八</w:t>
      </w:r>
      <w:r>
        <w:rPr>
          <w:rFonts w:hint="eastAsia"/>
          <w:sz w:val="30"/>
          <w:szCs w:val="30"/>
        </w:rPr>
        <w:t>)</w:t>
      </w:r>
      <w:r>
        <w:rPr>
          <w:rFonts w:hint="eastAsia"/>
          <w:sz w:val="30"/>
          <w:szCs w:val="30"/>
        </w:rPr>
        <w:t>违反对公司忠</w:t>
      </w:r>
      <w:r>
        <w:rPr>
          <w:rFonts w:hint="eastAsia"/>
          <w:sz w:val="30"/>
          <w:szCs w:val="30"/>
        </w:rPr>
        <w:t>实义务的其他行为。董事、高级管理人员违反前款规定所得的收入应当归公司所有”</w:t>
      </w:r>
      <w:r>
        <w:rPr>
          <w:rFonts w:hint="eastAsia"/>
          <w:sz w:val="30"/>
          <w:szCs w:val="30"/>
        </w:rPr>
        <w:t>,</w:t>
      </w:r>
      <w:r>
        <w:rPr>
          <w:rFonts w:hint="eastAsia"/>
          <w:sz w:val="30"/>
          <w:szCs w:val="30"/>
        </w:rPr>
        <w:t>本案中</w:t>
      </w:r>
      <w:r>
        <w:rPr>
          <w:rFonts w:hint="eastAsia"/>
          <w:sz w:val="30"/>
          <w:szCs w:val="30"/>
        </w:rPr>
        <w:t>,</w:t>
      </w:r>
      <w:r>
        <w:rPr>
          <w:rFonts w:hint="eastAsia"/>
          <w:sz w:val="30"/>
          <w:szCs w:val="30"/>
        </w:rPr>
        <w:t>刘宁在安诺公司兼职的行为违反了上述法律规定</w:t>
      </w:r>
      <w:r>
        <w:rPr>
          <w:rFonts w:hint="eastAsia"/>
          <w:sz w:val="30"/>
          <w:szCs w:val="30"/>
        </w:rPr>
        <w:t>,</w:t>
      </w:r>
      <w:r>
        <w:rPr>
          <w:rFonts w:hint="eastAsia"/>
          <w:sz w:val="30"/>
          <w:szCs w:val="30"/>
        </w:rPr>
        <w:t>法院应当判决将刘宁的违法所得的收入归克莱克特公司所有。克莱克特公司根据刘宁在安诺公司的薪资标准请求将被上</w:t>
      </w:r>
      <w:r>
        <w:rPr>
          <w:rFonts w:hint="eastAsia"/>
          <w:sz w:val="30"/>
          <w:szCs w:val="30"/>
        </w:rPr>
        <w:lastRenderedPageBreak/>
        <w:t>诉人在安诺公司兼职期间的收入归克莱克特公司所有并无不当。</w:t>
      </w:r>
    </w:p>
    <w:p w:rsidR="00000000" w:rsidRDefault="00FE47DC">
      <w:pPr>
        <w:spacing w:line="500" w:lineRule="atLeast"/>
        <w:ind w:firstLine="600"/>
        <w:divId w:val="1402554900"/>
        <w:rPr>
          <w:rFonts w:hint="eastAsia"/>
          <w:sz w:val="30"/>
          <w:szCs w:val="30"/>
        </w:rPr>
      </w:pPr>
      <w:r>
        <w:rPr>
          <w:rFonts w:hint="eastAsia"/>
          <w:sz w:val="30"/>
          <w:szCs w:val="30"/>
        </w:rPr>
        <w:t>刘宁辩称，一审法院判决认定事实清楚，程序合法，适用法律正确。一、刘宁与克莱克特公司签订的劳动合同及解除劳动合同证明，均显示刘宁担任的是会计岗位，工作内容为打杂、粘贴发票、负责整理、整理黏贴发票、认证发票报送、税收优惠备案资</w:t>
      </w:r>
      <w:r>
        <w:rPr>
          <w:rFonts w:hint="eastAsia"/>
          <w:sz w:val="30"/>
          <w:szCs w:val="30"/>
        </w:rPr>
        <w:t>料。刘宁并非财务负责人在一审时刘宁提交的几份证据已充分显示刘宁的财务负责人为王红庄。一审提交的证据是企业所得税优惠政策备案报告表，</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日企业所得税优惠政策备案报告表。</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日克莱克特公司关于企业所得税多交退还的申请。</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日企业所得税优惠事项备案表，</w:t>
      </w:r>
      <w:r>
        <w:rPr>
          <w:rFonts w:hint="eastAsia"/>
          <w:sz w:val="30"/>
          <w:szCs w:val="30"/>
        </w:rPr>
        <w:t>2016</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这几份报告表显示的财务负责人均为王红庄。三、刘宁不是克莱克特公司的财务负责人，故也不属于克莱克特公司的高管人员。四、刘宁未在第三人处兼职，也未取得克莱克特公司所述的在安诺公司的收入。综上</w:t>
      </w:r>
      <w:r>
        <w:rPr>
          <w:rFonts w:hint="eastAsia"/>
          <w:sz w:val="30"/>
          <w:szCs w:val="30"/>
        </w:rPr>
        <w:t>所述一审法院认定事实清楚，程序合法，适用法律正确，恳请二审法院驳回上诉，维持原判。</w:t>
      </w:r>
    </w:p>
    <w:p w:rsidR="00000000" w:rsidRDefault="00FE47DC">
      <w:pPr>
        <w:spacing w:line="500" w:lineRule="atLeast"/>
        <w:ind w:firstLine="600"/>
        <w:divId w:val="134690023"/>
        <w:rPr>
          <w:rFonts w:hint="eastAsia"/>
          <w:sz w:val="30"/>
          <w:szCs w:val="30"/>
        </w:rPr>
      </w:pPr>
      <w:r>
        <w:rPr>
          <w:rFonts w:hint="eastAsia"/>
          <w:sz w:val="30"/>
          <w:szCs w:val="30"/>
        </w:rPr>
        <w:t>克莱克特公司向一审法院起诉请求：</w:t>
      </w:r>
      <w:r>
        <w:rPr>
          <w:rFonts w:hint="eastAsia"/>
          <w:sz w:val="30"/>
          <w:szCs w:val="30"/>
        </w:rPr>
        <w:t>1</w:t>
      </w:r>
      <w:r>
        <w:rPr>
          <w:rFonts w:hint="eastAsia"/>
          <w:sz w:val="30"/>
          <w:szCs w:val="30"/>
        </w:rPr>
        <w:t>、依法判令刘宁赔偿克莱克特公司</w:t>
      </w:r>
      <w:r>
        <w:rPr>
          <w:rFonts w:hint="eastAsia"/>
          <w:sz w:val="30"/>
          <w:szCs w:val="30"/>
        </w:rPr>
        <w:t>110000</w:t>
      </w:r>
      <w:r>
        <w:rPr>
          <w:rFonts w:hint="eastAsia"/>
          <w:sz w:val="30"/>
          <w:szCs w:val="30"/>
        </w:rPr>
        <w:t>元；</w:t>
      </w:r>
      <w:r>
        <w:rPr>
          <w:rFonts w:hint="eastAsia"/>
          <w:sz w:val="30"/>
          <w:szCs w:val="30"/>
        </w:rPr>
        <w:t>2</w:t>
      </w:r>
      <w:r>
        <w:rPr>
          <w:rFonts w:hint="eastAsia"/>
          <w:sz w:val="30"/>
          <w:szCs w:val="30"/>
        </w:rPr>
        <w:t>、本案诉讼费由刘宁承担。</w:t>
      </w:r>
    </w:p>
    <w:p w:rsidR="00000000" w:rsidRDefault="00FE47DC">
      <w:pPr>
        <w:spacing w:line="500" w:lineRule="atLeast"/>
        <w:ind w:firstLine="600"/>
        <w:divId w:val="743644392"/>
        <w:rPr>
          <w:rFonts w:hint="eastAsia"/>
          <w:sz w:val="30"/>
          <w:szCs w:val="30"/>
        </w:rPr>
      </w:pPr>
      <w:r>
        <w:rPr>
          <w:rFonts w:hint="eastAsia"/>
          <w:sz w:val="30"/>
          <w:szCs w:val="30"/>
        </w:rPr>
        <w:t>一审法院认定事实：</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日，克莱克特公司、刘宁签订《劳动合同书》，约定：本合同于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日起，其中试用期为</w:t>
      </w:r>
      <w:r>
        <w:rPr>
          <w:rFonts w:hint="eastAsia"/>
          <w:sz w:val="30"/>
          <w:szCs w:val="30"/>
        </w:rPr>
        <w:t>1</w:t>
      </w:r>
      <w:r>
        <w:rPr>
          <w:rFonts w:hint="eastAsia"/>
          <w:sz w:val="30"/>
          <w:szCs w:val="30"/>
        </w:rPr>
        <w:t>个月，自</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日止。乙方同意根据甲方工作需要，担任会计岗位工作。甲方每月</w:t>
      </w:r>
      <w:r>
        <w:rPr>
          <w:rFonts w:hint="eastAsia"/>
          <w:sz w:val="30"/>
          <w:szCs w:val="30"/>
        </w:rPr>
        <w:t>5</w:t>
      </w:r>
      <w:r>
        <w:rPr>
          <w:rFonts w:hint="eastAsia"/>
          <w:sz w:val="30"/>
          <w:szCs w:val="30"/>
        </w:rPr>
        <w:t>日前以货币形式支付乙方工资，月工资为</w:t>
      </w:r>
      <w:r>
        <w:rPr>
          <w:rFonts w:hint="eastAsia"/>
          <w:sz w:val="30"/>
          <w:szCs w:val="30"/>
        </w:rPr>
        <w:t>1750</w:t>
      </w:r>
      <w:r>
        <w:rPr>
          <w:rFonts w:hint="eastAsia"/>
          <w:sz w:val="30"/>
          <w:szCs w:val="30"/>
        </w:rPr>
        <w:t>元。庭审中克莱克特公司称刘宁</w:t>
      </w:r>
      <w:r>
        <w:rPr>
          <w:rFonts w:hint="eastAsia"/>
          <w:sz w:val="30"/>
          <w:szCs w:val="30"/>
        </w:rPr>
        <w:t>2015</w:t>
      </w:r>
      <w:r>
        <w:rPr>
          <w:rFonts w:hint="eastAsia"/>
          <w:sz w:val="30"/>
          <w:szCs w:val="30"/>
        </w:rPr>
        <w:t>年的月</w:t>
      </w:r>
      <w:r>
        <w:rPr>
          <w:rFonts w:hint="eastAsia"/>
          <w:sz w:val="30"/>
          <w:szCs w:val="30"/>
        </w:rPr>
        <w:t>工资为</w:t>
      </w:r>
      <w:r>
        <w:rPr>
          <w:rFonts w:hint="eastAsia"/>
          <w:sz w:val="30"/>
          <w:szCs w:val="30"/>
        </w:rPr>
        <w:t>3500</w:t>
      </w:r>
      <w:r>
        <w:rPr>
          <w:rFonts w:hint="eastAsia"/>
          <w:sz w:val="30"/>
          <w:szCs w:val="30"/>
        </w:rPr>
        <w:t>元、</w:t>
      </w:r>
      <w:r>
        <w:rPr>
          <w:rFonts w:hint="eastAsia"/>
          <w:sz w:val="30"/>
          <w:szCs w:val="30"/>
        </w:rPr>
        <w:t>2016</w:t>
      </w:r>
      <w:r>
        <w:rPr>
          <w:rFonts w:hint="eastAsia"/>
          <w:sz w:val="30"/>
          <w:szCs w:val="30"/>
        </w:rPr>
        <w:t>年为</w:t>
      </w:r>
      <w:r>
        <w:rPr>
          <w:rFonts w:hint="eastAsia"/>
          <w:sz w:val="30"/>
          <w:szCs w:val="30"/>
        </w:rPr>
        <w:t>3700</w:t>
      </w:r>
      <w:r>
        <w:rPr>
          <w:rFonts w:hint="eastAsia"/>
          <w:sz w:val="30"/>
          <w:szCs w:val="30"/>
        </w:rPr>
        <w:t>元、</w:t>
      </w:r>
      <w:r>
        <w:rPr>
          <w:rFonts w:hint="eastAsia"/>
          <w:sz w:val="30"/>
          <w:szCs w:val="30"/>
        </w:rPr>
        <w:t>2017</w:t>
      </w:r>
      <w:r>
        <w:rPr>
          <w:rFonts w:hint="eastAsia"/>
          <w:sz w:val="30"/>
          <w:szCs w:val="30"/>
        </w:rPr>
        <w:t>年为</w:t>
      </w:r>
      <w:r>
        <w:rPr>
          <w:rFonts w:hint="eastAsia"/>
          <w:sz w:val="30"/>
          <w:szCs w:val="30"/>
        </w:rPr>
        <w:t>4200</w:t>
      </w:r>
      <w:r>
        <w:rPr>
          <w:rFonts w:hint="eastAsia"/>
          <w:sz w:val="30"/>
          <w:szCs w:val="30"/>
        </w:rPr>
        <w:t>元。刘宁称其月工资标准为</w:t>
      </w:r>
      <w:r>
        <w:rPr>
          <w:rFonts w:hint="eastAsia"/>
          <w:sz w:val="30"/>
          <w:szCs w:val="30"/>
        </w:rPr>
        <w:t>3500</w:t>
      </w:r>
      <w:r>
        <w:rPr>
          <w:rFonts w:hint="eastAsia"/>
          <w:sz w:val="30"/>
          <w:szCs w:val="30"/>
        </w:rPr>
        <w:t>元左右。</w:t>
      </w:r>
    </w:p>
    <w:p w:rsidR="00000000" w:rsidRDefault="00FE47DC">
      <w:pPr>
        <w:spacing w:line="500" w:lineRule="atLeast"/>
        <w:ind w:firstLine="600"/>
        <w:divId w:val="2015063492"/>
        <w:rPr>
          <w:rFonts w:hint="eastAsia"/>
          <w:sz w:val="30"/>
          <w:szCs w:val="30"/>
        </w:rPr>
      </w:pPr>
      <w:r>
        <w:rPr>
          <w:rFonts w:hint="eastAsia"/>
          <w:sz w:val="30"/>
          <w:szCs w:val="30"/>
        </w:rPr>
        <w:t>一审法院认为，《中华人民共和国公司法》第一百四十八条、第一百四十九条规定，董事、监事、高级管理人员应当遵守法律、行政法规和公司章程，对公司负有忠实义务和勤勉义务。董事、监事、高级管理人员不得利用职权收受贿赂或者其他非法收入，不得侵占公司的财产。董事、高级管理人员不得有下列行为：…（五）未经股东会或者股东大会同意，利用职务便利为自己或者他人谋取属于公司的商业机会，自营或者为他人经营与所任职公司同类的业务。董</w:t>
      </w:r>
      <w:r>
        <w:rPr>
          <w:rFonts w:hint="eastAsia"/>
          <w:sz w:val="30"/>
          <w:szCs w:val="30"/>
        </w:rPr>
        <w:t>事、高级管理人员违反前款规定所得的收入应当归公司所有。本案中，克莱克特公司称刘宁系其公司财务负责人，但其并未提交公司相关任职文件，且双方所签劳动合同约定被告担任会计岗位，</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的《解除劳动合同证明》亦显示刘宁担任会计职务。克莱克特公司提交的税务查询信息虽显示刘宁为公司财务负责人，但在无其他有力证据相佐证的情况下，仅凭该对外登记信息并不足以证明克莱克特公司该主张。故对克莱克特公司所述刘宁系其公司财务负责人即属于高管人员的主张，原审法院不予采纳。克莱克特公司称刘宁在公司任职期间，同时在与其有竞争关</w:t>
      </w:r>
      <w:r>
        <w:rPr>
          <w:rFonts w:hint="eastAsia"/>
          <w:sz w:val="30"/>
          <w:szCs w:val="30"/>
        </w:rPr>
        <w:t>系的安诺公司任职。克莱克特公司提交的安诺公司注册信息中虽显示刘宁为财务负责人，但其提交的安诺公司工资发放情况显示为刘宁发放的时间为</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日，刘宁提交的安诺公司</w:t>
      </w:r>
      <w:r>
        <w:rPr>
          <w:rFonts w:hint="eastAsia"/>
          <w:sz w:val="30"/>
          <w:szCs w:val="30"/>
        </w:rPr>
        <w:t>2017</w:t>
      </w:r>
      <w:r>
        <w:rPr>
          <w:rFonts w:hint="eastAsia"/>
          <w:sz w:val="30"/>
          <w:szCs w:val="30"/>
        </w:rPr>
        <w:t>年</w:t>
      </w:r>
      <w:r>
        <w:rPr>
          <w:rFonts w:hint="eastAsia"/>
          <w:sz w:val="30"/>
          <w:szCs w:val="30"/>
        </w:rPr>
        <w:t>4</w:t>
      </w:r>
      <w:r>
        <w:rPr>
          <w:rFonts w:hint="eastAsia"/>
          <w:sz w:val="30"/>
          <w:szCs w:val="30"/>
        </w:rPr>
        <w:t>月至</w:t>
      </w:r>
      <w:r>
        <w:rPr>
          <w:rFonts w:hint="eastAsia"/>
          <w:sz w:val="30"/>
          <w:szCs w:val="30"/>
        </w:rPr>
        <w:t>7</w:t>
      </w:r>
      <w:r>
        <w:rPr>
          <w:rFonts w:hint="eastAsia"/>
          <w:sz w:val="30"/>
          <w:szCs w:val="30"/>
        </w:rPr>
        <w:t>月的扣缴个人所得税申报人员中亦未显示有刘宁，故克莱克特公司称刘宁在离职前同时在安诺公司任职</w:t>
      </w:r>
      <w:r>
        <w:rPr>
          <w:rFonts w:hint="eastAsia"/>
          <w:sz w:val="30"/>
          <w:szCs w:val="30"/>
        </w:rPr>
        <w:t>20</w:t>
      </w:r>
      <w:r>
        <w:rPr>
          <w:rFonts w:hint="eastAsia"/>
          <w:sz w:val="30"/>
          <w:szCs w:val="30"/>
        </w:rPr>
        <w:t>个月，其该主张依据不足。故在克莱克特公司提交的证据并不足以证明刘宁系其公司高级管理人员，以及刘宁在原告处工作期间同时在与其有竞争关系的公司任职并领取收入的情况下，其请求刘宁向其赔偿</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月在安诺公司的收入</w:t>
      </w:r>
      <w:r>
        <w:rPr>
          <w:rFonts w:hint="eastAsia"/>
          <w:sz w:val="30"/>
          <w:szCs w:val="30"/>
        </w:rPr>
        <w:t>1</w:t>
      </w:r>
      <w:r>
        <w:rPr>
          <w:rFonts w:hint="eastAsia"/>
          <w:sz w:val="30"/>
          <w:szCs w:val="30"/>
        </w:rPr>
        <w:t>10000</w:t>
      </w:r>
      <w:r>
        <w:rPr>
          <w:rFonts w:hint="eastAsia"/>
          <w:sz w:val="30"/>
          <w:szCs w:val="30"/>
        </w:rPr>
        <w:t>元，其该请求依据不足，对此原审法院不予支持。依照《中华人民共和国民事诉讼法》第六十四条之规定，判决：驳回克莱克特公司的诉讼请求。案件受理费减半收取</w:t>
      </w:r>
      <w:r>
        <w:rPr>
          <w:rFonts w:hint="eastAsia"/>
          <w:sz w:val="30"/>
          <w:szCs w:val="30"/>
        </w:rPr>
        <w:t>1250</w:t>
      </w:r>
      <w:r>
        <w:rPr>
          <w:rFonts w:hint="eastAsia"/>
          <w:sz w:val="30"/>
          <w:szCs w:val="30"/>
        </w:rPr>
        <w:t>元，由克莱克特公司负担。</w:t>
      </w:r>
    </w:p>
    <w:p w:rsidR="00000000" w:rsidRDefault="00FE47DC">
      <w:pPr>
        <w:spacing w:line="500" w:lineRule="atLeast"/>
        <w:ind w:firstLine="600"/>
        <w:divId w:val="549221870"/>
        <w:rPr>
          <w:rFonts w:hint="eastAsia"/>
          <w:sz w:val="30"/>
          <w:szCs w:val="30"/>
        </w:rPr>
      </w:pPr>
      <w:r>
        <w:rPr>
          <w:rFonts w:hint="eastAsia"/>
          <w:sz w:val="30"/>
          <w:szCs w:val="30"/>
        </w:rPr>
        <w:t>本院二审期间，克莱克特公司提交了证据。本院依法组织双方当事人进行了质证。本院对一审查明的相关事实予以确认。</w:t>
      </w:r>
    </w:p>
    <w:p w:rsidR="00000000" w:rsidRDefault="00FE47DC">
      <w:pPr>
        <w:spacing w:line="500" w:lineRule="atLeast"/>
        <w:ind w:firstLine="600"/>
        <w:divId w:val="1535148028"/>
        <w:rPr>
          <w:rFonts w:hint="eastAsia"/>
          <w:sz w:val="30"/>
          <w:szCs w:val="30"/>
        </w:rPr>
      </w:pPr>
      <w:r>
        <w:rPr>
          <w:rFonts w:hint="eastAsia"/>
          <w:sz w:val="30"/>
          <w:szCs w:val="30"/>
        </w:rPr>
        <w:t>本院认为，当事人应对自己的主张提供充分的证据予以证明，否则将承担不利的法律后果。本案为损害公司利益责任纠纷。克莱克特公司上诉称刘宁作为克莱克特公司的财务负责人，在公司任职期间违反公司法及公司章程的规定，在与克莱克特</w:t>
      </w:r>
      <w:r>
        <w:rPr>
          <w:rFonts w:hint="eastAsia"/>
          <w:sz w:val="30"/>
          <w:szCs w:val="30"/>
        </w:rPr>
        <w:t>公司具有同业竞争关系的安诺公司兼职期间，收取的违法所得应当归克莱克特公司所有。但克莱克特公司提交的其与刘宁签订的《劳动合同书》和其出具《解除劳动合同证明》，能够相互印证，刘宁在克莱克特公司任职期间担任财务部会计职务。而且，克莱克特公司未能提交充分的证据证明刘宁在克莱克特公司任职期间存在损害公司利益以及获取违反公司法以及公司章程规定兼职收入的事实。故克莱克特公司的上诉主张，证据不足，理由不能成立，本院不予支持。综上所述，克莱克特公司的上诉请求不能成立，应予驳回；一审判决认定事实清楚，适用法律正确，应予维持。依</w:t>
      </w:r>
      <w:r>
        <w:rPr>
          <w:rFonts w:hint="eastAsia"/>
          <w:sz w:val="30"/>
          <w:szCs w:val="30"/>
        </w:rPr>
        <w:t>照《中华人民共和国民事诉讼法》第一百七十条第一款第一项规定，判决如下：</w:t>
      </w:r>
    </w:p>
    <w:p w:rsidR="00000000" w:rsidRDefault="00FE47DC">
      <w:pPr>
        <w:spacing w:line="500" w:lineRule="atLeast"/>
        <w:ind w:firstLine="600"/>
        <w:divId w:val="150023783"/>
        <w:rPr>
          <w:rFonts w:hint="eastAsia"/>
          <w:sz w:val="30"/>
          <w:szCs w:val="30"/>
        </w:rPr>
      </w:pPr>
      <w:r>
        <w:rPr>
          <w:rFonts w:hint="eastAsia"/>
          <w:sz w:val="30"/>
          <w:szCs w:val="30"/>
        </w:rPr>
        <w:t>驳回上诉，维持原判。</w:t>
      </w:r>
    </w:p>
    <w:p w:rsidR="00000000" w:rsidRDefault="00FE47DC">
      <w:pPr>
        <w:spacing w:line="500" w:lineRule="atLeast"/>
        <w:ind w:firstLine="600"/>
        <w:divId w:val="918364948"/>
        <w:rPr>
          <w:rFonts w:hint="eastAsia"/>
          <w:sz w:val="30"/>
          <w:szCs w:val="30"/>
        </w:rPr>
      </w:pPr>
      <w:r>
        <w:rPr>
          <w:rFonts w:hint="eastAsia"/>
          <w:sz w:val="30"/>
          <w:szCs w:val="30"/>
        </w:rPr>
        <w:t>二审案件受理费</w:t>
      </w:r>
      <w:r>
        <w:rPr>
          <w:rFonts w:hint="eastAsia"/>
          <w:sz w:val="30"/>
          <w:szCs w:val="30"/>
        </w:rPr>
        <w:t>2500</w:t>
      </w:r>
      <w:r>
        <w:rPr>
          <w:rFonts w:hint="eastAsia"/>
          <w:sz w:val="30"/>
          <w:szCs w:val="30"/>
        </w:rPr>
        <w:t>元，由郑州克莱克特科学仪器有限公司负担（已交纳）。</w:t>
      </w:r>
    </w:p>
    <w:p w:rsidR="00000000" w:rsidRDefault="00FE47DC">
      <w:pPr>
        <w:spacing w:line="500" w:lineRule="atLeast"/>
        <w:ind w:firstLine="600"/>
        <w:divId w:val="1454901083"/>
        <w:rPr>
          <w:rFonts w:hint="eastAsia"/>
          <w:sz w:val="30"/>
          <w:szCs w:val="30"/>
        </w:rPr>
      </w:pPr>
      <w:r>
        <w:rPr>
          <w:rFonts w:hint="eastAsia"/>
          <w:sz w:val="30"/>
          <w:szCs w:val="30"/>
        </w:rPr>
        <w:t>本判决为终审判决。</w:t>
      </w:r>
    </w:p>
    <w:p w:rsidR="00000000" w:rsidRDefault="00FE47DC">
      <w:pPr>
        <w:spacing w:line="500" w:lineRule="atLeast"/>
        <w:jc w:val="right"/>
        <w:divId w:val="712273650"/>
        <w:rPr>
          <w:rFonts w:hint="eastAsia"/>
          <w:sz w:val="30"/>
          <w:szCs w:val="30"/>
        </w:rPr>
      </w:pPr>
      <w:r>
        <w:rPr>
          <w:rFonts w:hint="eastAsia"/>
          <w:sz w:val="30"/>
          <w:szCs w:val="30"/>
        </w:rPr>
        <w:t>审判员　　徐勤焱</w:t>
      </w:r>
    </w:p>
    <w:p w:rsidR="00000000" w:rsidRDefault="00FE47DC">
      <w:pPr>
        <w:spacing w:line="500" w:lineRule="atLeast"/>
        <w:jc w:val="right"/>
        <w:divId w:val="1876238548"/>
        <w:rPr>
          <w:rFonts w:hint="eastAsia"/>
          <w:sz w:val="30"/>
          <w:szCs w:val="30"/>
        </w:rPr>
      </w:pPr>
      <w:r>
        <w:rPr>
          <w:rFonts w:hint="eastAsia"/>
          <w:sz w:val="30"/>
          <w:szCs w:val="30"/>
        </w:rPr>
        <w:t>二〇二一年三月十日</w:t>
      </w:r>
    </w:p>
    <w:p w:rsidR="00000000" w:rsidRDefault="00FE47DC">
      <w:pPr>
        <w:spacing w:line="500" w:lineRule="atLeast"/>
        <w:jc w:val="right"/>
        <w:divId w:val="1749424067"/>
        <w:rPr>
          <w:rFonts w:hint="eastAsia"/>
          <w:sz w:val="30"/>
          <w:szCs w:val="30"/>
        </w:rPr>
      </w:pPr>
      <w:r>
        <w:rPr>
          <w:rFonts w:hint="eastAsia"/>
          <w:sz w:val="30"/>
          <w:szCs w:val="30"/>
        </w:rPr>
        <w:t>书记员　　张玉洁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7DC" w:rsidRDefault="00FE47DC" w:rsidP="00FE47DC">
      <w:r>
        <w:separator/>
      </w:r>
    </w:p>
  </w:endnote>
  <w:endnote w:type="continuationSeparator" w:id="0">
    <w:p w:rsidR="00FE47DC" w:rsidRDefault="00FE47DC" w:rsidP="00FE4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7DC" w:rsidRDefault="00FE47DC" w:rsidP="00FE47DC">
      <w:r>
        <w:separator/>
      </w:r>
    </w:p>
  </w:footnote>
  <w:footnote w:type="continuationSeparator" w:id="0">
    <w:p w:rsidR="00FE47DC" w:rsidRDefault="00FE47DC" w:rsidP="00FE47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E47DC"/>
    <w:rsid w:val="00FE4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E47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47DC"/>
    <w:rPr>
      <w:rFonts w:ascii="宋体" w:eastAsia="宋体" w:hAnsi="宋体" w:cs="宋体"/>
      <w:sz w:val="18"/>
      <w:szCs w:val="18"/>
    </w:rPr>
  </w:style>
  <w:style w:type="paragraph" w:styleId="a5">
    <w:name w:val="footer"/>
    <w:basedOn w:val="a"/>
    <w:link w:val="a6"/>
    <w:uiPriority w:val="99"/>
    <w:unhideWhenUsed/>
    <w:rsid w:val="00FE47DC"/>
    <w:pPr>
      <w:tabs>
        <w:tab w:val="center" w:pos="4153"/>
        <w:tab w:val="right" w:pos="8306"/>
      </w:tabs>
      <w:snapToGrid w:val="0"/>
    </w:pPr>
    <w:rPr>
      <w:sz w:val="18"/>
      <w:szCs w:val="18"/>
    </w:rPr>
  </w:style>
  <w:style w:type="character" w:customStyle="1" w:styleId="a6">
    <w:name w:val="页脚 字符"/>
    <w:basedOn w:val="a0"/>
    <w:link w:val="a5"/>
    <w:uiPriority w:val="99"/>
    <w:rsid w:val="00FE47D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90023">
      <w:marLeft w:val="0"/>
      <w:marRight w:val="0"/>
      <w:marTop w:val="10"/>
      <w:marBottom w:val="10"/>
      <w:divBdr>
        <w:top w:val="none" w:sz="0" w:space="0" w:color="auto"/>
        <w:left w:val="none" w:sz="0" w:space="0" w:color="auto"/>
        <w:bottom w:val="none" w:sz="0" w:space="0" w:color="auto"/>
        <w:right w:val="none" w:sz="0" w:space="0" w:color="auto"/>
      </w:divBdr>
    </w:div>
    <w:div w:id="150023783">
      <w:marLeft w:val="0"/>
      <w:marRight w:val="0"/>
      <w:marTop w:val="10"/>
      <w:marBottom w:val="10"/>
      <w:divBdr>
        <w:top w:val="none" w:sz="0" w:space="0" w:color="auto"/>
        <w:left w:val="none" w:sz="0" w:space="0" w:color="auto"/>
        <w:bottom w:val="none" w:sz="0" w:space="0" w:color="auto"/>
        <w:right w:val="none" w:sz="0" w:space="0" w:color="auto"/>
      </w:divBdr>
    </w:div>
    <w:div w:id="375861614">
      <w:marLeft w:val="0"/>
      <w:marRight w:val="0"/>
      <w:marTop w:val="10"/>
      <w:marBottom w:val="10"/>
      <w:divBdr>
        <w:top w:val="none" w:sz="0" w:space="0" w:color="auto"/>
        <w:left w:val="none" w:sz="0" w:space="0" w:color="auto"/>
        <w:bottom w:val="none" w:sz="0" w:space="0" w:color="auto"/>
        <w:right w:val="none" w:sz="0" w:space="0" w:color="auto"/>
      </w:divBdr>
    </w:div>
    <w:div w:id="496770118">
      <w:marLeft w:val="0"/>
      <w:marRight w:val="0"/>
      <w:marTop w:val="10"/>
      <w:marBottom w:val="10"/>
      <w:divBdr>
        <w:top w:val="none" w:sz="0" w:space="0" w:color="auto"/>
        <w:left w:val="none" w:sz="0" w:space="0" w:color="auto"/>
        <w:bottom w:val="none" w:sz="0" w:space="0" w:color="auto"/>
        <w:right w:val="none" w:sz="0" w:space="0" w:color="auto"/>
      </w:divBdr>
    </w:div>
    <w:div w:id="496846342">
      <w:marLeft w:val="0"/>
      <w:marRight w:val="0"/>
      <w:marTop w:val="10"/>
      <w:marBottom w:val="10"/>
      <w:divBdr>
        <w:top w:val="none" w:sz="0" w:space="0" w:color="auto"/>
        <w:left w:val="none" w:sz="0" w:space="0" w:color="auto"/>
        <w:bottom w:val="none" w:sz="0" w:space="0" w:color="auto"/>
        <w:right w:val="none" w:sz="0" w:space="0" w:color="auto"/>
      </w:divBdr>
    </w:div>
    <w:div w:id="549221870">
      <w:marLeft w:val="0"/>
      <w:marRight w:val="0"/>
      <w:marTop w:val="10"/>
      <w:marBottom w:val="10"/>
      <w:divBdr>
        <w:top w:val="none" w:sz="0" w:space="0" w:color="auto"/>
        <w:left w:val="none" w:sz="0" w:space="0" w:color="auto"/>
        <w:bottom w:val="none" w:sz="0" w:space="0" w:color="auto"/>
        <w:right w:val="none" w:sz="0" w:space="0" w:color="auto"/>
      </w:divBdr>
    </w:div>
    <w:div w:id="573904358">
      <w:marLeft w:val="0"/>
      <w:marRight w:val="0"/>
      <w:marTop w:val="10"/>
      <w:marBottom w:val="10"/>
      <w:divBdr>
        <w:top w:val="none" w:sz="0" w:space="0" w:color="auto"/>
        <w:left w:val="none" w:sz="0" w:space="0" w:color="auto"/>
        <w:bottom w:val="none" w:sz="0" w:space="0" w:color="auto"/>
        <w:right w:val="none" w:sz="0" w:space="0" w:color="auto"/>
      </w:divBdr>
    </w:div>
    <w:div w:id="664237503">
      <w:marLeft w:val="0"/>
      <w:marRight w:val="0"/>
      <w:marTop w:val="10"/>
      <w:marBottom w:val="10"/>
      <w:divBdr>
        <w:top w:val="none" w:sz="0" w:space="0" w:color="auto"/>
        <w:left w:val="none" w:sz="0" w:space="0" w:color="auto"/>
        <w:bottom w:val="none" w:sz="0" w:space="0" w:color="auto"/>
        <w:right w:val="none" w:sz="0" w:space="0" w:color="auto"/>
      </w:divBdr>
    </w:div>
    <w:div w:id="682824886">
      <w:marLeft w:val="0"/>
      <w:marRight w:val="0"/>
      <w:marTop w:val="10"/>
      <w:marBottom w:val="10"/>
      <w:divBdr>
        <w:top w:val="none" w:sz="0" w:space="0" w:color="auto"/>
        <w:left w:val="none" w:sz="0" w:space="0" w:color="auto"/>
        <w:bottom w:val="none" w:sz="0" w:space="0" w:color="auto"/>
        <w:right w:val="none" w:sz="0" w:space="0" w:color="auto"/>
      </w:divBdr>
    </w:div>
    <w:div w:id="712273650">
      <w:marLeft w:val="0"/>
      <w:marRight w:val="720"/>
      <w:marTop w:val="10"/>
      <w:marBottom w:val="10"/>
      <w:divBdr>
        <w:top w:val="none" w:sz="0" w:space="0" w:color="auto"/>
        <w:left w:val="none" w:sz="0" w:space="0" w:color="auto"/>
        <w:bottom w:val="none" w:sz="0" w:space="0" w:color="auto"/>
        <w:right w:val="none" w:sz="0" w:space="0" w:color="auto"/>
      </w:divBdr>
    </w:div>
    <w:div w:id="743644392">
      <w:marLeft w:val="0"/>
      <w:marRight w:val="0"/>
      <w:marTop w:val="10"/>
      <w:marBottom w:val="10"/>
      <w:divBdr>
        <w:top w:val="none" w:sz="0" w:space="0" w:color="auto"/>
        <w:left w:val="none" w:sz="0" w:space="0" w:color="auto"/>
        <w:bottom w:val="none" w:sz="0" w:space="0" w:color="auto"/>
        <w:right w:val="none" w:sz="0" w:space="0" w:color="auto"/>
      </w:divBdr>
    </w:div>
    <w:div w:id="918364948">
      <w:marLeft w:val="0"/>
      <w:marRight w:val="0"/>
      <w:marTop w:val="10"/>
      <w:marBottom w:val="10"/>
      <w:divBdr>
        <w:top w:val="none" w:sz="0" w:space="0" w:color="auto"/>
        <w:left w:val="none" w:sz="0" w:space="0" w:color="auto"/>
        <w:bottom w:val="none" w:sz="0" w:space="0" w:color="auto"/>
        <w:right w:val="none" w:sz="0" w:space="0" w:color="auto"/>
      </w:divBdr>
    </w:div>
    <w:div w:id="962930070">
      <w:marLeft w:val="0"/>
      <w:marRight w:val="0"/>
      <w:marTop w:val="10"/>
      <w:marBottom w:val="10"/>
      <w:divBdr>
        <w:top w:val="none" w:sz="0" w:space="0" w:color="auto"/>
        <w:left w:val="none" w:sz="0" w:space="0" w:color="auto"/>
        <w:bottom w:val="none" w:sz="0" w:space="0" w:color="auto"/>
        <w:right w:val="none" w:sz="0" w:space="0" w:color="auto"/>
      </w:divBdr>
    </w:div>
    <w:div w:id="1339231954">
      <w:marLeft w:val="0"/>
      <w:marRight w:val="0"/>
      <w:marTop w:val="10"/>
      <w:marBottom w:val="10"/>
      <w:divBdr>
        <w:top w:val="none" w:sz="0" w:space="0" w:color="auto"/>
        <w:left w:val="none" w:sz="0" w:space="0" w:color="auto"/>
        <w:bottom w:val="none" w:sz="0" w:space="0" w:color="auto"/>
        <w:right w:val="none" w:sz="0" w:space="0" w:color="auto"/>
      </w:divBdr>
    </w:div>
    <w:div w:id="1344747274">
      <w:marLeft w:val="0"/>
      <w:marRight w:val="0"/>
      <w:marTop w:val="10"/>
      <w:marBottom w:val="10"/>
      <w:divBdr>
        <w:top w:val="none" w:sz="0" w:space="0" w:color="auto"/>
        <w:left w:val="none" w:sz="0" w:space="0" w:color="auto"/>
        <w:bottom w:val="none" w:sz="0" w:space="0" w:color="auto"/>
        <w:right w:val="none" w:sz="0" w:space="0" w:color="auto"/>
      </w:divBdr>
    </w:div>
    <w:div w:id="1402554900">
      <w:marLeft w:val="0"/>
      <w:marRight w:val="0"/>
      <w:marTop w:val="10"/>
      <w:marBottom w:val="10"/>
      <w:divBdr>
        <w:top w:val="none" w:sz="0" w:space="0" w:color="auto"/>
        <w:left w:val="none" w:sz="0" w:space="0" w:color="auto"/>
        <w:bottom w:val="none" w:sz="0" w:space="0" w:color="auto"/>
        <w:right w:val="none" w:sz="0" w:space="0" w:color="auto"/>
      </w:divBdr>
    </w:div>
    <w:div w:id="1454901083">
      <w:marLeft w:val="0"/>
      <w:marRight w:val="0"/>
      <w:marTop w:val="10"/>
      <w:marBottom w:val="10"/>
      <w:divBdr>
        <w:top w:val="none" w:sz="0" w:space="0" w:color="auto"/>
        <w:left w:val="none" w:sz="0" w:space="0" w:color="auto"/>
        <w:bottom w:val="none" w:sz="0" w:space="0" w:color="auto"/>
        <w:right w:val="none" w:sz="0" w:space="0" w:color="auto"/>
      </w:divBdr>
    </w:div>
    <w:div w:id="1535148028">
      <w:marLeft w:val="0"/>
      <w:marRight w:val="0"/>
      <w:marTop w:val="10"/>
      <w:marBottom w:val="10"/>
      <w:divBdr>
        <w:top w:val="none" w:sz="0" w:space="0" w:color="auto"/>
        <w:left w:val="none" w:sz="0" w:space="0" w:color="auto"/>
        <w:bottom w:val="none" w:sz="0" w:space="0" w:color="auto"/>
        <w:right w:val="none" w:sz="0" w:space="0" w:color="auto"/>
      </w:divBdr>
    </w:div>
    <w:div w:id="1708748899">
      <w:marLeft w:val="0"/>
      <w:marRight w:val="0"/>
      <w:marTop w:val="10"/>
      <w:marBottom w:val="10"/>
      <w:divBdr>
        <w:top w:val="none" w:sz="0" w:space="0" w:color="auto"/>
        <w:left w:val="none" w:sz="0" w:space="0" w:color="auto"/>
        <w:bottom w:val="none" w:sz="0" w:space="0" w:color="auto"/>
        <w:right w:val="none" w:sz="0" w:space="0" w:color="auto"/>
      </w:divBdr>
    </w:div>
    <w:div w:id="1749424067">
      <w:marLeft w:val="0"/>
      <w:marRight w:val="720"/>
      <w:marTop w:val="10"/>
      <w:marBottom w:val="10"/>
      <w:divBdr>
        <w:top w:val="none" w:sz="0" w:space="0" w:color="auto"/>
        <w:left w:val="none" w:sz="0" w:space="0" w:color="auto"/>
        <w:bottom w:val="none" w:sz="0" w:space="0" w:color="auto"/>
        <w:right w:val="none" w:sz="0" w:space="0" w:color="auto"/>
      </w:divBdr>
    </w:div>
    <w:div w:id="1876238548">
      <w:marLeft w:val="0"/>
      <w:marRight w:val="720"/>
      <w:marTop w:val="10"/>
      <w:marBottom w:val="10"/>
      <w:divBdr>
        <w:top w:val="none" w:sz="0" w:space="0" w:color="auto"/>
        <w:left w:val="none" w:sz="0" w:space="0" w:color="auto"/>
        <w:bottom w:val="none" w:sz="0" w:space="0" w:color="auto"/>
        <w:right w:val="none" w:sz="0" w:space="0" w:color="auto"/>
      </w:divBdr>
    </w:div>
    <w:div w:id="1951737642">
      <w:marLeft w:val="0"/>
      <w:marRight w:val="0"/>
      <w:marTop w:val="10"/>
      <w:marBottom w:val="10"/>
      <w:divBdr>
        <w:top w:val="none" w:sz="0" w:space="0" w:color="auto"/>
        <w:left w:val="none" w:sz="0" w:space="0" w:color="auto"/>
        <w:bottom w:val="none" w:sz="0" w:space="0" w:color="auto"/>
        <w:right w:val="none" w:sz="0" w:space="0" w:color="auto"/>
      </w:divBdr>
    </w:div>
    <w:div w:id="201506349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