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92622">
      <w:pPr>
        <w:spacing w:line="500" w:lineRule="atLeast"/>
        <w:jc w:val="center"/>
        <w:divId w:val="1297221660"/>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B92622">
      <w:pPr>
        <w:spacing w:line="500" w:lineRule="atLeast"/>
        <w:jc w:val="center"/>
        <w:divId w:val="82983165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92622">
      <w:pPr>
        <w:spacing w:line="500" w:lineRule="atLeast"/>
        <w:jc w:val="right"/>
        <w:divId w:val="186219648"/>
        <w:rPr>
          <w:rFonts w:hint="eastAsia"/>
          <w:sz w:val="30"/>
          <w:szCs w:val="30"/>
        </w:rPr>
      </w:pPr>
      <w:r>
        <w:rPr>
          <w:rFonts w:hint="eastAsia"/>
          <w:sz w:val="30"/>
          <w:szCs w:val="30"/>
        </w:rPr>
        <w:t>（</w:t>
      </w:r>
      <w:r>
        <w:rPr>
          <w:rFonts w:hint="eastAsia"/>
          <w:sz w:val="30"/>
          <w:szCs w:val="30"/>
        </w:rPr>
        <w:t>2015</w:t>
      </w:r>
      <w:r>
        <w:rPr>
          <w:rFonts w:hint="eastAsia"/>
          <w:sz w:val="30"/>
          <w:szCs w:val="30"/>
        </w:rPr>
        <w:t>）沪二中民四（商）终字第</w:t>
      </w:r>
      <w:r>
        <w:rPr>
          <w:rFonts w:hint="eastAsia"/>
          <w:sz w:val="30"/>
          <w:szCs w:val="30"/>
        </w:rPr>
        <w:t>793</w:t>
      </w:r>
      <w:r>
        <w:rPr>
          <w:rFonts w:hint="eastAsia"/>
          <w:sz w:val="30"/>
          <w:szCs w:val="30"/>
        </w:rPr>
        <w:t>号</w:t>
      </w:r>
    </w:p>
    <w:p w:rsidR="00000000" w:rsidRDefault="00B92622">
      <w:pPr>
        <w:spacing w:line="500" w:lineRule="atLeast"/>
        <w:ind w:firstLine="600"/>
        <w:divId w:val="1878732100"/>
        <w:rPr>
          <w:rFonts w:hint="eastAsia"/>
          <w:sz w:val="30"/>
          <w:szCs w:val="30"/>
        </w:rPr>
      </w:pPr>
      <w:r>
        <w:rPr>
          <w:rFonts w:hint="eastAsia"/>
          <w:sz w:val="30"/>
          <w:szCs w:val="30"/>
        </w:rPr>
        <w:t>上诉人（原审原告）鑫波食品（上海）有限公司，住所地上海市嘉定区。</w:t>
      </w:r>
    </w:p>
    <w:p w:rsidR="00000000" w:rsidRDefault="00B92622">
      <w:pPr>
        <w:spacing w:line="500" w:lineRule="atLeast"/>
        <w:ind w:firstLine="600"/>
        <w:divId w:val="454326708"/>
        <w:rPr>
          <w:rFonts w:hint="eastAsia"/>
          <w:sz w:val="30"/>
          <w:szCs w:val="30"/>
        </w:rPr>
      </w:pPr>
      <w:r>
        <w:rPr>
          <w:rFonts w:hint="eastAsia"/>
          <w:sz w:val="30"/>
          <w:szCs w:val="30"/>
        </w:rPr>
        <w:t>法定代表人</w:t>
      </w:r>
      <w:r>
        <w:rPr>
          <w:rFonts w:hint="eastAsia"/>
          <w:sz w:val="30"/>
          <w:szCs w:val="30"/>
        </w:rPr>
        <w:t>MAREKANDRZEJKREJA</w:t>
      </w:r>
      <w:r>
        <w:rPr>
          <w:rFonts w:hint="eastAsia"/>
          <w:sz w:val="30"/>
          <w:szCs w:val="30"/>
        </w:rPr>
        <w:t>，该公司董事长。</w:t>
      </w:r>
    </w:p>
    <w:p w:rsidR="00000000" w:rsidRDefault="00B92622">
      <w:pPr>
        <w:spacing w:line="500" w:lineRule="atLeast"/>
        <w:ind w:firstLine="600"/>
        <w:divId w:val="747847506"/>
        <w:rPr>
          <w:rFonts w:hint="eastAsia"/>
          <w:sz w:val="30"/>
          <w:szCs w:val="30"/>
        </w:rPr>
      </w:pPr>
      <w:r>
        <w:rPr>
          <w:rFonts w:hint="eastAsia"/>
          <w:sz w:val="30"/>
          <w:szCs w:val="30"/>
        </w:rPr>
        <w:t>委托代理人李国楚，上海市凯昌律师事务所律师。</w:t>
      </w:r>
    </w:p>
    <w:p w:rsidR="00000000" w:rsidRDefault="00B92622">
      <w:pPr>
        <w:spacing w:line="500" w:lineRule="atLeast"/>
        <w:ind w:firstLine="600"/>
        <w:divId w:val="1226183587"/>
        <w:rPr>
          <w:rFonts w:hint="eastAsia"/>
          <w:sz w:val="30"/>
          <w:szCs w:val="30"/>
        </w:rPr>
      </w:pPr>
      <w:r>
        <w:rPr>
          <w:rFonts w:hint="eastAsia"/>
          <w:sz w:val="30"/>
          <w:szCs w:val="30"/>
        </w:rPr>
        <w:t>委托代理人王青山，上海市凯昌律师事务所律师。</w:t>
      </w:r>
    </w:p>
    <w:p w:rsidR="00000000" w:rsidRDefault="00B92622">
      <w:pPr>
        <w:spacing w:line="500" w:lineRule="atLeast"/>
        <w:ind w:firstLine="600"/>
        <w:divId w:val="1779174473"/>
        <w:rPr>
          <w:rFonts w:hint="eastAsia"/>
          <w:sz w:val="30"/>
          <w:szCs w:val="30"/>
        </w:rPr>
      </w:pPr>
      <w:r>
        <w:rPr>
          <w:rFonts w:hint="eastAsia"/>
          <w:sz w:val="30"/>
          <w:szCs w:val="30"/>
        </w:rPr>
        <w:t>被上诉人（原审被告）宋海涛，男，</w:t>
      </w:r>
      <w:r>
        <w:rPr>
          <w:rFonts w:hint="eastAsia"/>
          <w:sz w:val="30"/>
          <w:szCs w:val="30"/>
        </w:rPr>
        <w:t>1971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日出生，汉族，住上海市黄浦区。</w:t>
      </w:r>
    </w:p>
    <w:p w:rsidR="00000000" w:rsidRDefault="00B92622">
      <w:pPr>
        <w:spacing w:line="500" w:lineRule="atLeast"/>
        <w:ind w:firstLine="600"/>
        <w:divId w:val="1318345296"/>
        <w:rPr>
          <w:rFonts w:hint="eastAsia"/>
          <w:sz w:val="30"/>
          <w:szCs w:val="30"/>
        </w:rPr>
      </w:pPr>
      <w:r>
        <w:rPr>
          <w:rFonts w:hint="eastAsia"/>
          <w:sz w:val="30"/>
          <w:szCs w:val="30"/>
        </w:rPr>
        <w:t>委托代理人陈楚裕，上海元竹律师事务所律师。</w:t>
      </w:r>
    </w:p>
    <w:p w:rsidR="00000000" w:rsidRDefault="00B92622">
      <w:pPr>
        <w:spacing w:line="500" w:lineRule="atLeast"/>
        <w:ind w:firstLine="600"/>
        <w:divId w:val="1229924160"/>
        <w:rPr>
          <w:rFonts w:hint="eastAsia"/>
          <w:sz w:val="30"/>
          <w:szCs w:val="30"/>
        </w:rPr>
      </w:pPr>
      <w:r>
        <w:rPr>
          <w:rFonts w:hint="eastAsia"/>
          <w:sz w:val="30"/>
          <w:szCs w:val="30"/>
        </w:rPr>
        <w:t>委托代理人徐颖，上海元竹律师事务所律师。</w:t>
      </w:r>
    </w:p>
    <w:p w:rsidR="00000000" w:rsidRDefault="00B92622">
      <w:pPr>
        <w:spacing w:line="500" w:lineRule="atLeast"/>
        <w:ind w:firstLine="600"/>
        <w:divId w:val="1475753410"/>
        <w:rPr>
          <w:rFonts w:hint="eastAsia"/>
          <w:sz w:val="30"/>
          <w:szCs w:val="30"/>
        </w:rPr>
      </w:pPr>
      <w:r>
        <w:rPr>
          <w:rFonts w:hint="eastAsia"/>
          <w:sz w:val="30"/>
          <w:szCs w:val="30"/>
        </w:rPr>
        <w:t>上诉人鑫波食品（上海）有限公司（以下简称“鑫波公司”）与被上诉人宋海涛因损害公司利益责任纠纷一案，不服上海市嘉定区人民法院（</w:t>
      </w:r>
      <w:r>
        <w:rPr>
          <w:rFonts w:hint="eastAsia"/>
          <w:sz w:val="30"/>
          <w:szCs w:val="30"/>
        </w:rPr>
        <w:t>2014</w:t>
      </w:r>
      <w:r>
        <w:rPr>
          <w:rFonts w:hint="eastAsia"/>
          <w:sz w:val="30"/>
          <w:szCs w:val="30"/>
        </w:rPr>
        <w:t>）嘉民二（商）初字第</w:t>
      </w:r>
      <w:r>
        <w:rPr>
          <w:rFonts w:hint="eastAsia"/>
          <w:sz w:val="30"/>
          <w:szCs w:val="30"/>
        </w:rPr>
        <w:t>2450</w:t>
      </w:r>
      <w:r>
        <w:rPr>
          <w:rFonts w:hint="eastAsia"/>
          <w:sz w:val="30"/>
          <w:szCs w:val="30"/>
        </w:rPr>
        <w:t>号民事判决，向本院提起上诉。本院依法组成合议庭，公开开庭审理了本案。上诉人鑫波公司的委托代理人王青山，被上诉人宋海涛的委托代理人徐颖到庭参加诉讼。本案现已审理终结。</w:t>
      </w:r>
    </w:p>
    <w:p w:rsidR="00000000" w:rsidRDefault="00B92622">
      <w:pPr>
        <w:spacing w:line="500" w:lineRule="atLeast"/>
        <w:ind w:firstLine="600"/>
        <w:divId w:val="1937008472"/>
        <w:rPr>
          <w:rFonts w:hint="eastAsia"/>
          <w:sz w:val="30"/>
          <w:szCs w:val="30"/>
        </w:rPr>
      </w:pPr>
      <w:r>
        <w:rPr>
          <w:rFonts w:hint="eastAsia"/>
          <w:sz w:val="30"/>
          <w:szCs w:val="30"/>
        </w:rPr>
        <w:t>原审法院经审理查明：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日，鑫波公司经上海市工商行政管理局批准设立，注册资本为</w:t>
      </w:r>
      <w:r>
        <w:rPr>
          <w:rFonts w:hint="eastAsia"/>
          <w:sz w:val="30"/>
          <w:szCs w:val="30"/>
        </w:rPr>
        <w:t>55</w:t>
      </w:r>
      <w:r>
        <w:rPr>
          <w:rFonts w:hint="eastAsia"/>
          <w:sz w:val="30"/>
          <w:szCs w:val="30"/>
        </w:rPr>
        <w:t>万美元，系由两名波兰籍居民在中国境内投资设立的外商合资企业。其中，</w:t>
      </w:r>
      <w:r>
        <w:rPr>
          <w:rFonts w:hint="eastAsia"/>
          <w:sz w:val="30"/>
          <w:szCs w:val="30"/>
        </w:rPr>
        <w:t>GRZEGORZANDRZ</w:t>
      </w:r>
      <w:r>
        <w:rPr>
          <w:rFonts w:hint="eastAsia"/>
          <w:sz w:val="30"/>
          <w:szCs w:val="30"/>
        </w:rPr>
        <w:t>EJSTEPIEN</w:t>
      </w:r>
      <w:r>
        <w:rPr>
          <w:rFonts w:hint="eastAsia"/>
          <w:sz w:val="30"/>
          <w:szCs w:val="30"/>
        </w:rPr>
        <w:t>认缴出资</w:t>
      </w:r>
      <w:r>
        <w:rPr>
          <w:rFonts w:hint="eastAsia"/>
          <w:sz w:val="30"/>
          <w:szCs w:val="30"/>
        </w:rPr>
        <w:t>38.5</w:t>
      </w:r>
      <w:r>
        <w:rPr>
          <w:rFonts w:hint="eastAsia"/>
          <w:sz w:val="30"/>
          <w:szCs w:val="30"/>
        </w:rPr>
        <w:t>万美元，占注册资本的</w:t>
      </w:r>
      <w:r>
        <w:rPr>
          <w:rFonts w:hint="eastAsia"/>
          <w:sz w:val="30"/>
          <w:szCs w:val="30"/>
        </w:rPr>
        <w:t>70%</w:t>
      </w:r>
      <w:r>
        <w:rPr>
          <w:rFonts w:hint="eastAsia"/>
          <w:sz w:val="30"/>
          <w:szCs w:val="30"/>
        </w:rPr>
        <w:t>，并担任法定代表人；</w:t>
      </w:r>
      <w:r>
        <w:rPr>
          <w:rFonts w:hint="eastAsia"/>
          <w:sz w:val="30"/>
          <w:szCs w:val="30"/>
        </w:rPr>
        <w:t>PIOERPAWEISCIBOR</w:t>
      </w:r>
      <w:r>
        <w:rPr>
          <w:rFonts w:hint="eastAsia"/>
          <w:sz w:val="30"/>
          <w:szCs w:val="30"/>
        </w:rPr>
        <w:t>认缴出资</w:t>
      </w:r>
      <w:r>
        <w:rPr>
          <w:rFonts w:hint="eastAsia"/>
          <w:sz w:val="30"/>
          <w:szCs w:val="30"/>
        </w:rPr>
        <w:t>16.5</w:t>
      </w:r>
      <w:r>
        <w:rPr>
          <w:rFonts w:hint="eastAsia"/>
          <w:sz w:val="30"/>
          <w:szCs w:val="30"/>
        </w:rPr>
        <w:t>万美元，占注册资本的</w:t>
      </w:r>
      <w:r>
        <w:rPr>
          <w:rFonts w:hint="eastAsia"/>
          <w:sz w:val="30"/>
          <w:szCs w:val="30"/>
        </w:rPr>
        <w:t>30%</w:t>
      </w:r>
      <w:r>
        <w:rPr>
          <w:rFonts w:hint="eastAsia"/>
          <w:sz w:val="30"/>
          <w:szCs w:val="30"/>
        </w:rPr>
        <w:t>。根据公司章程规定，鑫波公司的经营范围为：生产、加工肉制品（香肠、火腿），销售本公司自产产品并提供售后服务（设计行政许可，凭许可证经营）。公司章程另规定，公司高级职员不得参与其他经济组织对本公</w:t>
      </w:r>
      <w:r>
        <w:rPr>
          <w:rFonts w:hint="eastAsia"/>
          <w:sz w:val="30"/>
          <w:szCs w:val="30"/>
        </w:rPr>
        <w:lastRenderedPageBreak/>
        <w:t>司的商业竞争行为。公司设立后，即聘请宋海涛担任公司的总经理，负责公司的经营管理。</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日，鑫波公司委托律师向宋海涛发函，免除宋海涛的总经理职务，并终止所</w:t>
      </w:r>
      <w:r>
        <w:rPr>
          <w:rFonts w:hint="eastAsia"/>
          <w:sz w:val="30"/>
          <w:szCs w:val="30"/>
        </w:rPr>
        <w:t>有有关公司事务的授权。</w:t>
      </w:r>
    </w:p>
    <w:p w:rsidR="00000000" w:rsidRDefault="00B92622">
      <w:pPr>
        <w:spacing w:line="500" w:lineRule="atLeast"/>
        <w:ind w:firstLine="600"/>
        <w:divId w:val="858815022"/>
        <w:rPr>
          <w:rFonts w:hint="eastAsia"/>
          <w:sz w:val="30"/>
          <w:szCs w:val="30"/>
        </w:rPr>
      </w:pPr>
      <w:r>
        <w:rPr>
          <w:rFonts w:hint="eastAsia"/>
          <w:sz w:val="30"/>
          <w:szCs w:val="30"/>
        </w:rPr>
        <w:t>原审另查明：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日，申根贸易（上海）有限公司（以下简称“申根公司”）经上海市工商行政管理局宝山分局核准设立，注册资本为人民币</w:t>
      </w:r>
      <w:r>
        <w:rPr>
          <w:rFonts w:hint="eastAsia"/>
          <w:sz w:val="30"/>
          <w:szCs w:val="30"/>
        </w:rPr>
        <w:t>50</w:t>
      </w:r>
      <w:r>
        <w:rPr>
          <w:rFonts w:hint="eastAsia"/>
          <w:sz w:val="30"/>
          <w:szCs w:val="30"/>
        </w:rPr>
        <w:t>万元（以下币种均为人民币），股东为三人，即樊海波（认缴出资</w:t>
      </w:r>
      <w:r>
        <w:rPr>
          <w:rFonts w:hint="eastAsia"/>
          <w:sz w:val="30"/>
          <w:szCs w:val="30"/>
        </w:rPr>
        <w:t>10</w:t>
      </w:r>
      <w:r>
        <w:rPr>
          <w:rFonts w:hint="eastAsia"/>
          <w:sz w:val="30"/>
          <w:szCs w:val="30"/>
        </w:rPr>
        <w:t>万元，持股</w:t>
      </w:r>
      <w:r>
        <w:rPr>
          <w:rFonts w:hint="eastAsia"/>
          <w:sz w:val="30"/>
          <w:szCs w:val="30"/>
        </w:rPr>
        <w:t>20%</w:t>
      </w:r>
      <w:r>
        <w:rPr>
          <w:rFonts w:hint="eastAsia"/>
          <w:sz w:val="30"/>
          <w:szCs w:val="30"/>
        </w:rPr>
        <w:t>）、宋成根（认缴出资</w:t>
      </w:r>
      <w:r>
        <w:rPr>
          <w:rFonts w:hint="eastAsia"/>
          <w:sz w:val="30"/>
          <w:szCs w:val="30"/>
        </w:rPr>
        <w:t>25</w:t>
      </w:r>
      <w:r>
        <w:rPr>
          <w:rFonts w:hint="eastAsia"/>
          <w:sz w:val="30"/>
          <w:szCs w:val="30"/>
        </w:rPr>
        <w:t>万元，持股</w:t>
      </w:r>
      <w:r>
        <w:rPr>
          <w:rFonts w:hint="eastAsia"/>
          <w:sz w:val="30"/>
          <w:szCs w:val="30"/>
        </w:rPr>
        <w:t>50%</w:t>
      </w:r>
      <w:r>
        <w:rPr>
          <w:rFonts w:hint="eastAsia"/>
          <w:sz w:val="30"/>
          <w:szCs w:val="30"/>
        </w:rPr>
        <w:t>）、宋海涛（认缴出资</w:t>
      </w:r>
      <w:r>
        <w:rPr>
          <w:rFonts w:hint="eastAsia"/>
          <w:sz w:val="30"/>
          <w:szCs w:val="30"/>
        </w:rPr>
        <w:t>15</w:t>
      </w:r>
      <w:r>
        <w:rPr>
          <w:rFonts w:hint="eastAsia"/>
          <w:sz w:val="30"/>
          <w:szCs w:val="30"/>
        </w:rPr>
        <w:t>万元，持股</w:t>
      </w:r>
      <w:r>
        <w:rPr>
          <w:rFonts w:hint="eastAsia"/>
          <w:sz w:val="30"/>
          <w:szCs w:val="30"/>
        </w:rPr>
        <w:t>30%</w:t>
      </w:r>
      <w:r>
        <w:rPr>
          <w:rFonts w:hint="eastAsia"/>
          <w:sz w:val="30"/>
          <w:szCs w:val="30"/>
        </w:rPr>
        <w:t>），并由樊海波担任法定代表人。申根公司经营范围为：批发非实物方式；预包装食品（不含熟食卤味、冷冻冷藏）；从事货物进出口业务；电子商务（不得从事增值电信、金融业务）；商务咨询；企业管理咨询；钢</w:t>
      </w:r>
      <w:r>
        <w:rPr>
          <w:rFonts w:hint="eastAsia"/>
          <w:sz w:val="30"/>
          <w:szCs w:val="30"/>
        </w:rPr>
        <w:t>材、建材、日用百货销售（企业经营涉及行政许可的，凭许可证件经营）。</w:t>
      </w:r>
    </w:p>
    <w:p w:rsidR="00000000" w:rsidRDefault="00B92622">
      <w:pPr>
        <w:spacing w:line="500" w:lineRule="atLeast"/>
        <w:ind w:firstLine="600"/>
        <w:divId w:val="1512448126"/>
        <w:rPr>
          <w:rFonts w:hint="eastAsia"/>
          <w:sz w:val="30"/>
          <w:szCs w:val="30"/>
        </w:rPr>
      </w:pPr>
      <w:r>
        <w:rPr>
          <w:rFonts w:hint="eastAsia"/>
          <w:sz w:val="30"/>
          <w:szCs w:val="30"/>
        </w:rPr>
        <w:t>鑫波公司认为，其系一家外商合资企业，主营加工、销售肉制品（熏煮香肠火腿制品）等。</w:t>
      </w:r>
      <w:r>
        <w:rPr>
          <w:rFonts w:hint="eastAsia"/>
          <w:sz w:val="30"/>
          <w:szCs w:val="30"/>
        </w:rPr>
        <w:t>2011</w:t>
      </w:r>
      <w:r>
        <w:rPr>
          <w:rFonts w:hint="eastAsia"/>
          <w:sz w:val="30"/>
          <w:szCs w:val="30"/>
        </w:rPr>
        <w:t>年初，鑫波公司聘请宋海涛担任总经理，负责鑫波公司的经营管理。根据鑫波公司章程规定，公司高级管理人员不得参与其他经济组织对本公司的商业竞争行为。经营过程中，鑫波公司拟注册“皇家歌诗堡</w:t>
      </w:r>
      <w:r>
        <w:rPr>
          <w:rFonts w:hint="eastAsia"/>
          <w:sz w:val="30"/>
          <w:szCs w:val="30"/>
        </w:rPr>
        <w:t>SINCE1823GRZEGORZHOUSE</w:t>
      </w:r>
      <w:r>
        <w:rPr>
          <w:rFonts w:hint="eastAsia"/>
          <w:sz w:val="30"/>
          <w:szCs w:val="30"/>
        </w:rPr>
        <w:t>”作为产品商标使用。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月，宋海涛擅自委托上海漫趣网络科技有限公司（以下简称“漫趣公司”）代为办理商标注册事宜。但漫趣公司取</w:t>
      </w:r>
      <w:r>
        <w:rPr>
          <w:rFonts w:hint="eastAsia"/>
          <w:sz w:val="30"/>
          <w:szCs w:val="30"/>
        </w:rPr>
        <w:t>得商标后却据为己有。宋海涛作为鑫波公司总经理，操作不当（或故意），致使案外人取得上述商标。另外，</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日，宋海涛与案外人宋成根、樊海波共同投资设立了申根公司。而宋成根系宋海涛的父亲，樊海波系漫趣公司的董事长。申根公司的经营</w:t>
      </w:r>
      <w:r>
        <w:rPr>
          <w:rFonts w:hint="eastAsia"/>
          <w:sz w:val="30"/>
          <w:szCs w:val="30"/>
        </w:rPr>
        <w:lastRenderedPageBreak/>
        <w:t>范围包括了食品行业（香肠、火腿等肉产品），与鑫波公司经营范围相同。</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日，因宋海涛严重违反我国《公司法》等规定，鑫波公司依法解除其总经理职务，并通过律师函及报刊公告的方式予以告知。但宋海涛拒不配合办理交接手续。</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日，鑫波公司为防止损失扩大，单方为宋</w:t>
      </w:r>
      <w:r>
        <w:rPr>
          <w:rFonts w:hint="eastAsia"/>
          <w:sz w:val="30"/>
          <w:szCs w:val="30"/>
        </w:rPr>
        <w:t>海涛办理了退工手续。宋海涛作为鑫波公司高级管理人员，违背法律规定的忠实和勤勉义务，在任职期间设立与鑫波公司经营范围相同的公司，严重侵害了鑫波公司的合法权益。故鑫波公司诉至原审法院，请求判令：宋海涛在职期间（</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日）从申根公司取得的收入</w:t>
      </w:r>
      <w:r>
        <w:rPr>
          <w:rFonts w:hint="eastAsia"/>
          <w:sz w:val="30"/>
          <w:szCs w:val="30"/>
        </w:rPr>
        <w:t>20</w:t>
      </w:r>
      <w:r>
        <w:rPr>
          <w:rFonts w:hint="eastAsia"/>
          <w:sz w:val="30"/>
          <w:szCs w:val="30"/>
        </w:rPr>
        <w:t>万元（暂估）归鑫波公司所有。</w:t>
      </w:r>
    </w:p>
    <w:p w:rsidR="00000000" w:rsidRDefault="00B92622">
      <w:pPr>
        <w:spacing w:line="500" w:lineRule="atLeast"/>
        <w:ind w:firstLine="600"/>
        <w:divId w:val="572280992"/>
        <w:rPr>
          <w:rFonts w:hint="eastAsia"/>
          <w:sz w:val="30"/>
          <w:szCs w:val="30"/>
        </w:rPr>
      </w:pPr>
      <w:r>
        <w:rPr>
          <w:rFonts w:hint="eastAsia"/>
          <w:sz w:val="30"/>
          <w:szCs w:val="30"/>
        </w:rPr>
        <w:t>原审法院经审理后认为，公司的总经理属于公司的高级管理人员，对公司负有忠实勤勉义务。公司高级管理人员作出违反对公司忠实勤勉义务的行为的，其所得收入应当归入公司所有。公司行使归入权必须符合两个条件：</w:t>
      </w:r>
      <w:r>
        <w:rPr>
          <w:rFonts w:hint="eastAsia"/>
          <w:sz w:val="30"/>
          <w:szCs w:val="30"/>
        </w:rPr>
        <w:t>1</w:t>
      </w:r>
      <w:r>
        <w:rPr>
          <w:rFonts w:hint="eastAsia"/>
          <w:sz w:val="30"/>
          <w:szCs w:val="30"/>
        </w:rPr>
        <w:t>、公司高级管理</w:t>
      </w:r>
      <w:r>
        <w:rPr>
          <w:rFonts w:hint="eastAsia"/>
          <w:sz w:val="30"/>
          <w:szCs w:val="30"/>
        </w:rPr>
        <w:t>人员实施了违反对公司忠实、勤勉义务的行为；</w:t>
      </w:r>
      <w:r>
        <w:rPr>
          <w:rFonts w:hint="eastAsia"/>
          <w:sz w:val="30"/>
          <w:szCs w:val="30"/>
        </w:rPr>
        <w:t>2</w:t>
      </w:r>
      <w:r>
        <w:rPr>
          <w:rFonts w:hint="eastAsia"/>
          <w:sz w:val="30"/>
          <w:szCs w:val="30"/>
        </w:rPr>
        <w:t>、公司高级管理人员因此而获得了收益。鑫波公司认为，宋海涛在担任鑫波公司总经理职务期间，另行设立了一家与鑫波公司经营范围相同的公司，且利用鑫波公司的资源开展该公司的经营业务，属于违反公司高级管理人员忠实勤勉义务的行为，故诉请要求宋海涛在申根公司所得收益归入鑫波公司所有。原审法院认为，宋海涛在担任鑫波公司总经理职务期间，另行与他人共同设立了与鑫波公司经营范围相同的申根公司，宋海涛此举虽难脱损害公司利益之嫌，但鑫波公司提供的证据尚不足以证实宋海涛直接参与申根公司的经营管</w:t>
      </w:r>
      <w:r>
        <w:rPr>
          <w:rFonts w:hint="eastAsia"/>
          <w:sz w:val="30"/>
          <w:szCs w:val="30"/>
        </w:rPr>
        <w:t>理或者虽不直接参与，但对申根公司经营决策具有影响力，或者利用在鑫波公司处任职的便利为申根公司谋取了本属于鑫波公司的商业机会。原审中，鑫波公司向原审法院提出要求法院调查取证的申请书，要求法院向申根公司调取财务账册，并向税务部门调取申根公司纳税记录及报税材料，用以证明宋海涛在鑫波公司处任职期间自申根公司处获得的收入。原审法院认为，该项待证事实属于鑫波公司的举证范围，故不予准许。综上，鑫波公司的诉请依据不足，难以支持。</w:t>
      </w:r>
    </w:p>
    <w:p w:rsidR="00000000" w:rsidRDefault="00B92622">
      <w:pPr>
        <w:spacing w:line="500" w:lineRule="atLeast"/>
        <w:ind w:firstLine="600"/>
        <w:divId w:val="851146802"/>
        <w:rPr>
          <w:rFonts w:hint="eastAsia"/>
          <w:sz w:val="30"/>
          <w:szCs w:val="30"/>
        </w:rPr>
      </w:pPr>
      <w:r>
        <w:rPr>
          <w:rFonts w:hint="eastAsia"/>
          <w:sz w:val="30"/>
          <w:szCs w:val="30"/>
        </w:rPr>
        <w:t>据此，原审法院依照《中华人民共和国公司法》第一百四十八条第一款、《中华人民共和国民事诉讼法》第</w:t>
      </w:r>
      <w:r>
        <w:rPr>
          <w:rFonts w:hint="eastAsia"/>
          <w:sz w:val="30"/>
          <w:szCs w:val="30"/>
        </w:rPr>
        <w:t>六十四条第一款、《最高人民法院关于民事诉讼证据的若干规定》第二条之规定，作出判决：驳回鑫波公司的全部诉讼请求。一审案件受理费</w:t>
      </w:r>
      <w:r>
        <w:rPr>
          <w:rFonts w:hint="eastAsia"/>
          <w:sz w:val="30"/>
          <w:szCs w:val="30"/>
        </w:rPr>
        <w:t>4</w:t>
      </w:r>
      <w:r>
        <w:rPr>
          <w:rFonts w:hint="eastAsia"/>
          <w:sz w:val="30"/>
          <w:szCs w:val="30"/>
        </w:rPr>
        <w:t>，</w:t>
      </w:r>
      <w:r>
        <w:rPr>
          <w:rFonts w:hint="eastAsia"/>
          <w:sz w:val="30"/>
          <w:szCs w:val="30"/>
        </w:rPr>
        <w:t>300</w:t>
      </w:r>
      <w:r>
        <w:rPr>
          <w:rFonts w:hint="eastAsia"/>
          <w:sz w:val="30"/>
          <w:szCs w:val="30"/>
        </w:rPr>
        <w:t>元，减半收取为</w:t>
      </w:r>
      <w:r>
        <w:rPr>
          <w:rFonts w:hint="eastAsia"/>
          <w:sz w:val="30"/>
          <w:szCs w:val="30"/>
        </w:rPr>
        <w:t>2</w:t>
      </w:r>
      <w:r>
        <w:rPr>
          <w:rFonts w:hint="eastAsia"/>
          <w:sz w:val="30"/>
          <w:szCs w:val="30"/>
        </w:rPr>
        <w:t>，</w:t>
      </w:r>
      <w:r>
        <w:rPr>
          <w:rFonts w:hint="eastAsia"/>
          <w:sz w:val="30"/>
          <w:szCs w:val="30"/>
        </w:rPr>
        <w:t>150</w:t>
      </w:r>
      <w:r>
        <w:rPr>
          <w:rFonts w:hint="eastAsia"/>
          <w:sz w:val="30"/>
          <w:szCs w:val="30"/>
        </w:rPr>
        <w:t>元，由鑫波公司负担。</w:t>
      </w:r>
    </w:p>
    <w:p w:rsidR="00000000" w:rsidRDefault="00B92622">
      <w:pPr>
        <w:spacing w:line="500" w:lineRule="atLeast"/>
        <w:ind w:firstLine="600"/>
        <w:divId w:val="825704606"/>
        <w:rPr>
          <w:rFonts w:hint="eastAsia"/>
          <w:sz w:val="30"/>
          <w:szCs w:val="30"/>
        </w:rPr>
      </w:pPr>
      <w:r>
        <w:rPr>
          <w:rFonts w:hint="eastAsia"/>
          <w:sz w:val="30"/>
          <w:szCs w:val="30"/>
        </w:rPr>
        <w:t>原审判决后，上诉人鑫波公司不服，向本院提起上诉称：</w:t>
      </w:r>
      <w:r>
        <w:rPr>
          <w:rFonts w:hint="eastAsia"/>
          <w:sz w:val="30"/>
          <w:szCs w:val="30"/>
        </w:rPr>
        <w:t>1</w:t>
      </w:r>
      <w:r>
        <w:rPr>
          <w:rFonts w:hint="eastAsia"/>
          <w:sz w:val="30"/>
          <w:szCs w:val="30"/>
        </w:rPr>
        <w:t>、宋海涛在担任鑫波公司总经理期间，与他人合资设立与鑫波公司经营业务相同的申根公司，并以申根公司名义开设网店销售鑫波公司的香肠制品，其行为明显已经违反竞业禁止义务。</w:t>
      </w:r>
      <w:r>
        <w:rPr>
          <w:rFonts w:hint="eastAsia"/>
          <w:sz w:val="30"/>
          <w:szCs w:val="30"/>
        </w:rPr>
        <w:t>2</w:t>
      </w:r>
      <w:r>
        <w:rPr>
          <w:rFonts w:hint="eastAsia"/>
          <w:sz w:val="30"/>
          <w:szCs w:val="30"/>
        </w:rPr>
        <w:t>、申根公司的股东构成为：宋海涛持股</w:t>
      </w:r>
      <w:r>
        <w:rPr>
          <w:rFonts w:hint="eastAsia"/>
          <w:sz w:val="30"/>
          <w:szCs w:val="30"/>
        </w:rPr>
        <w:t>30%</w:t>
      </w:r>
      <w:r>
        <w:rPr>
          <w:rFonts w:hint="eastAsia"/>
          <w:sz w:val="30"/>
          <w:szCs w:val="30"/>
        </w:rPr>
        <w:t>、宋成根（系宋海涛之父）持股</w:t>
      </w:r>
      <w:r>
        <w:rPr>
          <w:rFonts w:hint="eastAsia"/>
          <w:sz w:val="30"/>
          <w:szCs w:val="30"/>
        </w:rPr>
        <w:t>50%</w:t>
      </w:r>
      <w:r>
        <w:rPr>
          <w:rFonts w:hint="eastAsia"/>
          <w:sz w:val="30"/>
          <w:szCs w:val="30"/>
        </w:rPr>
        <w:t>、樊海波（系漫趣公司法定代表人）持股</w:t>
      </w:r>
      <w:r>
        <w:rPr>
          <w:rFonts w:hint="eastAsia"/>
          <w:sz w:val="30"/>
          <w:szCs w:val="30"/>
        </w:rPr>
        <w:t>20%</w:t>
      </w:r>
      <w:r>
        <w:rPr>
          <w:rFonts w:hint="eastAsia"/>
          <w:sz w:val="30"/>
          <w:szCs w:val="30"/>
        </w:rPr>
        <w:t>。而漫趣公司曾受鑫波公司（当时，鑫波公司由宋海涛担任总经理，全权负责公司事务）委托，替鑫波公司代为注册“皇家歌诗堡”香肠制品的商标品牌，但最终由漫趣公司取得了该商标。根据上述申根公司的股东构成可以表明，宋海涛对于公司的决策具有绝对的影响力。</w:t>
      </w:r>
      <w:r>
        <w:rPr>
          <w:rFonts w:hint="eastAsia"/>
          <w:sz w:val="30"/>
          <w:szCs w:val="30"/>
        </w:rPr>
        <w:t>3</w:t>
      </w:r>
      <w:r>
        <w:rPr>
          <w:rFonts w:hint="eastAsia"/>
          <w:sz w:val="30"/>
          <w:szCs w:val="30"/>
        </w:rPr>
        <w:t>、鑫波公司没有能力自行调查宋海涛担任鑫波公司总经理期间从申根公司获得的非法收入，原审法院亦未依职权进行调查，故鑫波公司只得估算诉请的赔偿金额。而原审法院脱离日常生活经验，过分苛求鑫波公司的举证责任，并在表明“（宋海涛的行为）虽难脱损害公司利益之嫌”这一观点的情形下，最终</w:t>
      </w:r>
      <w:r>
        <w:rPr>
          <w:rFonts w:hint="eastAsia"/>
          <w:sz w:val="30"/>
          <w:szCs w:val="30"/>
        </w:rPr>
        <w:t>仍然作出完全不支持鑫波公司诉请的判决，违背案件事实和法律原则。故请求二审法院：撤销原判，依法改判支持鑫波公司的原审诉请。</w:t>
      </w:r>
    </w:p>
    <w:p w:rsidR="00000000" w:rsidRDefault="00B92622">
      <w:pPr>
        <w:spacing w:line="500" w:lineRule="atLeast"/>
        <w:ind w:firstLine="600"/>
        <w:divId w:val="7755590"/>
        <w:rPr>
          <w:rFonts w:hint="eastAsia"/>
          <w:sz w:val="30"/>
          <w:szCs w:val="30"/>
        </w:rPr>
      </w:pPr>
      <w:r>
        <w:rPr>
          <w:rFonts w:hint="eastAsia"/>
          <w:sz w:val="30"/>
          <w:szCs w:val="30"/>
        </w:rPr>
        <w:t>被上诉人宋海涛答辩称：</w:t>
      </w:r>
      <w:r>
        <w:rPr>
          <w:rFonts w:hint="eastAsia"/>
          <w:sz w:val="30"/>
          <w:szCs w:val="30"/>
        </w:rPr>
        <w:t>1</w:t>
      </w:r>
      <w:r>
        <w:rPr>
          <w:rFonts w:hint="eastAsia"/>
          <w:sz w:val="30"/>
          <w:szCs w:val="30"/>
        </w:rPr>
        <w:t>、鑫波公司所谓的申根公司开展与鑫波公司相同的业务一说，仅仅是申根公司在</w:t>
      </w:r>
      <w:r>
        <w:rPr>
          <w:rFonts w:hint="eastAsia"/>
          <w:sz w:val="30"/>
          <w:szCs w:val="30"/>
        </w:rPr>
        <w:t>1</w:t>
      </w:r>
      <w:r>
        <w:rPr>
          <w:rFonts w:hint="eastAsia"/>
          <w:sz w:val="30"/>
          <w:szCs w:val="30"/>
        </w:rPr>
        <w:t>号店中也销售了香肠类制品，并不能表明两家公司经营范围完全一致。且申根公司的行为并不等同于宋海涛的行为。</w:t>
      </w:r>
      <w:r>
        <w:rPr>
          <w:rFonts w:hint="eastAsia"/>
          <w:sz w:val="30"/>
          <w:szCs w:val="30"/>
        </w:rPr>
        <w:t>2</w:t>
      </w:r>
      <w:r>
        <w:rPr>
          <w:rFonts w:hint="eastAsia"/>
          <w:sz w:val="30"/>
          <w:szCs w:val="30"/>
        </w:rPr>
        <w:t>、鑫波公司并无证据证明宋海涛参与了申根公司的经营决策。</w:t>
      </w:r>
      <w:r>
        <w:rPr>
          <w:rFonts w:hint="eastAsia"/>
          <w:sz w:val="30"/>
          <w:szCs w:val="30"/>
        </w:rPr>
        <w:t>3</w:t>
      </w:r>
      <w:r>
        <w:rPr>
          <w:rFonts w:hint="eastAsia"/>
          <w:sz w:val="30"/>
          <w:szCs w:val="30"/>
        </w:rPr>
        <w:t>、鑫波公司应当对其提出诉讼的赔偿金额构成承担举证责任。其于原审中提出的调查申请并非法院依职权调查的范围。故认为原审法院未予支持鑫波公司</w:t>
      </w:r>
      <w:r>
        <w:rPr>
          <w:rFonts w:hint="eastAsia"/>
          <w:sz w:val="30"/>
          <w:szCs w:val="30"/>
        </w:rPr>
        <w:t>原审诉请的判决无误，请求二审法院：驳回上诉，维持原判。</w:t>
      </w:r>
    </w:p>
    <w:p w:rsidR="00000000" w:rsidRDefault="00B92622">
      <w:pPr>
        <w:spacing w:line="500" w:lineRule="atLeast"/>
        <w:ind w:firstLine="600"/>
        <w:divId w:val="733282686"/>
        <w:rPr>
          <w:rFonts w:hint="eastAsia"/>
          <w:sz w:val="30"/>
          <w:szCs w:val="30"/>
        </w:rPr>
      </w:pPr>
      <w:r>
        <w:rPr>
          <w:rFonts w:hint="eastAsia"/>
          <w:sz w:val="30"/>
          <w:szCs w:val="30"/>
        </w:rPr>
        <w:t>本院经审理查明：原审查明事实属实，本院予以确认。</w:t>
      </w:r>
    </w:p>
    <w:p w:rsidR="00000000" w:rsidRDefault="00B92622">
      <w:pPr>
        <w:spacing w:line="500" w:lineRule="atLeast"/>
        <w:ind w:firstLine="600"/>
        <w:divId w:val="1170874985"/>
        <w:rPr>
          <w:rFonts w:hint="eastAsia"/>
          <w:sz w:val="30"/>
          <w:szCs w:val="30"/>
        </w:rPr>
      </w:pPr>
      <w:r>
        <w:rPr>
          <w:rFonts w:hint="eastAsia"/>
          <w:sz w:val="30"/>
          <w:szCs w:val="30"/>
        </w:rPr>
        <w:t>二审中，鑫波公司再次明确，根据其原审中提供的上海市东方公证处所作证据保全公证书显示，申根公司在</w:t>
      </w:r>
      <w:r>
        <w:rPr>
          <w:rFonts w:hint="eastAsia"/>
          <w:sz w:val="30"/>
          <w:szCs w:val="30"/>
        </w:rPr>
        <w:t>1</w:t>
      </w:r>
      <w:r>
        <w:rPr>
          <w:rFonts w:hint="eastAsia"/>
          <w:sz w:val="30"/>
          <w:szCs w:val="30"/>
        </w:rPr>
        <w:t>号店网店中销售“百万富翁”品牌的香肠制品，该香肠制品的生产商即为鑫波公司。宋海涛辩称，其仅为申根公司</w:t>
      </w:r>
      <w:r>
        <w:rPr>
          <w:rFonts w:hint="eastAsia"/>
          <w:sz w:val="30"/>
          <w:szCs w:val="30"/>
        </w:rPr>
        <w:t>30%</w:t>
      </w:r>
      <w:r>
        <w:rPr>
          <w:rFonts w:hint="eastAsia"/>
          <w:sz w:val="30"/>
          <w:szCs w:val="30"/>
        </w:rPr>
        <w:t>股权的股东，并不参与申根公司的经营决策，亦不知晓申根公司销售的香肠制品的来源，且不清楚申根公司从设立至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月（宋海涛于鑫波公司办理退工手续的日期）期间销售香肠制品的销售额。二审中，本院要求宋海涛提</w:t>
      </w:r>
      <w:r>
        <w:rPr>
          <w:rFonts w:hint="eastAsia"/>
          <w:sz w:val="30"/>
          <w:szCs w:val="30"/>
        </w:rPr>
        <w:t>供申根公司自</w:t>
      </w:r>
      <w:r>
        <w:rPr>
          <w:rFonts w:hint="eastAsia"/>
          <w:sz w:val="30"/>
          <w:szCs w:val="30"/>
        </w:rPr>
        <w:t>2012</w:t>
      </w:r>
      <w:r>
        <w:rPr>
          <w:rFonts w:hint="eastAsia"/>
          <w:sz w:val="30"/>
          <w:szCs w:val="30"/>
        </w:rPr>
        <w:t>年至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月的资产负债表，以了解申根公司具体开展何类业务经营，以及统计申根公司销售香肠类制品的数额，宋海涛拒绝提供。</w:t>
      </w:r>
    </w:p>
    <w:p w:rsidR="00000000" w:rsidRDefault="00B92622">
      <w:pPr>
        <w:spacing w:line="500" w:lineRule="atLeast"/>
        <w:ind w:firstLine="600"/>
        <w:divId w:val="850679997"/>
        <w:rPr>
          <w:rFonts w:hint="eastAsia"/>
          <w:sz w:val="30"/>
          <w:szCs w:val="30"/>
        </w:rPr>
      </w:pPr>
      <w:r>
        <w:rPr>
          <w:rFonts w:hint="eastAsia"/>
          <w:sz w:val="30"/>
          <w:szCs w:val="30"/>
        </w:rPr>
        <w:t>二审中，鑫波公司统计了截至目前，申根公司在</w:t>
      </w:r>
      <w:r>
        <w:rPr>
          <w:rFonts w:hint="eastAsia"/>
          <w:sz w:val="30"/>
          <w:szCs w:val="30"/>
        </w:rPr>
        <w:t>1</w:t>
      </w:r>
      <w:r>
        <w:rPr>
          <w:rFonts w:hint="eastAsia"/>
          <w:sz w:val="30"/>
          <w:szCs w:val="30"/>
        </w:rPr>
        <w:t>号店网店中已销售的“百万富翁”品牌香肠制品的销售额为</w:t>
      </w:r>
      <w:r>
        <w:rPr>
          <w:rFonts w:hint="eastAsia"/>
          <w:sz w:val="30"/>
          <w:szCs w:val="30"/>
        </w:rPr>
        <w:t>264</w:t>
      </w:r>
      <w:r>
        <w:rPr>
          <w:rFonts w:hint="eastAsia"/>
          <w:sz w:val="30"/>
          <w:szCs w:val="30"/>
        </w:rPr>
        <w:t>，</w:t>
      </w:r>
      <w:r>
        <w:rPr>
          <w:rFonts w:hint="eastAsia"/>
          <w:sz w:val="30"/>
          <w:szCs w:val="30"/>
        </w:rPr>
        <w:t>813</w:t>
      </w:r>
      <w:r>
        <w:rPr>
          <w:rFonts w:hint="eastAsia"/>
          <w:sz w:val="30"/>
          <w:szCs w:val="30"/>
        </w:rPr>
        <w:t>元。鑫波公司认为，申根公司成立至今四年，期间，宋海涛于鑫波公司任职时间为两年半，现虽因网店中仅显示历史销售记录而无具体销售期间，无法与宋海涛的任职期间相对应比照，但宋海涛在鑫波公司担任总经理期间，具有利用鑫波公司的人力、物力的便利，故申根公司在网店中的销售获</w:t>
      </w:r>
      <w:r>
        <w:rPr>
          <w:rFonts w:hint="eastAsia"/>
          <w:sz w:val="30"/>
          <w:szCs w:val="30"/>
        </w:rPr>
        <w:t>利可以作为宋海涛赔偿鑫波公司的参考依据。宋海涛则认为，网页截图未经过公证，真实性无法确认；销售时间无法确定，无法证明申根公司获利与否；此外，如若申根公司存在过错，鑫波公司也应向申根公司主张，与宋海涛无关。</w:t>
      </w:r>
    </w:p>
    <w:p w:rsidR="00000000" w:rsidRDefault="00B92622">
      <w:pPr>
        <w:spacing w:line="500" w:lineRule="atLeast"/>
        <w:ind w:firstLine="600"/>
        <w:divId w:val="1590890625"/>
        <w:rPr>
          <w:rFonts w:hint="eastAsia"/>
          <w:sz w:val="30"/>
          <w:szCs w:val="30"/>
        </w:rPr>
      </w:pPr>
      <w:r>
        <w:rPr>
          <w:rFonts w:hint="eastAsia"/>
          <w:sz w:val="30"/>
          <w:szCs w:val="30"/>
        </w:rPr>
        <w:t>本院另查明：鑫波公司目前法定代表人为</w:t>
      </w:r>
      <w:r>
        <w:rPr>
          <w:rFonts w:hint="eastAsia"/>
          <w:sz w:val="30"/>
          <w:szCs w:val="30"/>
        </w:rPr>
        <w:t>MAREKANDRZEJKREJA</w:t>
      </w:r>
      <w:r>
        <w:rPr>
          <w:rFonts w:hint="eastAsia"/>
          <w:sz w:val="30"/>
          <w:szCs w:val="30"/>
        </w:rPr>
        <w:t>。</w:t>
      </w:r>
    </w:p>
    <w:p w:rsidR="00000000" w:rsidRDefault="00B92622">
      <w:pPr>
        <w:spacing w:line="500" w:lineRule="atLeast"/>
        <w:ind w:firstLine="600"/>
        <w:divId w:val="893390701"/>
        <w:rPr>
          <w:rFonts w:hint="eastAsia"/>
          <w:sz w:val="30"/>
          <w:szCs w:val="30"/>
        </w:rPr>
      </w:pPr>
      <w:r>
        <w:rPr>
          <w:rFonts w:hint="eastAsia"/>
          <w:sz w:val="30"/>
          <w:szCs w:val="30"/>
        </w:rPr>
        <w:t>本院认为，本案主要的争议焦点为：</w:t>
      </w:r>
      <w:r>
        <w:rPr>
          <w:rFonts w:hint="eastAsia"/>
          <w:sz w:val="30"/>
          <w:szCs w:val="30"/>
        </w:rPr>
        <w:t>1</w:t>
      </w:r>
      <w:r>
        <w:rPr>
          <w:rFonts w:hint="eastAsia"/>
          <w:sz w:val="30"/>
          <w:szCs w:val="30"/>
        </w:rPr>
        <w:t>、宋海涛作为鑫波公司原高管是否因违反我国《公司法》及公司章程中有关高管忠实、勤勉义务的规定而获利或给公司造成损失，从而应当承担相应的赔偿责任。</w:t>
      </w:r>
      <w:r>
        <w:rPr>
          <w:rFonts w:hint="eastAsia"/>
          <w:sz w:val="30"/>
          <w:szCs w:val="30"/>
        </w:rPr>
        <w:t>2</w:t>
      </w:r>
      <w:r>
        <w:rPr>
          <w:rFonts w:hint="eastAsia"/>
          <w:sz w:val="30"/>
          <w:szCs w:val="30"/>
        </w:rPr>
        <w:t>、鑫波公司主张的赔偿金额是否具有相应依据。</w:t>
      </w:r>
    </w:p>
    <w:p w:rsidR="00000000" w:rsidRDefault="00B92622">
      <w:pPr>
        <w:spacing w:line="500" w:lineRule="atLeast"/>
        <w:ind w:firstLine="600"/>
        <w:divId w:val="1311246601"/>
        <w:rPr>
          <w:rFonts w:hint="eastAsia"/>
          <w:sz w:val="30"/>
          <w:szCs w:val="30"/>
        </w:rPr>
      </w:pPr>
      <w:r>
        <w:rPr>
          <w:rFonts w:hint="eastAsia"/>
          <w:sz w:val="30"/>
          <w:szCs w:val="30"/>
        </w:rPr>
        <w:t>就焦点</w:t>
      </w:r>
      <w:r>
        <w:rPr>
          <w:rFonts w:hint="eastAsia"/>
          <w:sz w:val="30"/>
          <w:szCs w:val="30"/>
        </w:rPr>
        <w:t>1</w:t>
      </w:r>
      <w:r>
        <w:rPr>
          <w:rFonts w:hint="eastAsia"/>
          <w:sz w:val="30"/>
          <w:szCs w:val="30"/>
        </w:rPr>
        <w:t>，</w:t>
      </w:r>
      <w:r>
        <w:rPr>
          <w:rFonts w:hint="eastAsia"/>
          <w:sz w:val="30"/>
          <w:szCs w:val="30"/>
        </w:rPr>
        <w:t>本院认为，我国《公司法》明文规定：董事、监事、高级管理人员应当遵守法律、行政法规和公司章程，对公司负有忠实义务和勤勉义务。如若利用职务便利为自己或者他人谋取属于公司的商业机会，自营或者为他人经营与所任职公司同类业务的，违规所得的收入归公司所有。给公司造成损失的，应当承担赔偿责任。本案中，宋海涛受聘担任鑫波公司总经理，全权负责加工、销售香肠肉制品等公司业务。然而其在任职期间，另行与其父亲宋成根及案外人樊海波共同设立了申根公司。申根公司的经营范围包括销售香肠、火腿等肉制品，且实际在</w:t>
      </w:r>
      <w:r>
        <w:rPr>
          <w:rFonts w:hint="eastAsia"/>
          <w:sz w:val="30"/>
          <w:szCs w:val="30"/>
        </w:rPr>
        <w:t>1</w:t>
      </w:r>
      <w:r>
        <w:rPr>
          <w:rFonts w:hint="eastAsia"/>
          <w:sz w:val="30"/>
          <w:szCs w:val="30"/>
        </w:rPr>
        <w:t>号店网店中大量销售了鑫波公司</w:t>
      </w:r>
      <w:r>
        <w:rPr>
          <w:rFonts w:hint="eastAsia"/>
          <w:sz w:val="30"/>
          <w:szCs w:val="30"/>
        </w:rPr>
        <w:t>生产的香肠类制品，存在获利。另需说明的是，宋海涛与其父亲宋成根合计持有申根公司</w:t>
      </w:r>
      <w:r>
        <w:rPr>
          <w:rFonts w:hint="eastAsia"/>
          <w:sz w:val="30"/>
          <w:szCs w:val="30"/>
        </w:rPr>
        <w:t>80%</w:t>
      </w:r>
      <w:r>
        <w:rPr>
          <w:rFonts w:hint="eastAsia"/>
          <w:sz w:val="30"/>
          <w:szCs w:val="30"/>
        </w:rPr>
        <w:t>的股权，故宋海涛称其并不参与申根公司的经营决策，亦从未获利，有悖常理。申根公司另一股东樊海波同时是漫趣公司的法定代表人，漫趣公司曾经在宋海涛担任鑫波公司总经理期间受托为鑫波公司代为申请香肠品牌的商标注册申请，但漫趣公司最终将该品牌据为己有，宋海涛亦未对此提出异议或采取相应措施。基于此，本院结合一般商事规律、普通大众认知及公序良俗，推定宋海涛利用职务便利为自己及申根公司谋取了本属于鑫波公司的商业机会，并为申根公司经营了与鑫波公</w:t>
      </w:r>
      <w:r>
        <w:rPr>
          <w:rFonts w:hint="eastAsia"/>
          <w:sz w:val="30"/>
          <w:szCs w:val="30"/>
        </w:rPr>
        <w:t>司同类的业务，违反了我国《公司法》中高管的忠实、勤勉义务，损害了鑫波公司的利益，并使自身获利，故而应当承担相应法律责任。</w:t>
      </w:r>
    </w:p>
    <w:p w:rsidR="00000000" w:rsidRDefault="00B92622">
      <w:pPr>
        <w:spacing w:line="500" w:lineRule="atLeast"/>
        <w:ind w:firstLine="600"/>
        <w:divId w:val="812983271"/>
        <w:rPr>
          <w:rFonts w:hint="eastAsia"/>
          <w:sz w:val="30"/>
          <w:szCs w:val="30"/>
        </w:rPr>
      </w:pPr>
      <w:r>
        <w:rPr>
          <w:rFonts w:hint="eastAsia"/>
          <w:sz w:val="30"/>
          <w:szCs w:val="30"/>
        </w:rPr>
        <w:t>就焦点</w:t>
      </w:r>
      <w:r>
        <w:rPr>
          <w:rFonts w:hint="eastAsia"/>
          <w:sz w:val="30"/>
          <w:szCs w:val="30"/>
        </w:rPr>
        <w:t>2</w:t>
      </w:r>
      <w:r>
        <w:rPr>
          <w:rFonts w:hint="eastAsia"/>
          <w:sz w:val="30"/>
          <w:szCs w:val="30"/>
        </w:rPr>
        <w:t>，本院认为，虽然鑫波公司对其主张的宋海涛在申根公司取得</w:t>
      </w:r>
      <w:r>
        <w:rPr>
          <w:rFonts w:hint="eastAsia"/>
          <w:sz w:val="30"/>
          <w:szCs w:val="30"/>
        </w:rPr>
        <w:t>20</w:t>
      </w:r>
      <w:r>
        <w:rPr>
          <w:rFonts w:hint="eastAsia"/>
          <w:sz w:val="30"/>
          <w:szCs w:val="30"/>
        </w:rPr>
        <w:t>万元收入一节缺乏明确的证据印证，但并不意味着宋海涛即可免除赔偿责任。首先，在宋海涛本人拒绝提供其在申根公司的收入证明的情况下，鑫波公司确无法通过合理途径进行取证；其次，二审中，经本院要求，宋海涛仍拒绝提供申根公司的资产负债表及其销售香肠类制品的统计数据，导致本院无从核实申根公司的具体经营项目、销售盈亏状况以及职员工资收入等</w:t>
      </w:r>
      <w:r>
        <w:rPr>
          <w:rFonts w:hint="eastAsia"/>
          <w:sz w:val="30"/>
          <w:szCs w:val="30"/>
        </w:rPr>
        <w:t>情况；再次，宋海涛亦未提供证据证实申根公司于网店中销售的香肠类制品系通过正常的商业途径从鑫波公司处取得，并有权进行转售。最后，宋海涛对于鑫波公司提供的有关申根公司</w:t>
      </w:r>
      <w:r>
        <w:rPr>
          <w:rFonts w:hint="eastAsia"/>
          <w:sz w:val="30"/>
          <w:szCs w:val="30"/>
        </w:rPr>
        <w:t>20</w:t>
      </w:r>
      <w:r>
        <w:rPr>
          <w:rFonts w:hint="eastAsia"/>
          <w:sz w:val="30"/>
          <w:szCs w:val="30"/>
        </w:rPr>
        <w:t>余万元的网店销售记录，仅以截图未经公证、真实性无法确认、时间不明等为由粗略质证，而未提供其自行统计的销售记录、销售成本、盈利数据等加以反证，应承担不利后果。基于上述分析，本院结合查明的事实及现有证据，并参考香肠类制品的一般盈利情况以及宋海涛在申根公司</w:t>
      </w:r>
      <w:r>
        <w:rPr>
          <w:rFonts w:hint="eastAsia"/>
          <w:sz w:val="30"/>
          <w:szCs w:val="30"/>
        </w:rPr>
        <w:t>30%</w:t>
      </w:r>
      <w:r>
        <w:rPr>
          <w:rFonts w:hint="eastAsia"/>
          <w:sz w:val="30"/>
          <w:szCs w:val="30"/>
        </w:rPr>
        <w:t>的持股比例，酌情判令宋海涛赔偿鑫波公司</w:t>
      </w:r>
      <w:r>
        <w:rPr>
          <w:rFonts w:hint="eastAsia"/>
          <w:sz w:val="30"/>
          <w:szCs w:val="30"/>
        </w:rPr>
        <w:t>80</w:t>
      </w:r>
      <w:r>
        <w:rPr>
          <w:rFonts w:hint="eastAsia"/>
          <w:sz w:val="30"/>
          <w:szCs w:val="30"/>
        </w:rPr>
        <w:t>，</w:t>
      </w:r>
      <w:r>
        <w:rPr>
          <w:rFonts w:hint="eastAsia"/>
          <w:sz w:val="30"/>
          <w:szCs w:val="30"/>
        </w:rPr>
        <w:t>000</w:t>
      </w:r>
      <w:r>
        <w:rPr>
          <w:rFonts w:hint="eastAsia"/>
          <w:sz w:val="30"/>
          <w:szCs w:val="30"/>
        </w:rPr>
        <w:t>元。原审法院作出驳回鑫波公司全部诉请的判</w:t>
      </w:r>
      <w:r>
        <w:rPr>
          <w:rFonts w:hint="eastAsia"/>
          <w:sz w:val="30"/>
          <w:szCs w:val="30"/>
        </w:rPr>
        <w:t>决有所不当，本院予以改判。</w:t>
      </w:r>
    </w:p>
    <w:p w:rsidR="00000000" w:rsidRDefault="00B92622">
      <w:pPr>
        <w:spacing w:line="500" w:lineRule="atLeast"/>
        <w:ind w:firstLine="600"/>
        <w:divId w:val="1740594371"/>
        <w:rPr>
          <w:rFonts w:hint="eastAsia"/>
          <w:sz w:val="30"/>
          <w:szCs w:val="30"/>
        </w:rPr>
      </w:pPr>
      <w:r>
        <w:rPr>
          <w:rFonts w:hint="eastAsia"/>
          <w:sz w:val="30"/>
          <w:szCs w:val="30"/>
        </w:rPr>
        <w:t>据此，本院依照《中华人民共和国公司法》第一百四十七条第一款，第一百四十八条第一款第（五）项、第二款，第一百四十九条，《中华人民共和国民事诉讼法》第一百七十条第一款第（二）项之规定，判决如下：</w:t>
      </w:r>
    </w:p>
    <w:p w:rsidR="00000000" w:rsidRDefault="00B92622">
      <w:pPr>
        <w:spacing w:line="500" w:lineRule="atLeast"/>
        <w:ind w:firstLine="600"/>
        <w:divId w:val="1534465618"/>
        <w:rPr>
          <w:rFonts w:hint="eastAsia"/>
          <w:sz w:val="30"/>
          <w:szCs w:val="30"/>
        </w:rPr>
      </w:pPr>
      <w:r>
        <w:rPr>
          <w:rFonts w:hint="eastAsia"/>
          <w:sz w:val="30"/>
          <w:szCs w:val="30"/>
        </w:rPr>
        <w:t>一、撤销上海市嘉定区人民法院（</w:t>
      </w:r>
      <w:r>
        <w:rPr>
          <w:rFonts w:hint="eastAsia"/>
          <w:sz w:val="30"/>
          <w:szCs w:val="30"/>
        </w:rPr>
        <w:t>2014</w:t>
      </w:r>
      <w:r>
        <w:rPr>
          <w:rFonts w:hint="eastAsia"/>
          <w:sz w:val="30"/>
          <w:szCs w:val="30"/>
        </w:rPr>
        <w:t>）嘉民二（商）初字第</w:t>
      </w:r>
      <w:r>
        <w:rPr>
          <w:rFonts w:hint="eastAsia"/>
          <w:sz w:val="30"/>
          <w:szCs w:val="30"/>
        </w:rPr>
        <w:t>2450</w:t>
      </w:r>
      <w:r>
        <w:rPr>
          <w:rFonts w:hint="eastAsia"/>
          <w:sz w:val="30"/>
          <w:szCs w:val="30"/>
        </w:rPr>
        <w:t>号民事判决；</w:t>
      </w:r>
    </w:p>
    <w:p w:rsidR="00000000" w:rsidRDefault="00B92622">
      <w:pPr>
        <w:spacing w:line="500" w:lineRule="atLeast"/>
        <w:ind w:firstLine="600"/>
        <w:divId w:val="1594122817"/>
        <w:rPr>
          <w:rFonts w:hint="eastAsia"/>
          <w:sz w:val="30"/>
          <w:szCs w:val="30"/>
        </w:rPr>
      </w:pPr>
      <w:r>
        <w:rPr>
          <w:rFonts w:hint="eastAsia"/>
          <w:sz w:val="30"/>
          <w:szCs w:val="30"/>
        </w:rPr>
        <w:t>二、被上诉人宋海涛应于本判决生效之日起十日内赔偿上诉人鑫波食品（上海）有限公司人民币</w:t>
      </w:r>
      <w:r>
        <w:rPr>
          <w:rFonts w:hint="eastAsia"/>
          <w:sz w:val="30"/>
          <w:szCs w:val="30"/>
        </w:rPr>
        <w:t>80</w:t>
      </w:r>
      <w:r>
        <w:rPr>
          <w:rFonts w:hint="eastAsia"/>
          <w:sz w:val="30"/>
          <w:szCs w:val="30"/>
        </w:rPr>
        <w:t>，</w:t>
      </w:r>
      <w:r>
        <w:rPr>
          <w:rFonts w:hint="eastAsia"/>
          <w:sz w:val="30"/>
          <w:szCs w:val="30"/>
        </w:rPr>
        <w:t>000</w:t>
      </w:r>
      <w:r>
        <w:rPr>
          <w:rFonts w:hint="eastAsia"/>
          <w:sz w:val="30"/>
          <w:szCs w:val="30"/>
        </w:rPr>
        <w:t>元；</w:t>
      </w:r>
    </w:p>
    <w:p w:rsidR="00000000" w:rsidRDefault="00B92622">
      <w:pPr>
        <w:spacing w:line="500" w:lineRule="atLeast"/>
        <w:ind w:firstLine="600"/>
        <w:divId w:val="2125690957"/>
        <w:rPr>
          <w:rFonts w:hint="eastAsia"/>
          <w:sz w:val="30"/>
          <w:szCs w:val="30"/>
        </w:rPr>
      </w:pPr>
      <w:r>
        <w:rPr>
          <w:rFonts w:hint="eastAsia"/>
          <w:sz w:val="30"/>
          <w:szCs w:val="30"/>
        </w:rPr>
        <w:t>三、对上诉人鑫波食品（上海）有限公司的其余原审诉讼请求不予支持。</w:t>
      </w:r>
    </w:p>
    <w:p w:rsidR="00000000" w:rsidRDefault="00B92622">
      <w:pPr>
        <w:spacing w:line="500" w:lineRule="atLeast"/>
        <w:ind w:firstLine="600"/>
        <w:divId w:val="126630722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B92622">
      <w:pPr>
        <w:spacing w:line="500" w:lineRule="atLeast"/>
        <w:ind w:firstLine="600"/>
        <w:divId w:val="1877159184"/>
        <w:rPr>
          <w:rFonts w:hint="eastAsia"/>
          <w:sz w:val="30"/>
          <w:szCs w:val="30"/>
        </w:rPr>
      </w:pPr>
      <w:r>
        <w:rPr>
          <w:rFonts w:hint="eastAsia"/>
          <w:sz w:val="30"/>
          <w:szCs w:val="30"/>
        </w:rPr>
        <w:t>一审案件受理费减半收取为人民币</w:t>
      </w:r>
      <w:r>
        <w:rPr>
          <w:rFonts w:hint="eastAsia"/>
          <w:sz w:val="30"/>
          <w:szCs w:val="30"/>
        </w:rPr>
        <w:t>2</w:t>
      </w:r>
      <w:r>
        <w:rPr>
          <w:rFonts w:hint="eastAsia"/>
          <w:sz w:val="30"/>
          <w:szCs w:val="30"/>
        </w:rPr>
        <w:t>，</w:t>
      </w:r>
      <w:r>
        <w:rPr>
          <w:rFonts w:hint="eastAsia"/>
          <w:sz w:val="30"/>
          <w:szCs w:val="30"/>
        </w:rPr>
        <w:t>150</w:t>
      </w:r>
      <w:r>
        <w:rPr>
          <w:rFonts w:hint="eastAsia"/>
          <w:sz w:val="30"/>
          <w:szCs w:val="30"/>
        </w:rPr>
        <w:t>元，由上诉人鑫波食品（上海）有限公司负担人民币</w:t>
      </w:r>
      <w:r>
        <w:rPr>
          <w:rFonts w:hint="eastAsia"/>
          <w:sz w:val="30"/>
          <w:szCs w:val="30"/>
        </w:rPr>
        <w:t>1</w:t>
      </w:r>
      <w:r>
        <w:rPr>
          <w:rFonts w:hint="eastAsia"/>
          <w:sz w:val="30"/>
          <w:szCs w:val="30"/>
        </w:rPr>
        <w:t>，</w:t>
      </w:r>
      <w:r>
        <w:rPr>
          <w:rFonts w:hint="eastAsia"/>
          <w:sz w:val="30"/>
          <w:szCs w:val="30"/>
        </w:rPr>
        <w:t>290</w:t>
      </w:r>
      <w:r>
        <w:rPr>
          <w:rFonts w:hint="eastAsia"/>
          <w:sz w:val="30"/>
          <w:szCs w:val="30"/>
        </w:rPr>
        <w:t>元、被上诉人宋海涛负担人民币</w:t>
      </w:r>
      <w:r>
        <w:rPr>
          <w:rFonts w:hint="eastAsia"/>
          <w:sz w:val="30"/>
          <w:szCs w:val="30"/>
        </w:rPr>
        <w:t>860</w:t>
      </w:r>
      <w:r>
        <w:rPr>
          <w:rFonts w:hint="eastAsia"/>
          <w:sz w:val="30"/>
          <w:szCs w:val="30"/>
        </w:rPr>
        <w:t>元；二审案件受理费人民币</w:t>
      </w:r>
      <w:r>
        <w:rPr>
          <w:rFonts w:hint="eastAsia"/>
          <w:sz w:val="30"/>
          <w:szCs w:val="30"/>
        </w:rPr>
        <w:t>4</w:t>
      </w:r>
      <w:r>
        <w:rPr>
          <w:rFonts w:hint="eastAsia"/>
          <w:sz w:val="30"/>
          <w:szCs w:val="30"/>
        </w:rPr>
        <w:t>，</w:t>
      </w:r>
      <w:r>
        <w:rPr>
          <w:rFonts w:hint="eastAsia"/>
          <w:sz w:val="30"/>
          <w:szCs w:val="30"/>
        </w:rPr>
        <w:t>300</w:t>
      </w:r>
      <w:r>
        <w:rPr>
          <w:rFonts w:hint="eastAsia"/>
          <w:sz w:val="30"/>
          <w:szCs w:val="30"/>
        </w:rPr>
        <w:t>元，由上诉人鑫波食品（上海）有限公司负担人民币</w:t>
      </w:r>
      <w:r>
        <w:rPr>
          <w:rFonts w:hint="eastAsia"/>
          <w:sz w:val="30"/>
          <w:szCs w:val="30"/>
        </w:rPr>
        <w:t>2</w:t>
      </w:r>
      <w:r>
        <w:rPr>
          <w:rFonts w:hint="eastAsia"/>
          <w:sz w:val="30"/>
          <w:szCs w:val="30"/>
        </w:rPr>
        <w:t>，</w:t>
      </w:r>
      <w:r>
        <w:rPr>
          <w:rFonts w:hint="eastAsia"/>
          <w:sz w:val="30"/>
          <w:szCs w:val="30"/>
        </w:rPr>
        <w:t>580</w:t>
      </w:r>
      <w:r>
        <w:rPr>
          <w:rFonts w:hint="eastAsia"/>
          <w:sz w:val="30"/>
          <w:szCs w:val="30"/>
        </w:rPr>
        <w:t>元、被上诉人宋海涛负担人民币</w:t>
      </w:r>
      <w:r>
        <w:rPr>
          <w:rFonts w:hint="eastAsia"/>
          <w:sz w:val="30"/>
          <w:szCs w:val="30"/>
        </w:rPr>
        <w:t>1</w:t>
      </w:r>
      <w:r>
        <w:rPr>
          <w:rFonts w:hint="eastAsia"/>
          <w:sz w:val="30"/>
          <w:szCs w:val="30"/>
        </w:rPr>
        <w:t>，</w:t>
      </w:r>
      <w:r>
        <w:rPr>
          <w:rFonts w:hint="eastAsia"/>
          <w:sz w:val="30"/>
          <w:szCs w:val="30"/>
        </w:rPr>
        <w:t>720</w:t>
      </w:r>
      <w:r>
        <w:rPr>
          <w:rFonts w:hint="eastAsia"/>
          <w:sz w:val="30"/>
          <w:szCs w:val="30"/>
        </w:rPr>
        <w:t>元。</w:t>
      </w:r>
    </w:p>
    <w:p w:rsidR="00000000" w:rsidRDefault="00B92622">
      <w:pPr>
        <w:spacing w:line="500" w:lineRule="atLeast"/>
        <w:ind w:firstLine="600"/>
        <w:divId w:val="1266579191"/>
        <w:rPr>
          <w:rFonts w:hint="eastAsia"/>
          <w:sz w:val="30"/>
          <w:szCs w:val="30"/>
        </w:rPr>
      </w:pPr>
      <w:r>
        <w:rPr>
          <w:rFonts w:hint="eastAsia"/>
          <w:sz w:val="30"/>
          <w:szCs w:val="30"/>
        </w:rPr>
        <w:t>本判决为终审判决。</w:t>
      </w:r>
    </w:p>
    <w:p w:rsidR="00000000" w:rsidRDefault="00B92622">
      <w:pPr>
        <w:spacing w:line="500" w:lineRule="atLeast"/>
        <w:jc w:val="right"/>
        <w:divId w:val="517937050"/>
        <w:rPr>
          <w:rFonts w:hint="eastAsia"/>
          <w:sz w:val="30"/>
          <w:szCs w:val="30"/>
        </w:rPr>
      </w:pPr>
      <w:r>
        <w:rPr>
          <w:rFonts w:hint="eastAsia"/>
          <w:sz w:val="30"/>
          <w:szCs w:val="30"/>
        </w:rPr>
        <w:t>审判长　赵　炜</w:t>
      </w:r>
    </w:p>
    <w:p w:rsidR="00000000" w:rsidRDefault="00B92622">
      <w:pPr>
        <w:spacing w:line="500" w:lineRule="atLeast"/>
        <w:jc w:val="right"/>
        <w:divId w:val="2085491269"/>
        <w:rPr>
          <w:rFonts w:hint="eastAsia"/>
          <w:sz w:val="30"/>
          <w:szCs w:val="30"/>
        </w:rPr>
      </w:pPr>
      <w:r>
        <w:rPr>
          <w:rFonts w:hint="eastAsia"/>
          <w:sz w:val="30"/>
          <w:szCs w:val="30"/>
        </w:rPr>
        <w:t>审判员　肖光亮</w:t>
      </w:r>
    </w:p>
    <w:p w:rsidR="00000000" w:rsidRDefault="00B92622">
      <w:pPr>
        <w:spacing w:line="500" w:lineRule="atLeast"/>
        <w:jc w:val="right"/>
        <w:divId w:val="1729836180"/>
        <w:rPr>
          <w:rFonts w:hint="eastAsia"/>
          <w:sz w:val="30"/>
          <w:szCs w:val="30"/>
        </w:rPr>
      </w:pPr>
      <w:r>
        <w:rPr>
          <w:rFonts w:hint="eastAsia"/>
          <w:sz w:val="30"/>
          <w:szCs w:val="30"/>
        </w:rPr>
        <w:t>审判员　杨怡鸣</w:t>
      </w:r>
    </w:p>
    <w:p w:rsidR="00000000" w:rsidRDefault="00B92622">
      <w:pPr>
        <w:spacing w:line="500" w:lineRule="atLeast"/>
        <w:jc w:val="right"/>
        <w:divId w:val="545722064"/>
        <w:rPr>
          <w:rFonts w:hint="eastAsia"/>
          <w:sz w:val="30"/>
          <w:szCs w:val="30"/>
        </w:rPr>
      </w:pPr>
      <w:r>
        <w:rPr>
          <w:rFonts w:hint="eastAsia"/>
          <w:sz w:val="30"/>
          <w:szCs w:val="30"/>
        </w:rPr>
        <w:t>二〇一六年一月十二日</w:t>
      </w:r>
    </w:p>
    <w:p w:rsidR="00000000" w:rsidRDefault="00B92622">
      <w:pPr>
        <w:spacing w:line="500" w:lineRule="atLeast"/>
        <w:jc w:val="right"/>
        <w:divId w:val="1381319325"/>
        <w:rPr>
          <w:rFonts w:hint="eastAsia"/>
          <w:sz w:val="30"/>
          <w:szCs w:val="30"/>
        </w:rPr>
      </w:pPr>
      <w:r>
        <w:rPr>
          <w:rFonts w:hint="eastAsia"/>
          <w:sz w:val="30"/>
          <w:szCs w:val="30"/>
        </w:rPr>
        <w:t>书记员　王乐轶</w:t>
      </w:r>
    </w:p>
    <w:p w:rsidR="00000000" w:rsidRDefault="00B92622">
      <w:pPr>
        <w:spacing w:line="500" w:lineRule="atLeast"/>
        <w:ind w:firstLine="600"/>
        <w:divId w:val="446779413"/>
        <w:rPr>
          <w:rFonts w:hint="eastAsia"/>
          <w:sz w:val="30"/>
          <w:szCs w:val="30"/>
        </w:rPr>
      </w:pPr>
      <w:r>
        <w:rPr>
          <w:rFonts w:hint="eastAsia"/>
          <w:sz w:val="30"/>
          <w:szCs w:val="30"/>
        </w:rPr>
        <w:t>附：相关</w:t>
      </w:r>
      <w:r>
        <w:rPr>
          <w:rFonts w:hint="eastAsia"/>
          <w:sz w:val="30"/>
          <w:szCs w:val="30"/>
        </w:rPr>
        <w:t>法律条文</w:t>
      </w:r>
    </w:p>
    <w:p w:rsidR="00000000" w:rsidRDefault="00B92622">
      <w:pPr>
        <w:spacing w:line="500" w:lineRule="atLeast"/>
        <w:ind w:firstLine="600"/>
        <w:divId w:val="1742866754"/>
        <w:rPr>
          <w:rFonts w:hint="eastAsia"/>
          <w:sz w:val="30"/>
          <w:szCs w:val="30"/>
        </w:rPr>
      </w:pPr>
      <w:r>
        <w:rPr>
          <w:rFonts w:hint="eastAsia"/>
          <w:sz w:val="30"/>
          <w:szCs w:val="30"/>
        </w:rPr>
        <w:t>附：相关的法律条文</w:t>
      </w:r>
    </w:p>
    <w:p w:rsidR="00000000" w:rsidRDefault="00B92622">
      <w:pPr>
        <w:spacing w:line="500" w:lineRule="atLeast"/>
        <w:ind w:firstLine="600"/>
        <w:divId w:val="1161391757"/>
        <w:rPr>
          <w:rFonts w:hint="eastAsia"/>
          <w:sz w:val="30"/>
          <w:szCs w:val="30"/>
        </w:rPr>
      </w:pPr>
      <w:r>
        <w:rPr>
          <w:rFonts w:hint="eastAsia"/>
          <w:sz w:val="30"/>
          <w:szCs w:val="30"/>
        </w:rPr>
        <w:t>一、《中华人民共和国公司法》</w:t>
      </w:r>
    </w:p>
    <w:p w:rsidR="00000000" w:rsidRDefault="00B92622">
      <w:pPr>
        <w:spacing w:line="500" w:lineRule="atLeast"/>
        <w:ind w:firstLine="600"/>
        <w:divId w:val="970938373"/>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B92622">
      <w:pPr>
        <w:spacing w:line="500" w:lineRule="atLeast"/>
        <w:ind w:firstLine="600"/>
        <w:divId w:val="1550797593"/>
        <w:rPr>
          <w:rFonts w:hint="eastAsia"/>
          <w:sz w:val="30"/>
          <w:szCs w:val="30"/>
        </w:rPr>
      </w:pPr>
      <w:r>
        <w:rPr>
          <w:rFonts w:hint="eastAsia"/>
          <w:sz w:val="30"/>
          <w:szCs w:val="30"/>
        </w:rPr>
        <w:t>……</w:t>
      </w:r>
    </w:p>
    <w:p w:rsidR="00000000" w:rsidRDefault="00B92622">
      <w:pPr>
        <w:spacing w:line="500" w:lineRule="atLeast"/>
        <w:ind w:firstLine="600"/>
        <w:divId w:val="587736954"/>
        <w:rPr>
          <w:rFonts w:hint="eastAsia"/>
          <w:sz w:val="30"/>
          <w:szCs w:val="30"/>
        </w:rPr>
      </w:pPr>
      <w:r>
        <w:rPr>
          <w:rFonts w:hint="eastAsia"/>
          <w:sz w:val="30"/>
          <w:szCs w:val="30"/>
        </w:rPr>
        <w:t>第一百四十八条董事、高级管理人员不得有下列行为：</w:t>
      </w:r>
    </w:p>
    <w:p w:rsidR="00000000" w:rsidRDefault="00B92622">
      <w:pPr>
        <w:spacing w:line="500" w:lineRule="atLeast"/>
        <w:ind w:firstLine="600"/>
        <w:divId w:val="410156323"/>
        <w:rPr>
          <w:rFonts w:hint="eastAsia"/>
          <w:sz w:val="30"/>
          <w:szCs w:val="30"/>
        </w:rPr>
      </w:pPr>
      <w:r>
        <w:rPr>
          <w:rFonts w:hint="eastAsia"/>
          <w:sz w:val="30"/>
          <w:szCs w:val="30"/>
        </w:rPr>
        <w:t>……</w:t>
      </w:r>
    </w:p>
    <w:p w:rsidR="00000000" w:rsidRDefault="00B92622">
      <w:pPr>
        <w:spacing w:line="500" w:lineRule="atLeast"/>
        <w:ind w:firstLine="600"/>
        <w:divId w:val="1741639058"/>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B92622">
      <w:pPr>
        <w:spacing w:line="500" w:lineRule="atLeast"/>
        <w:ind w:firstLine="600"/>
        <w:divId w:val="68234764"/>
        <w:rPr>
          <w:rFonts w:hint="eastAsia"/>
          <w:sz w:val="30"/>
          <w:szCs w:val="30"/>
        </w:rPr>
      </w:pPr>
      <w:r>
        <w:rPr>
          <w:rFonts w:hint="eastAsia"/>
          <w:sz w:val="30"/>
          <w:szCs w:val="30"/>
        </w:rPr>
        <w:t>……</w:t>
      </w:r>
    </w:p>
    <w:p w:rsidR="00000000" w:rsidRDefault="00B92622">
      <w:pPr>
        <w:spacing w:line="500" w:lineRule="atLeast"/>
        <w:ind w:firstLine="600"/>
        <w:divId w:val="123432918"/>
        <w:rPr>
          <w:rFonts w:hint="eastAsia"/>
          <w:sz w:val="30"/>
          <w:szCs w:val="30"/>
        </w:rPr>
      </w:pPr>
      <w:r>
        <w:rPr>
          <w:rFonts w:hint="eastAsia"/>
          <w:sz w:val="30"/>
          <w:szCs w:val="30"/>
        </w:rPr>
        <w:t>董事、高级管理人员违反前款规定所得的收入应当归公司所有。</w:t>
      </w:r>
    </w:p>
    <w:p w:rsidR="00000000" w:rsidRDefault="00B92622">
      <w:pPr>
        <w:spacing w:line="500" w:lineRule="atLeast"/>
        <w:ind w:firstLine="600"/>
        <w:divId w:val="456683375"/>
        <w:rPr>
          <w:rFonts w:hint="eastAsia"/>
          <w:sz w:val="30"/>
          <w:szCs w:val="30"/>
        </w:rPr>
      </w:pPr>
      <w:r>
        <w:rPr>
          <w:rFonts w:hint="eastAsia"/>
          <w:sz w:val="30"/>
          <w:szCs w:val="30"/>
        </w:rPr>
        <w:t>第一百四十九条董事、监事、高级管理人员执行公司职务时违反法律、行政法规或者公司章程的规定，给公</w:t>
      </w:r>
      <w:r>
        <w:rPr>
          <w:rFonts w:hint="eastAsia"/>
          <w:sz w:val="30"/>
          <w:szCs w:val="30"/>
        </w:rPr>
        <w:t>司造成损失的，应当承担赔偿责任。</w:t>
      </w:r>
    </w:p>
    <w:p w:rsidR="00000000" w:rsidRDefault="00B92622">
      <w:pPr>
        <w:spacing w:line="500" w:lineRule="atLeast"/>
        <w:ind w:firstLine="600"/>
        <w:divId w:val="621497717"/>
        <w:rPr>
          <w:rFonts w:hint="eastAsia"/>
          <w:sz w:val="30"/>
          <w:szCs w:val="30"/>
        </w:rPr>
      </w:pPr>
      <w:r>
        <w:rPr>
          <w:rFonts w:hint="eastAsia"/>
          <w:sz w:val="30"/>
          <w:szCs w:val="30"/>
        </w:rPr>
        <w:t>二、《中华人民共和国民事诉讼法》</w:t>
      </w:r>
    </w:p>
    <w:p w:rsidR="00000000" w:rsidRDefault="00B92622">
      <w:pPr>
        <w:spacing w:line="500" w:lineRule="atLeast"/>
        <w:ind w:firstLine="600"/>
        <w:divId w:val="648944844"/>
        <w:rPr>
          <w:rFonts w:hint="eastAsia"/>
          <w:sz w:val="30"/>
          <w:szCs w:val="30"/>
        </w:rPr>
      </w:pPr>
      <w:r>
        <w:rPr>
          <w:rFonts w:hint="eastAsia"/>
          <w:sz w:val="30"/>
          <w:szCs w:val="30"/>
        </w:rPr>
        <w:t>第一百七十条第二审人民法院对上诉案件，经过审理，按照下列情形，分别处理：</w:t>
      </w:r>
    </w:p>
    <w:p w:rsidR="00000000" w:rsidRDefault="00B92622">
      <w:pPr>
        <w:spacing w:line="500" w:lineRule="atLeast"/>
        <w:ind w:firstLine="600"/>
        <w:divId w:val="1492066212"/>
        <w:rPr>
          <w:rFonts w:hint="eastAsia"/>
          <w:sz w:val="30"/>
          <w:szCs w:val="30"/>
        </w:rPr>
      </w:pPr>
      <w:r>
        <w:rPr>
          <w:rFonts w:hint="eastAsia"/>
          <w:sz w:val="30"/>
          <w:szCs w:val="30"/>
        </w:rPr>
        <w:t>（二）原判决、裁定认定事实错误或者适用法律错误的，以判决、裁定方式依法改判、撤销或者变更；</w:t>
      </w:r>
    </w:p>
    <w:p w:rsidR="00000000" w:rsidRDefault="00B92622">
      <w:pPr>
        <w:spacing w:line="500" w:lineRule="atLeast"/>
        <w:ind w:firstLine="600"/>
        <w:divId w:val="1524516795"/>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622" w:rsidRDefault="00B92622" w:rsidP="00B92622">
      <w:r>
        <w:separator/>
      </w:r>
    </w:p>
  </w:endnote>
  <w:endnote w:type="continuationSeparator" w:id="0">
    <w:p w:rsidR="00B92622" w:rsidRDefault="00B92622" w:rsidP="00B9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622" w:rsidRDefault="00B92622" w:rsidP="00B92622">
      <w:r>
        <w:separator/>
      </w:r>
    </w:p>
  </w:footnote>
  <w:footnote w:type="continuationSeparator" w:id="0">
    <w:p w:rsidR="00B92622" w:rsidRDefault="00B92622" w:rsidP="00B92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2622"/>
    <w:rsid w:val="00B9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926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622"/>
    <w:rPr>
      <w:rFonts w:ascii="宋体" w:eastAsia="宋体" w:hAnsi="宋体" w:cs="宋体"/>
      <w:sz w:val="18"/>
      <w:szCs w:val="18"/>
    </w:rPr>
  </w:style>
  <w:style w:type="paragraph" w:styleId="a5">
    <w:name w:val="footer"/>
    <w:basedOn w:val="a"/>
    <w:link w:val="a6"/>
    <w:uiPriority w:val="99"/>
    <w:unhideWhenUsed/>
    <w:rsid w:val="00B92622"/>
    <w:pPr>
      <w:tabs>
        <w:tab w:val="center" w:pos="4153"/>
        <w:tab w:val="right" w:pos="8306"/>
      </w:tabs>
      <w:snapToGrid w:val="0"/>
    </w:pPr>
    <w:rPr>
      <w:sz w:val="18"/>
      <w:szCs w:val="18"/>
    </w:rPr>
  </w:style>
  <w:style w:type="character" w:customStyle="1" w:styleId="a6">
    <w:name w:val="页脚 字符"/>
    <w:basedOn w:val="a0"/>
    <w:link w:val="a5"/>
    <w:uiPriority w:val="99"/>
    <w:rsid w:val="00B9262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90">
      <w:marLeft w:val="0"/>
      <w:marRight w:val="0"/>
      <w:marTop w:val="10"/>
      <w:marBottom w:val="10"/>
      <w:divBdr>
        <w:top w:val="none" w:sz="0" w:space="0" w:color="auto"/>
        <w:left w:val="none" w:sz="0" w:space="0" w:color="auto"/>
        <w:bottom w:val="none" w:sz="0" w:space="0" w:color="auto"/>
        <w:right w:val="none" w:sz="0" w:space="0" w:color="auto"/>
      </w:divBdr>
    </w:div>
    <w:div w:id="68234764">
      <w:marLeft w:val="0"/>
      <w:marRight w:val="0"/>
      <w:marTop w:val="10"/>
      <w:marBottom w:val="10"/>
      <w:divBdr>
        <w:top w:val="none" w:sz="0" w:space="0" w:color="auto"/>
        <w:left w:val="none" w:sz="0" w:space="0" w:color="auto"/>
        <w:bottom w:val="none" w:sz="0" w:space="0" w:color="auto"/>
        <w:right w:val="none" w:sz="0" w:space="0" w:color="auto"/>
      </w:divBdr>
    </w:div>
    <w:div w:id="123432918">
      <w:marLeft w:val="0"/>
      <w:marRight w:val="0"/>
      <w:marTop w:val="10"/>
      <w:marBottom w:val="10"/>
      <w:divBdr>
        <w:top w:val="none" w:sz="0" w:space="0" w:color="auto"/>
        <w:left w:val="none" w:sz="0" w:space="0" w:color="auto"/>
        <w:bottom w:val="none" w:sz="0" w:space="0" w:color="auto"/>
        <w:right w:val="none" w:sz="0" w:space="0" w:color="auto"/>
      </w:divBdr>
    </w:div>
    <w:div w:id="186219648">
      <w:marLeft w:val="0"/>
      <w:marRight w:val="0"/>
      <w:marTop w:val="10"/>
      <w:marBottom w:val="10"/>
      <w:divBdr>
        <w:top w:val="none" w:sz="0" w:space="0" w:color="auto"/>
        <w:left w:val="none" w:sz="0" w:space="0" w:color="auto"/>
        <w:bottom w:val="none" w:sz="0" w:space="0" w:color="auto"/>
        <w:right w:val="none" w:sz="0" w:space="0" w:color="auto"/>
      </w:divBdr>
    </w:div>
    <w:div w:id="410156323">
      <w:marLeft w:val="0"/>
      <w:marRight w:val="0"/>
      <w:marTop w:val="10"/>
      <w:marBottom w:val="10"/>
      <w:divBdr>
        <w:top w:val="none" w:sz="0" w:space="0" w:color="auto"/>
        <w:left w:val="none" w:sz="0" w:space="0" w:color="auto"/>
        <w:bottom w:val="none" w:sz="0" w:space="0" w:color="auto"/>
        <w:right w:val="none" w:sz="0" w:space="0" w:color="auto"/>
      </w:divBdr>
    </w:div>
    <w:div w:id="446779413">
      <w:marLeft w:val="0"/>
      <w:marRight w:val="0"/>
      <w:marTop w:val="10"/>
      <w:marBottom w:val="10"/>
      <w:divBdr>
        <w:top w:val="none" w:sz="0" w:space="0" w:color="auto"/>
        <w:left w:val="none" w:sz="0" w:space="0" w:color="auto"/>
        <w:bottom w:val="none" w:sz="0" w:space="0" w:color="auto"/>
        <w:right w:val="none" w:sz="0" w:space="0" w:color="auto"/>
      </w:divBdr>
    </w:div>
    <w:div w:id="454326708">
      <w:marLeft w:val="0"/>
      <w:marRight w:val="0"/>
      <w:marTop w:val="10"/>
      <w:marBottom w:val="10"/>
      <w:divBdr>
        <w:top w:val="none" w:sz="0" w:space="0" w:color="auto"/>
        <w:left w:val="none" w:sz="0" w:space="0" w:color="auto"/>
        <w:bottom w:val="none" w:sz="0" w:space="0" w:color="auto"/>
        <w:right w:val="none" w:sz="0" w:space="0" w:color="auto"/>
      </w:divBdr>
    </w:div>
    <w:div w:id="456683375">
      <w:marLeft w:val="0"/>
      <w:marRight w:val="0"/>
      <w:marTop w:val="10"/>
      <w:marBottom w:val="10"/>
      <w:divBdr>
        <w:top w:val="none" w:sz="0" w:space="0" w:color="auto"/>
        <w:left w:val="none" w:sz="0" w:space="0" w:color="auto"/>
        <w:bottom w:val="none" w:sz="0" w:space="0" w:color="auto"/>
        <w:right w:val="none" w:sz="0" w:space="0" w:color="auto"/>
      </w:divBdr>
    </w:div>
    <w:div w:id="517937050">
      <w:marLeft w:val="0"/>
      <w:marRight w:val="720"/>
      <w:marTop w:val="10"/>
      <w:marBottom w:val="10"/>
      <w:divBdr>
        <w:top w:val="none" w:sz="0" w:space="0" w:color="auto"/>
        <w:left w:val="none" w:sz="0" w:space="0" w:color="auto"/>
        <w:bottom w:val="none" w:sz="0" w:space="0" w:color="auto"/>
        <w:right w:val="none" w:sz="0" w:space="0" w:color="auto"/>
      </w:divBdr>
    </w:div>
    <w:div w:id="545722064">
      <w:marLeft w:val="0"/>
      <w:marRight w:val="720"/>
      <w:marTop w:val="10"/>
      <w:marBottom w:val="10"/>
      <w:divBdr>
        <w:top w:val="none" w:sz="0" w:space="0" w:color="auto"/>
        <w:left w:val="none" w:sz="0" w:space="0" w:color="auto"/>
        <w:bottom w:val="none" w:sz="0" w:space="0" w:color="auto"/>
        <w:right w:val="none" w:sz="0" w:space="0" w:color="auto"/>
      </w:divBdr>
    </w:div>
    <w:div w:id="572280992">
      <w:marLeft w:val="0"/>
      <w:marRight w:val="0"/>
      <w:marTop w:val="10"/>
      <w:marBottom w:val="10"/>
      <w:divBdr>
        <w:top w:val="none" w:sz="0" w:space="0" w:color="auto"/>
        <w:left w:val="none" w:sz="0" w:space="0" w:color="auto"/>
        <w:bottom w:val="none" w:sz="0" w:space="0" w:color="auto"/>
        <w:right w:val="none" w:sz="0" w:space="0" w:color="auto"/>
      </w:divBdr>
    </w:div>
    <w:div w:id="587736954">
      <w:marLeft w:val="0"/>
      <w:marRight w:val="0"/>
      <w:marTop w:val="10"/>
      <w:marBottom w:val="10"/>
      <w:divBdr>
        <w:top w:val="none" w:sz="0" w:space="0" w:color="auto"/>
        <w:left w:val="none" w:sz="0" w:space="0" w:color="auto"/>
        <w:bottom w:val="none" w:sz="0" w:space="0" w:color="auto"/>
        <w:right w:val="none" w:sz="0" w:space="0" w:color="auto"/>
      </w:divBdr>
    </w:div>
    <w:div w:id="621497717">
      <w:marLeft w:val="0"/>
      <w:marRight w:val="0"/>
      <w:marTop w:val="10"/>
      <w:marBottom w:val="10"/>
      <w:divBdr>
        <w:top w:val="none" w:sz="0" w:space="0" w:color="auto"/>
        <w:left w:val="none" w:sz="0" w:space="0" w:color="auto"/>
        <w:bottom w:val="none" w:sz="0" w:space="0" w:color="auto"/>
        <w:right w:val="none" w:sz="0" w:space="0" w:color="auto"/>
      </w:divBdr>
    </w:div>
    <w:div w:id="648944844">
      <w:marLeft w:val="0"/>
      <w:marRight w:val="0"/>
      <w:marTop w:val="10"/>
      <w:marBottom w:val="10"/>
      <w:divBdr>
        <w:top w:val="none" w:sz="0" w:space="0" w:color="auto"/>
        <w:left w:val="none" w:sz="0" w:space="0" w:color="auto"/>
        <w:bottom w:val="none" w:sz="0" w:space="0" w:color="auto"/>
        <w:right w:val="none" w:sz="0" w:space="0" w:color="auto"/>
      </w:divBdr>
    </w:div>
    <w:div w:id="733282686">
      <w:marLeft w:val="0"/>
      <w:marRight w:val="0"/>
      <w:marTop w:val="10"/>
      <w:marBottom w:val="10"/>
      <w:divBdr>
        <w:top w:val="none" w:sz="0" w:space="0" w:color="auto"/>
        <w:left w:val="none" w:sz="0" w:space="0" w:color="auto"/>
        <w:bottom w:val="none" w:sz="0" w:space="0" w:color="auto"/>
        <w:right w:val="none" w:sz="0" w:space="0" w:color="auto"/>
      </w:divBdr>
    </w:div>
    <w:div w:id="747847506">
      <w:marLeft w:val="0"/>
      <w:marRight w:val="0"/>
      <w:marTop w:val="10"/>
      <w:marBottom w:val="10"/>
      <w:divBdr>
        <w:top w:val="none" w:sz="0" w:space="0" w:color="auto"/>
        <w:left w:val="none" w:sz="0" w:space="0" w:color="auto"/>
        <w:bottom w:val="none" w:sz="0" w:space="0" w:color="auto"/>
        <w:right w:val="none" w:sz="0" w:space="0" w:color="auto"/>
      </w:divBdr>
    </w:div>
    <w:div w:id="812983271">
      <w:marLeft w:val="0"/>
      <w:marRight w:val="0"/>
      <w:marTop w:val="10"/>
      <w:marBottom w:val="10"/>
      <w:divBdr>
        <w:top w:val="none" w:sz="0" w:space="0" w:color="auto"/>
        <w:left w:val="none" w:sz="0" w:space="0" w:color="auto"/>
        <w:bottom w:val="none" w:sz="0" w:space="0" w:color="auto"/>
        <w:right w:val="none" w:sz="0" w:space="0" w:color="auto"/>
      </w:divBdr>
    </w:div>
    <w:div w:id="825704606">
      <w:marLeft w:val="0"/>
      <w:marRight w:val="0"/>
      <w:marTop w:val="10"/>
      <w:marBottom w:val="10"/>
      <w:divBdr>
        <w:top w:val="none" w:sz="0" w:space="0" w:color="auto"/>
        <w:left w:val="none" w:sz="0" w:space="0" w:color="auto"/>
        <w:bottom w:val="none" w:sz="0" w:space="0" w:color="auto"/>
        <w:right w:val="none" w:sz="0" w:space="0" w:color="auto"/>
      </w:divBdr>
    </w:div>
    <w:div w:id="829831652">
      <w:marLeft w:val="0"/>
      <w:marRight w:val="0"/>
      <w:marTop w:val="10"/>
      <w:marBottom w:val="10"/>
      <w:divBdr>
        <w:top w:val="none" w:sz="0" w:space="0" w:color="auto"/>
        <w:left w:val="none" w:sz="0" w:space="0" w:color="auto"/>
        <w:bottom w:val="none" w:sz="0" w:space="0" w:color="auto"/>
        <w:right w:val="none" w:sz="0" w:space="0" w:color="auto"/>
      </w:divBdr>
    </w:div>
    <w:div w:id="850679997">
      <w:marLeft w:val="0"/>
      <w:marRight w:val="0"/>
      <w:marTop w:val="10"/>
      <w:marBottom w:val="10"/>
      <w:divBdr>
        <w:top w:val="none" w:sz="0" w:space="0" w:color="auto"/>
        <w:left w:val="none" w:sz="0" w:space="0" w:color="auto"/>
        <w:bottom w:val="none" w:sz="0" w:space="0" w:color="auto"/>
        <w:right w:val="none" w:sz="0" w:space="0" w:color="auto"/>
      </w:divBdr>
    </w:div>
    <w:div w:id="851146802">
      <w:marLeft w:val="0"/>
      <w:marRight w:val="0"/>
      <w:marTop w:val="10"/>
      <w:marBottom w:val="10"/>
      <w:divBdr>
        <w:top w:val="none" w:sz="0" w:space="0" w:color="auto"/>
        <w:left w:val="none" w:sz="0" w:space="0" w:color="auto"/>
        <w:bottom w:val="none" w:sz="0" w:space="0" w:color="auto"/>
        <w:right w:val="none" w:sz="0" w:space="0" w:color="auto"/>
      </w:divBdr>
    </w:div>
    <w:div w:id="858815022">
      <w:marLeft w:val="0"/>
      <w:marRight w:val="0"/>
      <w:marTop w:val="10"/>
      <w:marBottom w:val="10"/>
      <w:divBdr>
        <w:top w:val="none" w:sz="0" w:space="0" w:color="auto"/>
        <w:left w:val="none" w:sz="0" w:space="0" w:color="auto"/>
        <w:bottom w:val="none" w:sz="0" w:space="0" w:color="auto"/>
        <w:right w:val="none" w:sz="0" w:space="0" w:color="auto"/>
      </w:divBdr>
    </w:div>
    <w:div w:id="893390701">
      <w:marLeft w:val="0"/>
      <w:marRight w:val="0"/>
      <w:marTop w:val="10"/>
      <w:marBottom w:val="10"/>
      <w:divBdr>
        <w:top w:val="none" w:sz="0" w:space="0" w:color="auto"/>
        <w:left w:val="none" w:sz="0" w:space="0" w:color="auto"/>
        <w:bottom w:val="none" w:sz="0" w:space="0" w:color="auto"/>
        <w:right w:val="none" w:sz="0" w:space="0" w:color="auto"/>
      </w:divBdr>
    </w:div>
    <w:div w:id="970938373">
      <w:marLeft w:val="0"/>
      <w:marRight w:val="0"/>
      <w:marTop w:val="10"/>
      <w:marBottom w:val="10"/>
      <w:divBdr>
        <w:top w:val="none" w:sz="0" w:space="0" w:color="auto"/>
        <w:left w:val="none" w:sz="0" w:space="0" w:color="auto"/>
        <w:bottom w:val="none" w:sz="0" w:space="0" w:color="auto"/>
        <w:right w:val="none" w:sz="0" w:space="0" w:color="auto"/>
      </w:divBdr>
    </w:div>
    <w:div w:id="1161391757">
      <w:marLeft w:val="0"/>
      <w:marRight w:val="0"/>
      <w:marTop w:val="10"/>
      <w:marBottom w:val="10"/>
      <w:divBdr>
        <w:top w:val="none" w:sz="0" w:space="0" w:color="auto"/>
        <w:left w:val="none" w:sz="0" w:space="0" w:color="auto"/>
        <w:bottom w:val="none" w:sz="0" w:space="0" w:color="auto"/>
        <w:right w:val="none" w:sz="0" w:space="0" w:color="auto"/>
      </w:divBdr>
    </w:div>
    <w:div w:id="1170874985">
      <w:marLeft w:val="0"/>
      <w:marRight w:val="0"/>
      <w:marTop w:val="10"/>
      <w:marBottom w:val="10"/>
      <w:divBdr>
        <w:top w:val="none" w:sz="0" w:space="0" w:color="auto"/>
        <w:left w:val="none" w:sz="0" w:space="0" w:color="auto"/>
        <w:bottom w:val="none" w:sz="0" w:space="0" w:color="auto"/>
        <w:right w:val="none" w:sz="0" w:space="0" w:color="auto"/>
      </w:divBdr>
    </w:div>
    <w:div w:id="1226183587">
      <w:marLeft w:val="0"/>
      <w:marRight w:val="0"/>
      <w:marTop w:val="10"/>
      <w:marBottom w:val="10"/>
      <w:divBdr>
        <w:top w:val="none" w:sz="0" w:space="0" w:color="auto"/>
        <w:left w:val="none" w:sz="0" w:space="0" w:color="auto"/>
        <w:bottom w:val="none" w:sz="0" w:space="0" w:color="auto"/>
        <w:right w:val="none" w:sz="0" w:space="0" w:color="auto"/>
      </w:divBdr>
    </w:div>
    <w:div w:id="1229924160">
      <w:marLeft w:val="0"/>
      <w:marRight w:val="0"/>
      <w:marTop w:val="10"/>
      <w:marBottom w:val="10"/>
      <w:divBdr>
        <w:top w:val="none" w:sz="0" w:space="0" w:color="auto"/>
        <w:left w:val="none" w:sz="0" w:space="0" w:color="auto"/>
        <w:bottom w:val="none" w:sz="0" w:space="0" w:color="auto"/>
        <w:right w:val="none" w:sz="0" w:space="0" w:color="auto"/>
      </w:divBdr>
    </w:div>
    <w:div w:id="1266307220">
      <w:marLeft w:val="0"/>
      <w:marRight w:val="0"/>
      <w:marTop w:val="10"/>
      <w:marBottom w:val="10"/>
      <w:divBdr>
        <w:top w:val="none" w:sz="0" w:space="0" w:color="auto"/>
        <w:left w:val="none" w:sz="0" w:space="0" w:color="auto"/>
        <w:bottom w:val="none" w:sz="0" w:space="0" w:color="auto"/>
        <w:right w:val="none" w:sz="0" w:space="0" w:color="auto"/>
      </w:divBdr>
    </w:div>
    <w:div w:id="1266579191">
      <w:marLeft w:val="0"/>
      <w:marRight w:val="0"/>
      <w:marTop w:val="10"/>
      <w:marBottom w:val="10"/>
      <w:divBdr>
        <w:top w:val="none" w:sz="0" w:space="0" w:color="auto"/>
        <w:left w:val="none" w:sz="0" w:space="0" w:color="auto"/>
        <w:bottom w:val="none" w:sz="0" w:space="0" w:color="auto"/>
        <w:right w:val="none" w:sz="0" w:space="0" w:color="auto"/>
      </w:divBdr>
    </w:div>
    <w:div w:id="1297221660">
      <w:marLeft w:val="0"/>
      <w:marRight w:val="0"/>
      <w:marTop w:val="10"/>
      <w:marBottom w:val="10"/>
      <w:divBdr>
        <w:top w:val="none" w:sz="0" w:space="0" w:color="auto"/>
        <w:left w:val="none" w:sz="0" w:space="0" w:color="auto"/>
        <w:bottom w:val="none" w:sz="0" w:space="0" w:color="auto"/>
        <w:right w:val="none" w:sz="0" w:space="0" w:color="auto"/>
      </w:divBdr>
    </w:div>
    <w:div w:id="1311246601">
      <w:marLeft w:val="0"/>
      <w:marRight w:val="0"/>
      <w:marTop w:val="10"/>
      <w:marBottom w:val="10"/>
      <w:divBdr>
        <w:top w:val="none" w:sz="0" w:space="0" w:color="auto"/>
        <w:left w:val="none" w:sz="0" w:space="0" w:color="auto"/>
        <w:bottom w:val="none" w:sz="0" w:space="0" w:color="auto"/>
        <w:right w:val="none" w:sz="0" w:space="0" w:color="auto"/>
      </w:divBdr>
    </w:div>
    <w:div w:id="1318345296">
      <w:marLeft w:val="0"/>
      <w:marRight w:val="0"/>
      <w:marTop w:val="10"/>
      <w:marBottom w:val="10"/>
      <w:divBdr>
        <w:top w:val="none" w:sz="0" w:space="0" w:color="auto"/>
        <w:left w:val="none" w:sz="0" w:space="0" w:color="auto"/>
        <w:bottom w:val="none" w:sz="0" w:space="0" w:color="auto"/>
        <w:right w:val="none" w:sz="0" w:space="0" w:color="auto"/>
      </w:divBdr>
    </w:div>
    <w:div w:id="1381319325">
      <w:marLeft w:val="0"/>
      <w:marRight w:val="720"/>
      <w:marTop w:val="10"/>
      <w:marBottom w:val="10"/>
      <w:divBdr>
        <w:top w:val="none" w:sz="0" w:space="0" w:color="auto"/>
        <w:left w:val="none" w:sz="0" w:space="0" w:color="auto"/>
        <w:bottom w:val="none" w:sz="0" w:space="0" w:color="auto"/>
        <w:right w:val="none" w:sz="0" w:space="0" w:color="auto"/>
      </w:divBdr>
    </w:div>
    <w:div w:id="1475753410">
      <w:marLeft w:val="0"/>
      <w:marRight w:val="0"/>
      <w:marTop w:val="10"/>
      <w:marBottom w:val="10"/>
      <w:divBdr>
        <w:top w:val="none" w:sz="0" w:space="0" w:color="auto"/>
        <w:left w:val="none" w:sz="0" w:space="0" w:color="auto"/>
        <w:bottom w:val="none" w:sz="0" w:space="0" w:color="auto"/>
        <w:right w:val="none" w:sz="0" w:space="0" w:color="auto"/>
      </w:divBdr>
    </w:div>
    <w:div w:id="1492066212">
      <w:marLeft w:val="0"/>
      <w:marRight w:val="0"/>
      <w:marTop w:val="10"/>
      <w:marBottom w:val="10"/>
      <w:divBdr>
        <w:top w:val="none" w:sz="0" w:space="0" w:color="auto"/>
        <w:left w:val="none" w:sz="0" w:space="0" w:color="auto"/>
        <w:bottom w:val="none" w:sz="0" w:space="0" w:color="auto"/>
        <w:right w:val="none" w:sz="0" w:space="0" w:color="auto"/>
      </w:divBdr>
    </w:div>
    <w:div w:id="1512448126">
      <w:marLeft w:val="0"/>
      <w:marRight w:val="0"/>
      <w:marTop w:val="10"/>
      <w:marBottom w:val="10"/>
      <w:divBdr>
        <w:top w:val="none" w:sz="0" w:space="0" w:color="auto"/>
        <w:left w:val="none" w:sz="0" w:space="0" w:color="auto"/>
        <w:bottom w:val="none" w:sz="0" w:space="0" w:color="auto"/>
        <w:right w:val="none" w:sz="0" w:space="0" w:color="auto"/>
      </w:divBdr>
    </w:div>
    <w:div w:id="1524516795">
      <w:marLeft w:val="0"/>
      <w:marRight w:val="0"/>
      <w:marTop w:val="10"/>
      <w:marBottom w:val="10"/>
      <w:divBdr>
        <w:top w:val="none" w:sz="0" w:space="0" w:color="auto"/>
        <w:left w:val="none" w:sz="0" w:space="0" w:color="auto"/>
        <w:bottom w:val="none" w:sz="0" w:space="0" w:color="auto"/>
        <w:right w:val="none" w:sz="0" w:space="0" w:color="auto"/>
      </w:divBdr>
    </w:div>
    <w:div w:id="1534465618">
      <w:marLeft w:val="0"/>
      <w:marRight w:val="0"/>
      <w:marTop w:val="10"/>
      <w:marBottom w:val="10"/>
      <w:divBdr>
        <w:top w:val="none" w:sz="0" w:space="0" w:color="auto"/>
        <w:left w:val="none" w:sz="0" w:space="0" w:color="auto"/>
        <w:bottom w:val="none" w:sz="0" w:space="0" w:color="auto"/>
        <w:right w:val="none" w:sz="0" w:space="0" w:color="auto"/>
      </w:divBdr>
    </w:div>
    <w:div w:id="1550797593">
      <w:marLeft w:val="0"/>
      <w:marRight w:val="0"/>
      <w:marTop w:val="10"/>
      <w:marBottom w:val="10"/>
      <w:divBdr>
        <w:top w:val="none" w:sz="0" w:space="0" w:color="auto"/>
        <w:left w:val="none" w:sz="0" w:space="0" w:color="auto"/>
        <w:bottom w:val="none" w:sz="0" w:space="0" w:color="auto"/>
        <w:right w:val="none" w:sz="0" w:space="0" w:color="auto"/>
      </w:divBdr>
    </w:div>
    <w:div w:id="1590890625">
      <w:marLeft w:val="0"/>
      <w:marRight w:val="0"/>
      <w:marTop w:val="10"/>
      <w:marBottom w:val="10"/>
      <w:divBdr>
        <w:top w:val="none" w:sz="0" w:space="0" w:color="auto"/>
        <w:left w:val="none" w:sz="0" w:space="0" w:color="auto"/>
        <w:bottom w:val="none" w:sz="0" w:space="0" w:color="auto"/>
        <w:right w:val="none" w:sz="0" w:space="0" w:color="auto"/>
      </w:divBdr>
    </w:div>
    <w:div w:id="1594122817">
      <w:marLeft w:val="0"/>
      <w:marRight w:val="0"/>
      <w:marTop w:val="10"/>
      <w:marBottom w:val="10"/>
      <w:divBdr>
        <w:top w:val="none" w:sz="0" w:space="0" w:color="auto"/>
        <w:left w:val="none" w:sz="0" w:space="0" w:color="auto"/>
        <w:bottom w:val="none" w:sz="0" w:space="0" w:color="auto"/>
        <w:right w:val="none" w:sz="0" w:space="0" w:color="auto"/>
      </w:divBdr>
    </w:div>
    <w:div w:id="1729836180">
      <w:marLeft w:val="0"/>
      <w:marRight w:val="720"/>
      <w:marTop w:val="10"/>
      <w:marBottom w:val="10"/>
      <w:divBdr>
        <w:top w:val="none" w:sz="0" w:space="0" w:color="auto"/>
        <w:left w:val="none" w:sz="0" w:space="0" w:color="auto"/>
        <w:bottom w:val="none" w:sz="0" w:space="0" w:color="auto"/>
        <w:right w:val="none" w:sz="0" w:space="0" w:color="auto"/>
      </w:divBdr>
    </w:div>
    <w:div w:id="1740594371">
      <w:marLeft w:val="0"/>
      <w:marRight w:val="0"/>
      <w:marTop w:val="10"/>
      <w:marBottom w:val="10"/>
      <w:divBdr>
        <w:top w:val="none" w:sz="0" w:space="0" w:color="auto"/>
        <w:left w:val="none" w:sz="0" w:space="0" w:color="auto"/>
        <w:bottom w:val="none" w:sz="0" w:space="0" w:color="auto"/>
        <w:right w:val="none" w:sz="0" w:space="0" w:color="auto"/>
      </w:divBdr>
    </w:div>
    <w:div w:id="1741639058">
      <w:marLeft w:val="0"/>
      <w:marRight w:val="0"/>
      <w:marTop w:val="10"/>
      <w:marBottom w:val="10"/>
      <w:divBdr>
        <w:top w:val="none" w:sz="0" w:space="0" w:color="auto"/>
        <w:left w:val="none" w:sz="0" w:space="0" w:color="auto"/>
        <w:bottom w:val="none" w:sz="0" w:space="0" w:color="auto"/>
        <w:right w:val="none" w:sz="0" w:space="0" w:color="auto"/>
      </w:divBdr>
    </w:div>
    <w:div w:id="1742866754">
      <w:marLeft w:val="0"/>
      <w:marRight w:val="0"/>
      <w:marTop w:val="10"/>
      <w:marBottom w:val="10"/>
      <w:divBdr>
        <w:top w:val="none" w:sz="0" w:space="0" w:color="auto"/>
        <w:left w:val="none" w:sz="0" w:space="0" w:color="auto"/>
        <w:bottom w:val="none" w:sz="0" w:space="0" w:color="auto"/>
        <w:right w:val="none" w:sz="0" w:space="0" w:color="auto"/>
      </w:divBdr>
    </w:div>
    <w:div w:id="1779174473">
      <w:marLeft w:val="0"/>
      <w:marRight w:val="0"/>
      <w:marTop w:val="10"/>
      <w:marBottom w:val="10"/>
      <w:divBdr>
        <w:top w:val="none" w:sz="0" w:space="0" w:color="auto"/>
        <w:left w:val="none" w:sz="0" w:space="0" w:color="auto"/>
        <w:bottom w:val="none" w:sz="0" w:space="0" w:color="auto"/>
        <w:right w:val="none" w:sz="0" w:space="0" w:color="auto"/>
      </w:divBdr>
    </w:div>
    <w:div w:id="1877159184">
      <w:marLeft w:val="0"/>
      <w:marRight w:val="0"/>
      <w:marTop w:val="10"/>
      <w:marBottom w:val="10"/>
      <w:divBdr>
        <w:top w:val="none" w:sz="0" w:space="0" w:color="auto"/>
        <w:left w:val="none" w:sz="0" w:space="0" w:color="auto"/>
        <w:bottom w:val="none" w:sz="0" w:space="0" w:color="auto"/>
        <w:right w:val="none" w:sz="0" w:space="0" w:color="auto"/>
      </w:divBdr>
    </w:div>
    <w:div w:id="1878732100">
      <w:marLeft w:val="0"/>
      <w:marRight w:val="0"/>
      <w:marTop w:val="10"/>
      <w:marBottom w:val="10"/>
      <w:divBdr>
        <w:top w:val="none" w:sz="0" w:space="0" w:color="auto"/>
        <w:left w:val="none" w:sz="0" w:space="0" w:color="auto"/>
        <w:bottom w:val="none" w:sz="0" w:space="0" w:color="auto"/>
        <w:right w:val="none" w:sz="0" w:space="0" w:color="auto"/>
      </w:divBdr>
    </w:div>
    <w:div w:id="1937008472">
      <w:marLeft w:val="0"/>
      <w:marRight w:val="0"/>
      <w:marTop w:val="10"/>
      <w:marBottom w:val="10"/>
      <w:divBdr>
        <w:top w:val="none" w:sz="0" w:space="0" w:color="auto"/>
        <w:left w:val="none" w:sz="0" w:space="0" w:color="auto"/>
        <w:bottom w:val="none" w:sz="0" w:space="0" w:color="auto"/>
        <w:right w:val="none" w:sz="0" w:space="0" w:color="auto"/>
      </w:divBdr>
    </w:div>
    <w:div w:id="2085491269">
      <w:marLeft w:val="0"/>
      <w:marRight w:val="720"/>
      <w:marTop w:val="10"/>
      <w:marBottom w:val="10"/>
      <w:divBdr>
        <w:top w:val="none" w:sz="0" w:space="0" w:color="auto"/>
        <w:left w:val="none" w:sz="0" w:space="0" w:color="auto"/>
        <w:bottom w:val="none" w:sz="0" w:space="0" w:color="auto"/>
        <w:right w:val="none" w:sz="0" w:space="0" w:color="auto"/>
      </w:divBdr>
    </w:div>
    <w:div w:id="21256909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