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57B94">
      <w:pPr>
        <w:spacing w:line="500" w:lineRule="atLeast"/>
        <w:jc w:val="center"/>
        <w:divId w:val="2121759585"/>
        <w:rPr>
          <w:rFonts w:ascii="黑体" w:eastAsia="黑体" w:hAnsi="黑体"/>
          <w:sz w:val="36"/>
          <w:szCs w:val="36"/>
        </w:rPr>
      </w:pPr>
      <w:bookmarkStart w:id="0" w:name="_GoBack"/>
      <w:bookmarkEnd w:id="0"/>
      <w:r>
        <w:rPr>
          <w:rFonts w:ascii="黑体" w:eastAsia="黑体" w:hAnsi="黑体" w:hint="eastAsia"/>
          <w:sz w:val="36"/>
          <w:szCs w:val="36"/>
        </w:rPr>
        <w:t>广东省广州市天河区人民法院</w:t>
      </w:r>
    </w:p>
    <w:p w:rsidR="00000000" w:rsidRDefault="00857B94">
      <w:pPr>
        <w:spacing w:line="500" w:lineRule="atLeast"/>
        <w:jc w:val="center"/>
        <w:divId w:val="141840522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57B94">
      <w:pPr>
        <w:spacing w:line="500" w:lineRule="atLeast"/>
        <w:jc w:val="right"/>
        <w:divId w:val="1203593413"/>
        <w:rPr>
          <w:rFonts w:hint="eastAsia"/>
          <w:sz w:val="30"/>
          <w:szCs w:val="30"/>
        </w:rPr>
      </w:pPr>
      <w:r>
        <w:rPr>
          <w:rFonts w:hint="eastAsia"/>
          <w:sz w:val="30"/>
          <w:szCs w:val="30"/>
        </w:rPr>
        <w:t>（</w:t>
      </w:r>
      <w:r>
        <w:rPr>
          <w:rFonts w:hint="eastAsia"/>
          <w:sz w:val="30"/>
          <w:szCs w:val="30"/>
        </w:rPr>
        <w:t>2018</w:t>
      </w:r>
      <w:r>
        <w:rPr>
          <w:rFonts w:hint="eastAsia"/>
          <w:sz w:val="30"/>
          <w:szCs w:val="30"/>
        </w:rPr>
        <w:t>）粤</w:t>
      </w:r>
      <w:r>
        <w:rPr>
          <w:rFonts w:hint="eastAsia"/>
          <w:sz w:val="30"/>
          <w:szCs w:val="30"/>
        </w:rPr>
        <w:t>0106</w:t>
      </w:r>
      <w:r>
        <w:rPr>
          <w:rFonts w:hint="eastAsia"/>
          <w:sz w:val="30"/>
          <w:szCs w:val="30"/>
        </w:rPr>
        <w:t>民初</w:t>
      </w:r>
      <w:r>
        <w:rPr>
          <w:rFonts w:hint="eastAsia"/>
          <w:sz w:val="30"/>
          <w:szCs w:val="30"/>
        </w:rPr>
        <w:t>16337</w:t>
      </w:r>
      <w:r>
        <w:rPr>
          <w:rFonts w:hint="eastAsia"/>
          <w:sz w:val="30"/>
          <w:szCs w:val="30"/>
        </w:rPr>
        <w:t>号</w:t>
      </w:r>
    </w:p>
    <w:p w:rsidR="00000000" w:rsidRDefault="00857B94">
      <w:pPr>
        <w:spacing w:line="500" w:lineRule="atLeast"/>
        <w:ind w:firstLine="600"/>
        <w:divId w:val="307981775"/>
        <w:rPr>
          <w:rFonts w:hint="eastAsia"/>
          <w:sz w:val="30"/>
          <w:szCs w:val="30"/>
        </w:rPr>
      </w:pPr>
      <w:r>
        <w:rPr>
          <w:rFonts w:hint="eastAsia"/>
          <w:sz w:val="30"/>
          <w:szCs w:val="30"/>
        </w:rPr>
        <w:t>原告：韦品清，女，</w:t>
      </w:r>
      <w:r>
        <w:rPr>
          <w:rFonts w:hint="eastAsia"/>
          <w:sz w:val="30"/>
          <w:szCs w:val="30"/>
        </w:rPr>
        <w:t>1965</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日出生，汉族，住广州市白云区。</w:t>
      </w:r>
    </w:p>
    <w:p w:rsidR="00000000" w:rsidRDefault="00857B94">
      <w:pPr>
        <w:spacing w:line="500" w:lineRule="atLeast"/>
        <w:ind w:firstLine="600"/>
        <w:divId w:val="990716225"/>
        <w:rPr>
          <w:rFonts w:hint="eastAsia"/>
          <w:sz w:val="30"/>
          <w:szCs w:val="30"/>
        </w:rPr>
      </w:pPr>
      <w:r>
        <w:rPr>
          <w:rFonts w:hint="eastAsia"/>
          <w:sz w:val="30"/>
          <w:szCs w:val="30"/>
        </w:rPr>
        <w:t>委托诉讼代理人：潘良、廖烨明，分别系北京市中银（深圳）律师事务所律师、律师助理。</w:t>
      </w:r>
    </w:p>
    <w:p w:rsidR="00000000" w:rsidRDefault="00857B94">
      <w:pPr>
        <w:spacing w:line="500" w:lineRule="atLeast"/>
        <w:ind w:firstLine="600"/>
        <w:divId w:val="1381398023"/>
        <w:rPr>
          <w:rFonts w:hint="eastAsia"/>
          <w:sz w:val="30"/>
          <w:szCs w:val="30"/>
        </w:rPr>
      </w:pPr>
      <w:r>
        <w:rPr>
          <w:rFonts w:hint="eastAsia"/>
          <w:sz w:val="30"/>
          <w:szCs w:val="30"/>
        </w:rPr>
        <w:t>被告：广州瑞慈投资有限公司，住所地广州市天河区珠江西路</w:t>
      </w:r>
      <w:r>
        <w:rPr>
          <w:rFonts w:hint="eastAsia"/>
          <w:sz w:val="30"/>
          <w:szCs w:val="30"/>
        </w:rPr>
        <w:t>5</w:t>
      </w:r>
      <w:r>
        <w:rPr>
          <w:rFonts w:hint="eastAsia"/>
          <w:sz w:val="30"/>
          <w:szCs w:val="30"/>
        </w:rPr>
        <w:t>号</w:t>
      </w:r>
      <w:r>
        <w:rPr>
          <w:rFonts w:hint="eastAsia"/>
          <w:sz w:val="30"/>
          <w:szCs w:val="30"/>
        </w:rPr>
        <w:t>5105</w:t>
      </w:r>
      <w:r>
        <w:rPr>
          <w:rFonts w:hint="eastAsia"/>
          <w:sz w:val="30"/>
          <w:szCs w:val="30"/>
        </w:rPr>
        <w:t>、</w:t>
      </w:r>
      <w:r>
        <w:rPr>
          <w:rFonts w:hint="eastAsia"/>
          <w:sz w:val="30"/>
          <w:szCs w:val="30"/>
        </w:rPr>
        <w:t>5106</w:t>
      </w:r>
      <w:r>
        <w:rPr>
          <w:rFonts w:hint="eastAsia"/>
          <w:sz w:val="30"/>
          <w:szCs w:val="30"/>
        </w:rPr>
        <w:t>。</w:t>
      </w:r>
    </w:p>
    <w:p w:rsidR="00000000" w:rsidRDefault="00857B94">
      <w:pPr>
        <w:spacing w:line="500" w:lineRule="atLeast"/>
        <w:ind w:firstLine="600"/>
        <w:divId w:val="240720684"/>
        <w:rPr>
          <w:rFonts w:hint="eastAsia"/>
          <w:sz w:val="30"/>
          <w:szCs w:val="30"/>
        </w:rPr>
      </w:pPr>
      <w:r>
        <w:rPr>
          <w:rFonts w:hint="eastAsia"/>
          <w:sz w:val="30"/>
          <w:szCs w:val="30"/>
        </w:rPr>
        <w:t>法定代表人：梅红。</w:t>
      </w:r>
    </w:p>
    <w:p w:rsidR="00000000" w:rsidRDefault="00857B94">
      <w:pPr>
        <w:spacing w:line="500" w:lineRule="atLeast"/>
        <w:ind w:firstLine="600"/>
        <w:divId w:val="1951235165"/>
        <w:rPr>
          <w:rFonts w:hint="eastAsia"/>
          <w:sz w:val="30"/>
          <w:szCs w:val="30"/>
        </w:rPr>
      </w:pPr>
      <w:r>
        <w:rPr>
          <w:rFonts w:hint="eastAsia"/>
          <w:sz w:val="30"/>
          <w:szCs w:val="30"/>
        </w:rPr>
        <w:t>被告：方宜新，男，</w:t>
      </w:r>
      <w:r>
        <w:rPr>
          <w:rFonts w:hint="eastAsia"/>
          <w:sz w:val="30"/>
          <w:szCs w:val="30"/>
        </w:rPr>
        <w:t>1965</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日出生，汉族，住江苏省南通市崇川区。</w:t>
      </w:r>
    </w:p>
    <w:p w:rsidR="00000000" w:rsidRDefault="00857B94">
      <w:pPr>
        <w:spacing w:line="500" w:lineRule="atLeast"/>
        <w:ind w:firstLine="600"/>
        <w:divId w:val="722601805"/>
        <w:rPr>
          <w:rFonts w:hint="eastAsia"/>
          <w:sz w:val="30"/>
          <w:szCs w:val="30"/>
        </w:rPr>
      </w:pPr>
      <w:r>
        <w:rPr>
          <w:rFonts w:hint="eastAsia"/>
          <w:sz w:val="30"/>
          <w:szCs w:val="30"/>
        </w:rPr>
        <w:t>两被告共同委托诉讼代理人：刘高，系湖南芙蓉律师事务所律师。</w:t>
      </w:r>
    </w:p>
    <w:p w:rsidR="00000000" w:rsidRDefault="00857B94">
      <w:pPr>
        <w:spacing w:line="500" w:lineRule="atLeast"/>
        <w:ind w:firstLine="600"/>
        <w:divId w:val="809325942"/>
        <w:rPr>
          <w:rFonts w:hint="eastAsia"/>
          <w:sz w:val="30"/>
          <w:szCs w:val="30"/>
        </w:rPr>
      </w:pPr>
      <w:r>
        <w:rPr>
          <w:rFonts w:hint="eastAsia"/>
          <w:sz w:val="30"/>
          <w:szCs w:val="30"/>
        </w:rPr>
        <w:t>原告韦品清与被告广州瑞慈投资有限公司（以下简称瑞慈公司）、方宜新损害公司利益责任纠纷一案，本院立案受理后，依法组成合议庭，公开开庭进行了审理。原告韦品清的委托诉讼代理人潘良、廖烨明，被告瑞慈公司、方宜新的共同委托诉讼代理人刘高到庭参加了诉讼。本案现已审理终结。</w:t>
      </w:r>
    </w:p>
    <w:p w:rsidR="00000000" w:rsidRDefault="00857B94">
      <w:pPr>
        <w:spacing w:line="500" w:lineRule="atLeast"/>
        <w:ind w:firstLine="600"/>
        <w:divId w:val="937056174"/>
        <w:rPr>
          <w:rFonts w:hint="eastAsia"/>
          <w:sz w:val="30"/>
          <w:szCs w:val="30"/>
        </w:rPr>
      </w:pPr>
      <w:r>
        <w:rPr>
          <w:rFonts w:hint="eastAsia"/>
          <w:sz w:val="30"/>
          <w:szCs w:val="30"/>
        </w:rPr>
        <w:t>原告韦品清向本院提出诉讼请求：</w:t>
      </w:r>
      <w:r>
        <w:rPr>
          <w:rFonts w:hint="eastAsia"/>
          <w:sz w:val="30"/>
          <w:szCs w:val="30"/>
        </w:rPr>
        <w:t>1.</w:t>
      </w:r>
      <w:r>
        <w:rPr>
          <w:rFonts w:hint="eastAsia"/>
          <w:sz w:val="30"/>
          <w:szCs w:val="30"/>
        </w:rPr>
        <w:t>判令被告方宜新自</w:t>
      </w:r>
      <w:r>
        <w:rPr>
          <w:rFonts w:hint="eastAsia"/>
          <w:sz w:val="30"/>
          <w:szCs w:val="30"/>
        </w:rPr>
        <w:t>2015</w:t>
      </w:r>
      <w:r>
        <w:rPr>
          <w:rFonts w:hint="eastAsia"/>
          <w:sz w:val="30"/>
          <w:szCs w:val="30"/>
        </w:rPr>
        <w:t>年</w:t>
      </w:r>
      <w:r>
        <w:rPr>
          <w:rFonts w:hint="eastAsia"/>
          <w:sz w:val="30"/>
          <w:szCs w:val="30"/>
        </w:rPr>
        <w:t>2</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6</w:t>
      </w:r>
      <w:r>
        <w:rPr>
          <w:rFonts w:hint="eastAsia"/>
          <w:sz w:val="30"/>
          <w:szCs w:val="30"/>
        </w:rPr>
        <w:t>月的自营业务收入</w:t>
      </w:r>
      <w:r>
        <w:rPr>
          <w:rFonts w:hint="eastAsia"/>
          <w:sz w:val="30"/>
          <w:szCs w:val="30"/>
        </w:rPr>
        <w:t>10000</w:t>
      </w:r>
      <w:r>
        <w:rPr>
          <w:rFonts w:hint="eastAsia"/>
          <w:sz w:val="30"/>
          <w:szCs w:val="30"/>
        </w:rPr>
        <w:t>元收归公司所有；</w:t>
      </w:r>
      <w:r>
        <w:rPr>
          <w:rFonts w:hint="eastAsia"/>
          <w:sz w:val="30"/>
          <w:szCs w:val="30"/>
        </w:rPr>
        <w:t>2.</w:t>
      </w:r>
      <w:r>
        <w:rPr>
          <w:rFonts w:hint="eastAsia"/>
          <w:sz w:val="30"/>
          <w:szCs w:val="30"/>
        </w:rPr>
        <w:t>判令被告瑞慈公司向公司支付占用公司办公场地租金费用</w:t>
      </w:r>
      <w:r>
        <w:rPr>
          <w:rFonts w:hint="eastAsia"/>
          <w:sz w:val="30"/>
          <w:szCs w:val="30"/>
        </w:rPr>
        <w:t>875000</w:t>
      </w:r>
      <w:r>
        <w:rPr>
          <w:rFonts w:hint="eastAsia"/>
          <w:sz w:val="30"/>
          <w:szCs w:val="30"/>
        </w:rPr>
        <w:t>元；</w:t>
      </w:r>
      <w:r>
        <w:rPr>
          <w:rFonts w:hint="eastAsia"/>
          <w:sz w:val="30"/>
          <w:szCs w:val="30"/>
        </w:rPr>
        <w:t>3.</w:t>
      </w:r>
      <w:r>
        <w:rPr>
          <w:rFonts w:hint="eastAsia"/>
          <w:sz w:val="30"/>
          <w:szCs w:val="30"/>
        </w:rPr>
        <w:t>判令两被告承担本案全部诉讼费用。事实和理由：</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日，原告投资</w:t>
      </w:r>
      <w:r>
        <w:rPr>
          <w:rFonts w:hint="eastAsia"/>
          <w:sz w:val="30"/>
          <w:szCs w:val="30"/>
        </w:rPr>
        <w:t>15000000</w:t>
      </w:r>
      <w:r>
        <w:rPr>
          <w:rFonts w:hint="eastAsia"/>
          <w:sz w:val="30"/>
          <w:szCs w:val="30"/>
        </w:rPr>
        <w:t>元注册成立广州市福家康门诊部有限公司（历史名称），即现在的广州瑞慈国金门诊部有限公司（以下简称国金门诊部），并租下广州市天河区珠江西路</w:t>
      </w:r>
      <w:r>
        <w:rPr>
          <w:rFonts w:hint="eastAsia"/>
          <w:sz w:val="30"/>
          <w:szCs w:val="30"/>
        </w:rPr>
        <w:t>5</w:t>
      </w:r>
      <w:r>
        <w:rPr>
          <w:rFonts w:hint="eastAsia"/>
          <w:sz w:val="30"/>
          <w:szCs w:val="30"/>
        </w:rPr>
        <w:t>号广州国际金融中心主塔写字楼第</w:t>
      </w:r>
      <w:r>
        <w:rPr>
          <w:rFonts w:hint="eastAsia"/>
          <w:sz w:val="30"/>
          <w:szCs w:val="30"/>
        </w:rPr>
        <w:t>51</w:t>
      </w:r>
      <w:r>
        <w:rPr>
          <w:rFonts w:hint="eastAsia"/>
          <w:sz w:val="30"/>
          <w:szCs w:val="30"/>
        </w:rPr>
        <w:t>层</w:t>
      </w:r>
      <w:r>
        <w:rPr>
          <w:rFonts w:hint="eastAsia"/>
          <w:sz w:val="30"/>
          <w:szCs w:val="30"/>
        </w:rPr>
        <w:t>02-06</w:t>
      </w:r>
      <w:r>
        <w:rPr>
          <w:rFonts w:hint="eastAsia"/>
          <w:sz w:val="30"/>
          <w:szCs w:val="30"/>
        </w:rPr>
        <w:lastRenderedPageBreak/>
        <w:t>单元作为公司经营场地。公司经营范围包括：疾病预防控制中心、门诊部（所）、妇幼保健院（所、站）、社区卫生服务中心（站）、专科疾病防治院（所、站）、精神康复服务、临床检验服务等。</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日，原告与被告瑞慈公司签订正式的《股权转让协议》，将原告所持国金门诊部</w:t>
      </w:r>
      <w:r>
        <w:rPr>
          <w:rFonts w:hint="eastAsia"/>
          <w:sz w:val="30"/>
          <w:szCs w:val="30"/>
        </w:rPr>
        <w:t>90%</w:t>
      </w:r>
      <w:r>
        <w:rPr>
          <w:rFonts w:hint="eastAsia"/>
          <w:sz w:val="30"/>
          <w:szCs w:val="30"/>
        </w:rPr>
        <w:t>的股权作价</w:t>
      </w:r>
      <w:r>
        <w:rPr>
          <w:rFonts w:hint="eastAsia"/>
          <w:sz w:val="30"/>
          <w:szCs w:val="30"/>
        </w:rPr>
        <w:t>8847000</w:t>
      </w:r>
      <w:r>
        <w:rPr>
          <w:rFonts w:hint="eastAsia"/>
          <w:sz w:val="30"/>
          <w:szCs w:val="30"/>
        </w:rPr>
        <w:t>元</w:t>
      </w:r>
      <w:r>
        <w:rPr>
          <w:rFonts w:hint="eastAsia"/>
          <w:sz w:val="30"/>
          <w:szCs w:val="30"/>
        </w:rPr>
        <w:t>转让给被告瑞慈公司，并办理了工商变更登记。股权转让后，被告瑞慈公司成为国金门诊部大股东，持股比例为</w:t>
      </w:r>
      <w:r>
        <w:rPr>
          <w:rFonts w:hint="eastAsia"/>
          <w:sz w:val="30"/>
          <w:szCs w:val="30"/>
        </w:rPr>
        <w:t>90%</w:t>
      </w:r>
      <w:r>
        <w:rPr>
          <w:rFonts w:hint="eastAsia"/>
          <w:sz w:val="30"/>
          <w:szCs w:val="30"/>
        </w:rPr>
        <w:t>，原告持股比例为</w:t>
      </w:r>
      <w:r>
        <w:rPr>
          <w:rFonts w:hint="eastAsia"/>
          <w:sz w:val="30"/>
          <w:szCs w:val="30"/>
        </w:rPr>
        <w:t>10%</w:t>
      </w:r>
      <w:r>
        <w:rPr>
          <w:rFonts w:hint="eastAsia"/>
          <w:sz w:val="30"/>
          <w:szCs w:val="30"/>
        </w:rPr>
        <w:t>。国金门诊部的实际控制人、法定代表人、执行董事、经理变更为被告方宜新。</w:t>
      </w:r>
    </w:p>
    <w:p w:rsidR="00000000" w:rsidRDefault="00857B94">
      <w:pPr>
        <w:spacing w:line="500" w:lineRule="atLeast"/>
        <w:ind w:firstLine="600"/>
        <w:divId w:val="1202061720"/>
        <w:rPr>
          <w:rFonts w:hint="eastAsia"/>
          <w:sz w:val="30"/>
          <w:szCs w:val="30"/>
        </w:rPr>
      </w:pP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被告瑞慈公司、方宜新在广州的同一区域天河区，注册成立了广州瑞慈中信门诊部公司（以下简称中信门诊部），中信门诊部经营范围同样包括：疾病预防控制中心、门诊部（所）、妇幼保健院（所、站）、社区卫生服务中心（站）、专科疾病防治院（所、站）、精神康复服务、临床检验服务等。</w:t>
      </w:r>
    </w:p>
    <w:p w:rsidR="00000000" w:rsidRDefault="00857B94">
      <w:pPr>
        <w:spacing w:line="500" w:lineRule="atLeast"/>
        <w:ind w:firstLine="600"/>
        <w:divId w:val="841890888"/>
        <w:rPr>
          <w:rFonts w:hint="eastAsia"/>
          <w:sz w:val="30"/>
          <w:szCs w:val="30"/>
        </w:rPr>
      </w:pPr>
      <w:r>
        <w:rPr>
          <w:rFonts w:hint="eastAsia"/>
          <w:sz w:val="30"/>
          <w:szCs w:val="30"/>
        </w:rPr>
        <w:t>因国金门诊部与中信门诊部的经</w:t>
      </w:r>
      <w:r>
        <w:rPr>
          <w:rFonts w:hint="eastAsia"/>
          <w:sz w:val="30"/>
          <w:szCs w:val="30"/>
        </w:rPr>
        <w:t>营区域、经营范围、主要客户、业务收入等高度重合，两公司经营业务相同，属于相互替代的市场竞争对手，即被告方宜新利用实际控制人的地位以及董事、高管的职务便利，自营与其所任职公司的同类业务。依照《中华人民共和国公司法》及相关司法解释的规定，被告方宜新自营与任职公司的同类业务，所得收入应当归公司所有。更为恶劣的是，国金门诊部与中信门诊部两家公司的管理人员以及销售人员均为同一班人员，同一个团队，高管及销售人员的薪资报酬、办公成本等基本由国金门诊部承担。</w:t>
      </w:r>
    </w:p>
    <w:p w:rsidR="00000000" w:rsidRDefault="00857B94">
      <w:pPr>
        <w:spacing w:line="500" w:lineRule="atLeast"/>
        <w:ind w:firstLine="600"/>
        <w:divId w:val="963851715"/>
        <w:rPr>
          <w:rFonts w:hint="eastAsia"/>
          <w:sz w:val="30"/>
          <w:szCs w:val="30"/>
        </w:rPr>
      </w:pP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日，被告瑞慈公司、方宜新未曾召开股东会进行任何</w:t>
      </w:r>
      <w:r>
        <w:rPr>
          <w:rFonts w:hint="eastAsia"/>
          <w:sz w:val="30"/>
          <w:szCs w:val="30"/>
        </w:rPr>
        <w:t>说明或决议，直接利用其实际控制人的身份，将公司主要经营场地无偿提供给被告瑞慈公司作为办公场所使用至</w:t>
      </w:r>
      <w:r>
        <w:rPr>
          <w:rFonts w:hint="eastAsia"/>
          <w:sz w:val="30"/>
          <w:szCs w:val="30"/>
        </w:rPr>
        <w:lastRenderedPageBreak/>
        <w:t>今。按照该写字楼市场租金</w:t>
      </w:r>
      <w:r>
        <w:rPr>
          <w:rFonts w:hint="eastAsia"/>
          <w:sz w:val="30"/>
          <w:szCs w:val="30"/>
        </w:rPr>
        <w:t>250</w:t>
      </w:r>
      <w:r>
        <w:rPr>
          <w:rFonts w:hint="eastAsia"/>
          <w:sz w:val="30"/>
          <w:szCs w:val="30"/>
        </w:rPr>
        <w:t>元</w:t>
      </w:r>
      <w:r>
        <w:rPr>
          <w:rFonts w:hint="eastAsia"/>
          <w:sz w:val="30"/>
          <w:szCs w:val="30"/>
        </w:rPr>
        <w:t>/</w:t>
      </w:r>
      <w:r>
        <w:rPr>
          <w:rFonts w:hint="eastAsia"/>
          <w:sz w:val="30"/>
          <w:szCs w:val="30"/>
        </w:rPr>
        <w:t>平方米估算，即使被告瑞慈公司占用其中</w:t>
      </w:r>
      <w:r>
        <w:rPr>
          <w:rFonts w:hint="eastAsia"/>
          <w:sz w:val="30"/>
          <w:szCs w:val="30"/>
        </w:rPr>
        <w:t>100</w:t>
      </w:r>
      <w:r>
        <w:rPr>
          <w:rFonts w:hint="eastAsia"/>
          <w:sz w:val="30"/>
          <w:szCs w:val="30"/>
        </w:rPr>
        <w:t>平方米作为办公用途，至今共</w:t>
      </w:r>
      <w:r>
        <w:rPr>
          <w:rFonts w:hint="eastAsia"/>
          <w:sz w:val="30"/>
          <w:szCs w:val="30"/>
        </w:rPr>
        <w:t>35</w:t>
      </w:r>
      <w:r>
        <w:rPr>
          <w:rFonts w:hint="eastAsia"/>
          <w:sz w:val="30"/>
          <w:szCs w:val="30"/>
        </w:rPr>
        <w:t>个月应付公司租金至少</w:t>
      </w:r>
      <w:r>
        <w:rPr>
          <w:rFonts w:hint="eastAsia"/>
          <w:sz w:val="30"/>
          <w:szCs w:val="30"/>
        </w:rPr>
        <w:t>875000</w:t>
      </w:r>
      <w:r>
        <w:rPr>
          <w:rFonts w:hint="eastAsia"/>
          <w:sz w:val="30"/>
          <w:szCs w:val="30"/>
        </w:rPr>
        <w:t>元。原告作为持股</w:t>
      </w:r>
      <w:r>
        <w:rPr>
          <w:rFonts w:hint="eastAsia"/>
          <w:sz w:val="30"/>
          <w:szCs w:val="30"/>
        </w:rPr>
        <w:t>10%</w:t>
      </w:r>
      <w:r>
        <w:rPr>
          <w:rFonts w:hint="eastAsia"/>
          <w:sz w:val="30"/>
          <w:szCs w:val="30"/>
        </w:rPr>
        <w:t>的自然人股东，为维护公司及自身合法权益，特向法院提起诉讼，望判如所请。</w:t>
      </w:r>
    </w:p>
    <w:p w:rsidR="00000000" w:rsidRDefault="00857B94">
      <w:pPr>
        <w:spacing w:line="500" w:lineRule="atLeast"/>
        <w:ind w:firstLine="600"/>
        <w:divId w:val="69549626"/>
        <w:rPr>
          <w:rFonts w:hint="eastAsia"/>
          <w:sz w:val="30"/>
          <w:szCs w:val="30"/>
        </w:rPr>
      </w:pPr>
      <w:r>
        <w:rPr>
          <w:rFonts w:hint="eastAsia"/>
          <w:sz w:val="30"/>
          <w:szCs w:val="30"/>
        </w:rPr>
        <w:t>被告瑞慈公司辩称：一、本案存在两个不同的案由及法律关系，应分别诉讼，韦品清将其作为一个案件起诉程序不合法。韦品清的第一个诉请中，我司与韦品清均为国金门诊部的股东，该请求为侵权之诉，请</w:t>
      </w:r>
      <w:r>
        <w:rPr>
          <w:rFonts w:hint="eastAsia"/>
          <w:sz w:val="30"/>
          <w:szCs w:val="30"/>
        </w:rPr>
        <w:t>求权基础为《公司法》第</w:t>
      </w:r>
      <w:r>
        <w:rPr>
          <w:rFonts w:hint="eastAsia"/>
          <w:sz w:val="30"/>
          <w:szCs w:val="30"/>
        </w:rPr>
        <w:t>21</w:t>
      </w:r>
      <w:r>
        <w:rPr>
          <w:rFonts w:hint="eastAsia"/>
          <w:sz w:val="30"/>
          <w:szCs w:val="30"/>
        </w:rPr>
        <w:t>条。而韦品清的第二项诉请系股东代表公司行使归入权，请求权基础为《公司法》第</w:t>
      </w:r>
      <w:r>
        <w:rPr>
          <w:rFonts w:hint="eastAsia"/>
          <w:sz w:val="30"/>
          <w:szCs w:val="30"/>
        </w:rPr>
        <w:t>148</w:t>
      </w:r>
      <w:r>
        <w:rPr>
          <w:rFonts w:hint="eastAsia"/>
          <w:sz w:val="30"/>
          <w:szCs w:val="30"/>
        </w:rPr>
        <w:t>条。上述两项诉请分属不同的法律关系，不同案由，应分别起诉。二、我司仅系持股平台，并未经营任何业务，从未占用国金门诊部的办公场地。《无偿提供场地使用证明》及《关于广州瑞慈国金门诊部有限公司与广州瑞慈投资有限公司协同办公的确认函》，仅是因工商登记需要而配合出具，事实上我司自始至终未实际使用过该场地。韦品清起诉请求我司支付自</w:t>
      </w:r>
      <w:r>
        <w:rPr>
          <w:rFonts w:hint="eastAsia"/>
          <w:sz w:val="30"/>
          <w:szCs w:val="30"/>
        </w:rPr>
        <w:t>2015</w:t>
      </w:r>
      <w:r>
        <w:rPr>
          <w:rFonts w:hint="eastAsia"/>
          <w:sz w:val="30"/>
          <w:szCs w:val="30"/>
        </w:rPr>
        <w:t>年</w:t>
      </w:r>
      <w:r>
        <w:rPr>
          <w:rFonts w:hint="eastAsia"/>
          <w:sz w:val="30"/>
          <w:szCs w:val="30"/>
        </w:rPr>
        <w:t>7</w:t>
      </w:r>
      <w:r>
        <w:rPr>
          <w:rFonts w:hint="eastAsia"/>
          <w:sz w:val="30"/>
          <w:szCs w:val="30"/>
        </w:rPr>
        <w:t>月以来的场地租金缺乏事实依据。</w:t>
      </w:r>
    </w:p>
    <w:p w:rsidR="00000000" w:rsidRDefault="00857B94">
      <w:pPr>
        <w:spacing w:line="500" w:lineRule="atLeast"/>
        <w:ind w:firstLine="600"/>
        <w:divId w:val="1118448808"/>
        <w:rPr>
          <w:rFonts w:hint="eastAsia"/>
          <w:sz w:val="30"/>
          <w:szCs w:val="30"/>
        </w:rPr>
      </w:pPr>
      <w:r>
        <w:rPr>
          <w:rFonts w:hint="eastAsia"/>
          <w:sz w:val="30"/>
          <w:szCs w:val="30"/>
        </w:rPr>
        <w:t>被告方宜新辩称：一、本案存在两个不同的案由</w:t>
      </w:r>
      <w:r>
        <w:rPr>
          <w:rFonts w:hint="eastAsia"/>
          <w:sz w:val="30"/>
          <w:szCs w:val="30"/>
        </w:rPr>
        <w:t>及法律关系，应分别诉讼，韦品清将其作为一个案件起诉程序不合法。韦品清的第一个诉请中，瑞慈公司与韦品清均为国金门诊部的股东，该请求为侵权之诉，请求权基础为《公司法》第</w:t>
      </w:r>
      <w:r>
        <w:rPr>
          <w:rFonts w:hint="eastAsia"/>
          <w:sz w:val="30"/>
          <w:szCs w:val="30"/>
        </w:rPr>
        <w:t>21</w:t>
      </w:r>
      <w:r>
        <w:rPr>
          <w:rFonts w:hint="eastAsia"/>
          <w:sz w:val="30"/>
          <w:szCs w:val="30"/>
        </w:rPr>
        <w:t>条。而韦品清的第二项诉请系股东代表公司行使归入权，请求权基础为《公司法》第</w:t>
      </w:r>
      <w:r>
        <w:rPr>
          <w:rFonts w:hint="eastAsia"/>
          <w:sz w:val="30"/>
          <w:szCs w:val="30"/>
        </w:rPr>
        <w:t>148</w:t>
      </w:r>
      <w:r>
        <w:rPr>
          <w:rFonts w:hint="eastAsia"/>
          <w:sz w:val="30"/>
          <w:szCs w:val="30"/>
        </w:rPr>
        <w:t>条。上述两项诉请分属不同的法律关系，不同案由，应分别起诉。二、我方仅为工商登记的挂名董事兼总经理，并未实际负责国金门诊部的具体经营事务。我方目前担任上市公司瑞慈医疗服务控股有限公司的董事长、董事会主席，主要工作重心是制定上市公司的重大战略，把握上市公司的发展方向。</w:t>
      </w:r>
      <w:r>
        <w:rPr>
          <w:rFonts w:hint="eastAsia"/>
          <w:sz w:val="30"/>
          <w:szCs w:val="30"/>
        </w:rPr>
        <w:t>虽然旗下多家下属分</w:t>
      </w:r>
      <w:r>
        <w:rPr>
          <w:rFonts w:hint="eastAsia"/>
          <w:sz w:val="30"/>
          <w:szCs w:val="30"/>
        </w:rPr>
        <w:t>/</w:t>
      </w:r>
      <w:r>
        <w:rPr>
          <w:rFonts w:hint="eastAsia"/>
          <w:sz w:val="30"/>
          <w:szCs w:val="30"/>
        </w:rPr>
        <w:t>子公司在工商登记时将我方登记为法定代表人或董事、总经理，但实际上我方从不参与具体经营。我方在国金门诊部、中信门诊部均是挂名的执行董事兼总经理，从未参与个体经营事务。三、中信门诊部与国金门诊部系促进关系而非竞争关系，我方并未利用职务便利谋取属于国金门诊部的商业机会。瑞慈是以体检为主业，在全国布局的大型民营医疗集团。在广州仅设立一家门诊部显然无法满足市场需求。国金门诊部和中信门诊部虽然都登记在天河区，但两者相距并不近，不存在相互抢夺客户资源的情况。同时，由于使用共同的瑞慈品牌，还有助于相互宣</w:t>
      </w:r>
      <w:r>
        <w:rPr>
          <w:rFonts w:hint="eastAsia"/>
          <w:sz w:val="30"/>
          <w:szCs w:val="30"/>
        </w:rPr>
        <w:t>传促进，共同提升品牌知名度、扩大市场占有率。此外，由于我方并不实际负责两公司的具体业务，根本不存在利用职务便利谋取属于国金门诊部的商业机会。四、国金门诊部与中信门诊部的办公场地、管理团队相互独立，不存在国金门诊部承担中信门诊部的人员工资及办公成本的情形。五、我方在中信门诊部、国金门诊部均未领取过报酬，目前两门诊部均处于亏损状态，并无原告所谓的“自营业务所得收入”。</w:t>
      </w:r>
    </w:p>
    <w:p w:rsidR="00000000" w:rsidRDefault="00857B94">
      <w:pPr>
        <w:spacing w:line="500" w:lineRule="atLeast"/>
        <w:ind w:firstLine="600"/>
        <w:divId w:val="1163738225"/>
        <w:rPr>
          <w:rFonts w:hint="eastAsia"/>
          <w:sz w:val="30"/>
          <w:szCs w:val="30"/>
        </w:rPr>
      </w:pPr>
      <w:r>
        <w:rPr>
          <w:rFonts w:hint="eastAsia"/>
          <w:sz w:val="30"/>
          <w:szCs w:val="30"/>
        </w:rPr>
        <w:t>经审理查明：国金门诊部系于</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日登记成立的有限责任公司，注册资本为</w:t>
      </w:r>
      <w:r>
        <w:rPr>
          <w:rFonts w:hint="eastAsia"/>
          <w:sz w:val="30"/>
          <w:szCs w:val="30"/>
        </w:rPr>
        <w:t>1500</w:t>
      </w:r>
      <w:r>
        <w:rPr>
          <w:rFonts w:hint="eastAsia"/>
          <w:sz w:val="30"/>
          <w:szCs w:val="30"/>
        </w:rPr>
        <w:t>万元，股东为韦品清和瑞慈公司，方宜新任门诊部的法定代表人</w:t>
      </w:r>
      <w:r>
        <w:rPr>
          <w:rFonts w:hint="eastAsia"/>
          <w:sz w:val="30"/>
          <w:szCs w:val="30"/>
        </w:rPr>
        <w:t>。门诊部位于广州市天河区珠江西路</w:t>
      </w:r>
      <w:r>
        <w:rPr>
          <w:rFonts w:hint="eastAsia"/>
          <w:sz w:val="30"/>
          <w:szCs w:val="30"/>
        </w:rPr>
        <w:t>5</w:t>
      </w:r>
      <w:r>
        <w:rPr>
          <w:rFonts w:hint="eastAsia"/>
          <w:sz w:val="30"/>
          <w:szCs w:val="30"/>
        </w:rPr>
        <w:t>号广州国际金融中心主塔写字楼第</w:t>
      </w:r>
      <w:r>
        <w:rPr>
          <w:rFonts w:hint="eastAsia"/>
          <w:sz w:val="30"/>
          <w:szCs w:val="30"/>
        </w:rPr>
        <w:t>51</w:t>
      </w:r>
      <w:r>
        <w:rPr>
          <w:rFonts w:hint="eastAsia"/>
          <w:sz w:val="30"/>
          <w:szCs w:val="30"/>
        </w:rPr>
        <w:t>层</w:t>
      </w:r>
      <w:r>
        <w:rPr>
          <w:rFonts w:hint="eastAsia"/>
          <w:sz w:val="30"/>
          <w:szCs w:val="30"/>
        </w:rPr>
        <w:t>02-06</w:t>
      </w:r>
      <w:r>
        <w:rPr>
          <w:rFonts w:hint="eastAsia"/>
          <w:sz w:val="30"/>
          <w:szCs w:val="30"/>
        </w:rPr>
        <w:t>单元（以下简称涉案场地），经营范围为疾病预防控制中心、门诊部（所）、妇幼保健院（所、站）、社区卫生服务中心（站）、专科疾病防治院（所、站）、精神康复服务、临床检验服务。</w:t>
      </w:r>
    </w:p>
    <w:p w:rsidR="00000000" w:rsidRDefault="00857B94">
      <w:pPr>
        <w:spacing w:line="500" w:lineRule="atLeast"/>
        <w:ind w:firstLine="600"/>
        <w:divId w:val="1296108369"/>
        <w:rPr>
          <w:rFonts w:hint="eastAsia"/>
          <w:sz w:val="30"/>
          <w:szCs w:val="30"/>
        </w:rPr>
      </w:pP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日，中信门诊部经核准成立，股东为瑞慈公司，法定代表人为方宜新（章程规定执行董事为门诊部法定代表人），注册资本为</w:t>
      </w:r>
      <w:r>
        <w:rPr>
          <w:rFonts w:hint="eastAsia"/>
          <w:sz w:val="30"/>
          <w:szCs w:val="30"/>
        </w:rPr>
        <w:t>1500</w:t>
      </w:r>
      <w:r>
        <w:rPr>
          <w:rFonts w:hint="eastAsia"/>
          <w:sz w:val="30"/>
          <w:szCs w:val="30"/>
        </w:rPr>
        <w:t>万元，经营地址为广州市天河区天河北路</w:t>
      </w:r>
      <w:r>
        <w:rPr>
          <w:rFonts w:hint="eastAsia"/>
          <w:sz w:val="30"/>
          <w:szCs w:val="30"/>
        </w:rPr>
        <w:t>366</w:t>
      </w:r>
      <w:r>
        <w:rPr>
          <w:rFonts w:hint="eastAsia"/>
          <w:sz w:val="30"/>
          <w:szCs w:val="30"/>
        </w:rPr>
        <w:t>号三层商场自编</w:t>
      </w:r>
      <w:r>
        <w:rPr>
          <w:rFonts w:hint="eastAsia"/>
          <w:sz w:val="30"/>
          <w:szCs w:val="30"/>
        </w:rPr>
        <w:t>301</w:t>
      </w:r>
      <w:r>
        <w:rPr>
          <w:rFonts w:hint="eastAsia"/>
          <w:sz w:val="30"/>
          <w:szCs w:val="30"/>
        </w:rPr>
        <w:t>房，经营范围与国金门诊部大致相同。现该门诊部股东变更为潘松涛、上</w:t>
      </w:r>
      <w:r>
        <w:rPr>
          <w:rFonts w:hint="eastAsia"/>
          <w:sz w:val="30"/>
          <w:szCs w:val="30"/>
        </w:rPr>
        <w:t>海欣投健康管理咨询有限公司、上海新东吴优胜资产管理有限公司及瑞慈公司。</w:t>
      </w:r>
    </w:p>
    <w:p w:rsidR="00000000" w:rsidRDefault="00857B94">
      <w:pPr>
        <w:spacing w:line="500" w:lineRule="atLeast"/>
        <w:ind w:firstLine="600"/>
        <w:divId w:val="966009394"/>
        <w:rPr>
          <w:rFonts w:hint="eastAsia"/>
          <w:sz w:val="30"/>
          <w:szCs w:val="30"/>
        </w:rPr>
      </w:pPr>
      <w:r>
        <w:rPr>
          <w:rFonts w:hint="eastAsia"/>
          <w:sz w:val="30"/>
          <w:szCs w:val="30"/>
        </w:rPr>
        <w:t>现韦品清以瑞慈公司占用国金门诊部办公场地，方宜新作为国金门诊部的实际控制人、执行董事、法定代表人、经理擅自设立中信门诊部，经营与国金门诊部相同的业务，侵害了国金门诊部的权益为由，提起本案诉讼。庭审中，韦品清明确本案中仅对方宜新实施的侵权行为进行处理，本院遂据此确定本案的审理范围为方宜新是否实施有关侵权行为，应否承担责任。至于瑞慈公司占用办公场地的事实因与本案审理的损害公司利益责任纠纷分属不同的法律关系，不属于本案审理范围，本院告知韦品清</w:t>
      </w:r>
      <w:r>
        <w:rPr>
          <w:rFonts w:hint="eastAsia"/>
          <w:sz w:val="30"/>
          <w:szCs w:val="30"/>
        </w:rPr>
        <w:t>另案主张，韦品清表示清楚。</w:t>
      </w:r>
    </w:p>
    <w:p w:rsidR="00000000" w:rsidRDefault="00857B94">
      <w:pPr>
        <w:spacing w:line="500" w:lineRule="atLeast"/>
        <w:ind w:firstLine="600"/>
        <w:divId w:val="1784574997"/>
        <w:rPr>
          <w:rFonts w:hint="eastAsia"/>
          <w:sz w:val="30"/>
          <w:szCs w:val="30"/>
        </w:rPr>
      </w:pPr>
      <w:r>
        <w:rPr>
          <w:rFonts w:hint="eastAsia"/>
          <w:sz w:val="30"/>
          <w:szCs w:val="30"/>
        </w:rPr>
        <w:t>对于方宜新在国金门诊部的任职，双方均确认其担任国金门诊部的执行董事兼总经理和法定代表人。对于方宜新的侵权事实，韦品清称方宜新是国金门诊部和瑞慈公司的实际控制人，其开设中信门诊部对外宣称都是瑞慈医疗集团，管理人员和销售人员与国金门诊部的都是同一班人、同一个团队，但人员薪酬和经营费用都由国金门诊部负担，收益却归中信门诊部，侵害了国金门诊部的利益，且方宜新作为瑞慈公司的大股东与瑞慈公司共同实施了侵占国金门诊部的场地的行为，也构成侵权。</w:t>
      </w:r>
    </w:p>
    <w:p w:rsidR="00000000" w:rsidRDefault="00857B94">
      <w:pPr>
        <w:spacing w:line="500" w:lineRule="atLeast"/>
        <w:ind w:firstLine="600"/>
        <w:divId w:val="1736124349"/>
        <w:rPr>
          <w:rFonts w:hint="eastAsia"/>
          <w:sz w:val="30"/>
          <w:szCs w:val="30"/>
        </w:rPr>
      </w:pPr>
      <w:r>
        <w:rPr>
          <w:rFonts w:hint="eastAsia"/>
          <w:sz w:val="30"/>
          <w:szCs w:val="30"/>
        </w:rPr>
        <w:t>对此，韦品清提供了一份其自行整理的对话文稿和一份《</w:t>
      </w:r>
      <w:r>
        <w:rPr>
          <w:rFonts w:hint="eastAsia"/>
          <w:sz w:val="30"/>
          <w:szCs w:val="30"/>
        </w:rPr>
        <w:t>无偿提供场地使用证明》证明。韦品清称文稿是其与国金门诊部经理唐和平的对话录音内容，但并未提供对话录音音频。文稿内容显示韦品清以拟转让所持</w:t>
      </w:r>
      <w:r>
        <w:rPr>
          <w:rFonts w:hint="eastAsia"/>
          <w:sz w:val="30"/>
          <w:szCs w:val="30"/>
        </w:rPr>
        <w:t>10%</w:t>
      </w:r>
      <w:r>
        <w:rPr>
          <w:rFonts w:hint="eastAsia"/>
          <w:sz w:val="30"/>
          <w:szCs w:val="30"/>
        </w:rPr>
        <w:t>股权为由，问及有关国金门诊部的经营情况，对方仅作简要回复。《无偿提供场地使用证明》显示为国金门诊部于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盖章出具，内容为国金门诊部同意将涉案场地无偿提供给瑞慈公司作办公使用。对于方宜新与瑞慈公司的关系，韦品清则提供了一份瑞慈医疗服务控股有限公司的招股说明书（节选）证明。经质证，瑞慈公司和方宜新以对话文稿不符合电子证据基本要求，且无法证明待证事实为由，对</w:t>
      </w:r>
      <w:r>
        <w:rPr>
          <w:rFonts w:hint="eastAsia"/>
          <w:sz w:val="30"/>
          <w:szCs w:val="30"/>
        </w:rPr>
        <w:t>该证据的真实性不予确认。对《无偿提供场地使用证明》，瑞慈公司和方宜新表示对其真实性无异议，但该证明仅是在工商登记时应登记部门的要求出具的，瑞慈公司是一家持股平台公司，自身并未经营业务，也未实际使用涉案场地，该场地一直由国金门诊部作为体检中心使用。至于招股说明书，瑞慈公司和方宜新认为恰好证明方宜新作为一家港股上市公司的董事长负责的是整个集团的战略方向及运营计划，其虽然登记为国金门诊部的执行董事，但对于具体经营事务从未实际进行过管理，而是由经营团队负责，同时从相关记录可知方宜新被登记为多家瑞慈医疗集团公司的法定</w:t>
      </w:r>
      <w:r>
        <w:rPr>
          <w:rFonts w:hint="eastAsia"/>
          <w:sz w:val="30"/>
          <w:szCs w:val="30"/>
        </w:rPr>
        <w:t>代表人及执行董事，这是基于集团一体性的考虑，并不能以此武断的推断出方宜新利用实际控制人的地位及董事的职务便利，自营同类业务损害国金门诊部的利益。</w:t>
      </w:r>
    </w:p>
    <w:p w:rsidR="00000000" w:rsidRDefault="00857B94">
      <w:pPr>
        <w:spacing w:line="500" w:lineRule="atLeast"/>
        <w:ind w:firstLine="600"/>
        <w:divId w:val="112018293"/>
        <w:rPr>
          <w:rFonts w:hint="eastAsia"/>
          <w:sz w:val="30"/>
          <w:szCs w:val="30"/>
        </w:rPr>
      </w:pPr>
      <w:r>
        <w:rPr>
          <w:rFonts w:hint="eastAsia"/>
          <w:sz w:val="30"/>
          <w:szCs w:val="30"/>
        </w:rPr>
        <w:t>庭审中，韦品清明确其第一项诉请即依据《中华人民共和国公司法》第一百四十八条，要求方宜新将其个人在瑞慈公司的</w:t>
      </w:r>
      <w:r>
        <w:rPr>
          <w:rFonts w:hint="eastAsia"/>
          <w:sz w:val="30"/>
          <w:szCs w:val="30"/>
        </w:rPr>
        <w:t>2015</w:t>
      </w:r>
      <w:r>
        <w:rPr>
          <w:rFonts w:hint="eastAsia"/>
          <w:sz w:val="30"/>
          <w:szCs w:val="30"/>
        </w:rPr>
        <w:t>年</w:t>
      </w:r>
      <w:r>
        <w:rPr>
          <w:rFonts w:hint="eastAsia"/>
          <w:sz w:val="30"/>
          <w:szCs w:val="30"/>
        </w:rPr>
        <w:t>2</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6</w:t>
      </w:r>
      <w:r>
        <w:rPr>
          <w:rFonts w:hint="eastAsia"/>
          <w:sz w:val="30"/>
          <w:szCs w:val="30"/>
        </w:rPr>
        <w:t>月的业务收入归入国金门诊部。对于该收入期间，韦品清称因</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日是方宜新操纵国金门诊部无偿提供场地证明的时间。与此同时，韦品清亦确认涉案场地是由国金门诊部和瑞慈公司共同使用的，即瑞慈公司对外宣称涉案场地为其办公场地，同时，</w:t>
      </w:r>
      <w:r>
        <w:rPr>
          <w:rFonts w:hint="eastAsia"/>
          <w:sz w:val="30"/>
          <w:szCs w:val="30"/>
        </w:rPr>
        <w:t>国金门诊部也在正常使用涉案场地，无法区分瑞慈公司单独占用的面积。</w:t>
      </w:r>
    </w:p>
    <w:p w:rsidR="00000000" w:rsidRDefault="00857B94">
      <w:pPr>
        <w:spacing w:line="500" w:lineRule="atLeast"/>
        <w:ind w:firstLine="600"/>
        <w:divId w:val="1926256685"/>
        <w:rPr>
          <w:rFonts w:hint="eastAsia"/>
          <w:sz w:val="30"/>
          <w:szCs w:val="30"/>
        </w:rPr>
      </w:pPr>
      <w:r>
        <w:rPr>
          <w:rFonts w:hint="eastAsia"/>
          <w:sz w:val="30"/>
          <w:szCs w:val="30"/>
        </w:rPr>
        <w:t>另查明，瑞慈公司成立于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日，现登记显示为法人独资的有限责任公司，股东为南通浩泽医疗管理有限公司，法定代表人为梅红。</w:t>
      </w:r>
    </w:p>
    <w:p w:rsidR="00000000" w:rsidRDefault="00857B94">
      <w:pPr>
        <w:spacing w:line="500" w:lineRule="atLeast"/>
        <w:ind w:firstLine="600"/>
        <w:divId w:val="1610576989"/>
        <w:rPr>
          <w:rFonts w:hint="eastAsia"/>
          <w:sz w:val="30"/>
          <w:szCs w:val="30"/>
        </w:rPr>
      </w:pPr>
      <w:r>
        <w:rPr>
          <w:rFonts w:hint="eastAsia"/>
          <w:sz w:val="30"/>
          <w:szCs w:val="30"/>
        </w:rPr>
        <w:t>本院认为：本案为损害公司利益责任纠纷，根据《中华人民共和国公司法》第一百四十七条至一百四十八条的规定：董事、监事、高级管理人员应当遵守法律、行政法规和公司章程</w:t>
      </w:r>
      <w:r>
        <w:rPr>
          <w:rFonts w:hint="eastAsia"/>
          <w:sz w:val="30"/>
          <w:szCs w:val="30"/>
        </w:rPr>
        <w:t>,</w:t>
      </w:r>
      <w:r>
        <w:rPr>
          <w:rFonts w:hint="eastAsia"/>
          <w:sz w:val="30"/>
          <w:szCs w:val="30"/>
        </w:rPr>
        <w:t>对公司负有忠实义务和勤勉义务；董事、高级管理人员未经股东会或者股东大会同意</w:t>
      </w:r>
      <w:r>
        <w:rPr>
          <w:rFonts w:hint="eastAsia"/>
          <w:sz w:val="30"/>
          <w:szCs w:val="30"/>
        </w:rPr>
        <w:t>,</w:t>
      </w:r>
      <w:r>
        <w:rPr>
          <w:rFonts w:hint="eastAsia"/>
          <w:sz w:val="30"/>
          <w:szCs w:val="30"/>
        </w:rPr>
        <w:t>不得利用职务便利为自己或者他人谋取属于公司的商业机会</w:t>
      </w:r>
      <w:r>
        <w:rPr>
          <w:rFonts w:hint="eastAsia"/>
          <w:sz w:val="30"/>
          <w:szCs w:val="30"/>
        </w:rPr>
        <w:t>,</w:t>
      </w:r>
      <w:r>
        <w:rPr>
          <w:rFonts w:hint="eastAsia"/>
          <w:sz w:val="30"/>
          <w:szCs w:val="30"/>
        </w:rPr>
        <w:t>自营或者为他人经营与所任职</w:t>
      </w:r>
      <w:r>
        <w:rPr>
          <w:rFonts w:hint="eastAsia"/>
          <w:sz w:val="30"/>
          <w:szCs w:val="30"/>
        </w:rPr>
        <w:t>公司同类的业务；董事、高级管理人员违反前款规定所得的收入应当归公司所有。韦品清依据上述法律规定，主张方宜新实施了有关同业竞争行为及侵占国金门诊部场地的行为，对国金门诊部的利益造成侵害，韦品清理应对上述侵权事实予以举证证明。现从韦品清的举证情况看，现有证据仅证明方宜新同时担任了国金门诊部和中信门诊部的执行董事和法定代表人，但现并无证据证明该任职行为违反了国金门诊部有关章程的约定。在无证据证明国金门诊部曾就公司高管的任职作出限制性约定的情况下，上述任职行为并不能直接认定为侵害国金门诊部的利益。此外，韦品清亦无法</w:t>
      </w:r>
      <w:r>
        <w:rPr>
          <w:rFonts w:hint="eastAsia"/>
          <w:sz w:val="30"/>
          <w:szCs w:val="30"/>
        </w:rPr>
        <w:t>证明方宜新实施了侵占国金门诊部场地的侵权行为。而从韦品清的诉请主张看，对于方宜新是否从瑞慈公司获得收入及该收入与侵权行为之间有何关联等事实亦无相应证据证明。故韦品清以方宜新违反《中华人民共和国公司法》第一百四十八条的规定为由，要求方宜新将其</w:t>
      </w:r>
      <w:r>
        <w:rPr>
          <w:rFonts w:hint="eastAsia"/>
          <w:sz w:val="30"/>
          <w:szCs w:val="30"/>
        </w:rPr>
        <w:t>2015</w:t>
      </w:r>
      <w:r>
        <w:rPr>
          <w:rFonts w:hint="eastAsia"/>
          <w:sz w:val="30"/>
          <w:szCs w:val="30"/>
        </w:rPr>
        <w:t>年</w:t>
      </w:r>
      <w:r>
        <w:rPr>
          <w:rFonts w:hint="eastAsia"/>
          <w:sz w:val="30"/>
          <w:szCs w:val="30"/>
        </w:rPr>
        <w:t>2</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6</w:t>
      </w:r>
      <w:r>
        <w:rPr>
          <w:rFonts w:hint="eastAsia"/>
          <w:sz w:val="30"/>
          <w:szCs w:val="30"/>
        </w:rPr>
        <w:t>月在瑞慈公司获取的收入归入国金门诊部，证据不足，本院不予支持。</w:t>
      </w:r>
    </w:p>
    <w:p w:rsidR="00000000" w:rsidRDefault="00857B94">
      <w:pPr>
        <w:spacing w:line="500" w:lineRule="atLeast"/>
        <w:ind w:firstLine="600"/>
        <w:divId w:val="1038816969"/>
        <w:rPr>
          <w:rFonts w:hint="eastAsia"/>
          <w:sz w:val="30"/>
          <w:szCs w:val="30"/>
        </w:rPr>
      </w:pPr>
      <w:r>
        <w:rPr>
          <w:rFonts w:hint="eastAsia"/>
          <w:sz w:val="30"/>
          <w:szCs w:val="30"/>
        </w:rPr>
        <w:t>至于瑞慈公司是否侵占国金门诊部场地的事实，因该事实不属于本案审理的法律关系范畴，且已告知韦品清另案主张，本院对此不予调处。</w:t>
      </w:r>
    </w:p>
    <w:p w:rsidR="00000000" w:rsidRDefault="00857B94">
      <w:pPr>
        <w:spacing w:line="500" w:lineRule="atLeast"/>
        <w:ind w:firstLine="600"/>
        <w:divId w:val="499349431"/>
        <w:rPr>
          <w:rFonts w:hint="eastAsia"/>
          <w:sz w:val="30"/>
          <w:szCs w:val="30"/>
        </w:rPr>
      </w:pPr>
      <w:r>
        <w:rPr>
          <w:rFonts w:hint="eastAsia"/>
          <w:sz w:val="30"/>
          <w:szCs w:val="30"/>
        </w:rPr>
        <w:t>综上所述，本院依照《中华人民共和国公司法》第一百四十七条</w:t>
      </w:r>
      <w:r>
        <w:rPr>
          <w:rFonts w:hint="eastAsia"/>
          <w:sz w:val="30"/>
          <w:szCs w:val="30"/>
        </w:rPr>
        <w:t>第一款、第一百四十八条，《中华人民共和国民事诉讼法》第六十四条第一款的规定，判决如下：</w:t>
      </w:r>
    </w:p>
    <w:p w:rsidR="00000000" w:rsidRDefault="00857B94">
      <w:pPr>
        <w:spacing w:line="500" w:lineRule="atLeast"/>
        <w:ind w:firstLine="600"/>
        <w:divId w:val="1186601246"/>
        <w:rPr>
          <w:rFonts w:hint="eastAsia"/>
          <w:sz w:val="30"/>
          <w:szCs w:val="30"/>
        </w:rPr>
      </w:pPr>
      <w:r>
        <w:rPr>
          <w:rFonts w:hint="eastAsia"/>
          <w:sz w:val="30"/>
          <w:szCs w:val="30"/>
        </w:rPr>
        <w:t>驳回原告韦品清的诉讼请求。</w:t>
      </w:r>
    </w:p>
    <w:p w:rsidR="00000000" w:rsidRDefault="00857B94">
      <w:pPr>
        <w:spacing w:line="500" w:lineRule="atLeast"/>
        <w:ind w:firstLine="600"/>
        <w:divId w:val="521868241"/>
        <w:rPr>
          <w:rFonts w:hint="eastAsia"/>
          <w:sz w:val="30"/>
          <w:szCs w:val="30"/>
        </w:rPr>
      </w:pPr>
      <w:r>
        <w:rPr>
          <w:rFonts w:hint="eastAsia"/>
          <w:sz w:val="30"/>
          <w:szCs w:val="30"/>
        </w:rPr>
        <w:t>案件受理费</w:t>
      </w:r>
      <w:r>
        <w:rPr>
          <w:rFonts w:hint="eastAsia"/>
          <w:sz w:val="30"/>
          <w:szCs w:val="30"/>
        </w:rPr>
        <w:t>50</w:t>
      </w:r>
      <w:r>
        <w:rPr>
          <w:rFonts w:hint="eastAsia"/>
          <w:sz w:val="30"/>
          <w:szCs w:val="30"/>
        </w:rPr>
        <w:t>元，由原告韦品清负担。</w:t>
      </w:r>
    </w:p>
    <w:p w:rsidR="00000000" w:rsidRDefault="00857B94">
      <w:pPr>
        <w:spacing w:line="500" w:lineRule="atLeast"/>
        <w:ind w:firstLine="600"/>
        <w:divId w:val="1400596761"/>
        <w:rPr>
          <w:rFonts w:hint="eastAsia"/>
          <w:sz w:val="30"/>
          <w:szCs w:val="30"/>
        </w:rPr>
      </w:pPr>
      <w:r>
        <w:rPr>
          <w:rFonts w:hint="eastAsia"/>
          <w:sz w:val="30"/>
          <w:szCs w:val="30"/>
        </w:rPr>
        <w:t>如不服本判决，可在判决书送达之日起十五日内，向本院递交上诉状，并按对方当事人的人数提出副本，上诉于广东省广州市中级人民法院。</w:t>
      </w:r>
    </w:p>
    <w:p w:rsidR="00000000" w:rsidRDefault="00857B94">
      <w:pPr>
        <w:spacing w:line="500" w:lineRule="atLeast"/>
        <w:jc w:val="right"/>
        <w:divId w:val="405956655"/>
        <w:rPr>
          <w:rFonts w:hint="eastAsia"/>
          <w:sz w:val="30"/>
          <w:szCs w:val="30"/>
        </w:rPr>
      </w:pPr>
      <w:r>
        <w:rPr>
          <w:rFonts w:hint="eastAsia"/>
          <w:sz w:val="30"/>
          <w:szCs w:val="30"/>
        </w:rPr>
        <w:t>审　判　长　　廖敏敏</w:t>
      </w:r>
    </w:p>
    <w:p w:rsidR="00000000" w:rsidRDefault="00857B94">
      <w:pPr>
        <w:spacing w:line="500" w:lineRule="atLeast"/>
        <w:jc w:val="right"/>
        <w:divId w:val="162477870"/>
        <w:rPr>
          <w:rFonts w:hint="eastAsia"/>
          <w:sz w:val="30"/>
          <w:szCs w:val="30"/>
        </w:rPr>
      </w:pPr>
      <w:r>
        <w:rPr>
          <w:rFonts w:hint="eastAsia"/>
          <w:sz w:val="30"/>
          <w:szCs w:val="30"/>
        </w:rPr>
        <w:t>人民陪审员　　刘彬山</w:t>
      </w:r>
    </w:p>
    <w:p w:rsidR="00000000" w:rsidRDefault="00857B94">
      <w:pPr>
        <w:spacing w:line="500" w:lineRule="atLeast"/>
        <w:jc w:val="right"/>
        <w:divId w:val="80220802"/>
        <w:rPr>
          <w:rFonts w:hint="eastAsia"/>
          <w:sz w:val="30"/>
          <w:szCs w:val="30"/>
        </w:rPr>
      </w:pPr>
      <w:r>
        <w:rPr>
          <w:rFonts w:hint="eastAsia"/>
          <w:sz w:val="30"/>
          <w:szCs w:val="30"/>
        </w:rPr>
        <w:t>人民陪审员　　王海军</w:t>
      </w:r>
    </w:p>
    <w:p w:rsidR="00000000" w:rsidRDefault="00857B94">
      <w:pPr>
        <w:spacing w:line="500" w:lineRule="atLeast"/>
        <w:jc w:val="right"/>
        <w:divId w:val="267352713"/>
        <w:rPr>
          <w:rFonts w:hint="eastAsia"/>
          <w:sz w:val="30"/>
          <w:szCs w:val="30"/>
        </w:rPr>
      </w:pPr>
      <w:r>
        <w:rPr>
          <w:rFonts w:hint="eastAsia"/>
          <w:sz w:val="30"/>
          <w:szCs w:val="30"/>
        </w:rPr>
        <w:t>二〇一九年六月二十五日</w:t>
      </w:r>
    </w:p>
    <w:p w:rsidR="00000000" w:rsidRDefault="00857B94">
      <w:pPr>
        <w:spacing w:line="500" w:lineRule="atLeast"/>
        <w:jc w:val="right"/>
        <w:divId w:val="10499124"/>
        <w:rPr>
          <w:rFonts w:hint="eastAsia"/>
          <w:sz w:val="30"/>
          <w:szCs w:val="30"/>
        </w:rPr>
      </w:pPr>
      <w:r>
        <w:rPr>
          <w:rFonts w:hint="eastAsia"/>
          <w:sz w:val="30"/>
          <w:szCs w:val="30"/>
        </w:rPr>
        <w:t>书　记　员　　叶丽方</w:t>
      </w:r>
    </w:p>
    <w:p w:rsidR="00000000" w:rsidRDefault="00857B94">
      <w:pPr>
        <w:spacing w:line="500" w:lineRule="atLeast"/>
        <w:ind w:firstLine="600"/>
        <w:divId w:val="1488014807"/>
        <w:rPr>
          <w:rFonts w:hint="eastAsia"/>
          <w:sz w:val="30"/>
          <w:szCs w:val="30"/>
        </w:rPr>
      </w:pPr>
      <w:r>
        <w:rPr>
          <w:rFonts w:hint="eastAsia"/>
          <w:sz w:val="30"/>
          <w:szCs w:val="30"/>
        </w:rPr>
        <w:t>郭晶惠</w:t>
      </w:r>
    </w:p>
    <w:p w:rsidR="00000000" w:rsidRDefault="00857B94">
      <w:pPr>
        <w:spacing w:line="500" w:lineRule="atLeast"/>
        <w:ind w:firstLine="600"/>
        <w:divId w:val="1639919915"/>
        <w:rPr>
          <w:rFonts w:hint="eastAsia"/>
          <w:sz w:val="30"/>
          <w:szCs w:val="30"/>
        </w:rPr>
      </w:pPr>
      <w:r>
        <w:rPr>
          <w:rFonts w:hint="eastAsia"/>
          <w:sz w:val="30"/>
          <w:szCs w:val="30"/>
        </w:rPr>
        <w:t>傅敏玲</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B94" w:rsidRDefault="00857B94" w:rsidP="00857B94">
      <w:r>
        <w:separator/>
      </w:r>
    </w:p>
  </w:endnote>
  <w:endnote w:type="continuationSeparator" w:id="0">
    <w:p w:rsidR="00857B94" w:rsidRDefault="00857B94" w:rsidP="00857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B94" w:rsidRDefault="00857B94" w:rsidP="00857B94">
      <w:r>
        <w:separator/>
      </w:r>
    </w:p>
  </w:footnote>
  <w:footnote w:type="continuationSeparator" w:id="0">
    <w:p w:rsidR="00857B94" w:rsidRDefault="00857B94" w:rsidP="00857B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57B94"/>
    <w:rsid w:val="00857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57B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7B94"/>
    <w:rPr>
      <w:rFonts w:ascii="宋体" w:eastAsia="宋体" w:hAnsi="宋体" w:cs="宋体"/>
      <w:sz w:val="18"/>
      <w:szCs w:val="18"/>
    </w:rPr>
  </w:style>
  <w:style w:type="paragraph" w:styleId="a5">
    <w:name w:val="footer"/>
    <w:basedOn w:val="a"/>
    <w:link w:val="a6"/>
    <w:uiPriority w:val="99"/>
    <w:unhideWhenUsed/>
    <w:rsid w:val="00857B94"/>
    <w:pPr>
      <w:tabs>
        <w:tab w:val="center" w:pos="4153"/>
        <w:tab w:val="right" w:pos="8306"/>
      </w:tabs>
      <w:snapToGrid w:val="0"/>
    </w:pPr>
    <w:rPr>
      <w:sz w:val="18"/>
      <w:szCs w:val="18"/>
    </w:rPr>
  </w:style>
  <w:style w:type="character" w:customStyle="1" w:styleId="a6">
    <w:name w:val="页脚 字符"/>
    <w:basedOn w:val="a0"/>
    <w:link w:val="a5"/>
    <w:uiPriority w:val="99"/>
    <w:rsid w:val="00857B9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9124">
      <w:marLeft w:val="0"/>
      <w:marRight w:val="720"/>
      <w:marTop w:val="10"/>
      <w:marBottom w:val="10"/>
      <w:divBdr>
        <w:top w:val="none" w:sz="0" w:space="0" w:color="auto"/>
        <w:left w:val="none" w:sz="0" w:space="0" w:color="auto"/>
        <w:bottom w:val="none" w:sz="0" w:space="0" w:color="auto"/>
        <w:right w:val="none" w:sz="0" w:space="0" w:color="auto"/>
      </w:divBdr>
    </w:div>
    <w:div w:id="69549626">
      <w:marLeft w:val="0"/>
      <w:marRight w:val="0"/>
      <w:marTop w:val="10"/>
      <w:marBottom w:val="10"/>
      <w:divBdr>
        <w:top w:val="none" w:sz="0" w:space="0" w:color="auto"/>
        <w:left w:val="none" w:sz="0" w:space="0" w:color="auto"/>
        <w:bottom w:val="none" w:sz="0" w:space="0" w:color="auto"/>
        <w:right w:val="none" w:sz="0" w:space="0" w:color="auto"/>
      </w:divBdr>
    </w:div>
    <w:div w:id="80220802">
      <w:marLeft w:val="0"/>
      <w:marRight w:val="720"/>
      <w:marTop w:val="10"/>
      <w:marBottom w:val="10"/>
      <w:divBdr>
        <w:top w:val="none" w:sz="0" w:space="0" w:color="auto"/>
        <w:left w:val="none" w:sz="0" w:space="0" w:color="auto"/>
        <w:bottom w:val="none" w:sz="0" w:space="0" w:color="auto"/>
        <w:right w:val="none" w:sz="0" w:space="0" w:color="auto"/>
      </w:divBdr>
    </w:div>
    <w:div w:id="112018293">
      <w:marLeft w:val="0"/>
      <w:marRight w:val="0"/>
      <w:marTop w:val="10"/>
      <w:marBottom w:val="10"/>
      <w:divBdr>
        <w:top w:val="none" w:sz="0" w:space="0" w:color="auto"/>
        <w:left w:val="none" w:sz="0" w:space="0" w:color="auto"/>
        <w:bottom w:val="none" w:sz="0" w:space="0" w:color="auto"/>
        <w:right w:val="none" w:sz="0" w:space="0" w:color="auto"/>
      </w:divBdr>
    </w:div>
    <w:div w:id="162477870">
      <w:marLeft w:val="0"/>
      <w:marRight w:val="720"/>
      <w:marTop w:val="10"/>
      <w:marBottom w:val="10"/>
      <w:divBdr>
        <w:top w:val="none" w:sz="0" w:space="0" w:color="auto"/>
        <w:left w:val="none" w:sz="0" w:space="0" w:color="auto"/>
        <w:bottom w:val="none" w:sz="0" w:space="0" w:color="auto"/>
        <w:right w:val="none" w:sz="0" w:space="0" w:color="auto"/>
      </w:divBdr>
    </w:div>
    <w:div w:id="240720684">
      <w:marLeft w:val="0"/>
      <w:marRight w:val="0"/>
      <w:marTop w:val="10"/>
      <w:marBottom w:val="10"/>
      <w:divBdr>
        <w:top w:val="none" w:sz="0" w:space="0" w:color="auto"/>
        <w:left w:val="none" w:sz="0" w:space="0" w:color="auto"/>
        <w:bottom w:val="none" w:sz="0" w:space="0" w:color="auto"/>
        <w:right w:val="none" w:sz="0" w:space="0" w:color="auto"/>
      </w:divBdr>
    </w:div>
    <w:div w:id="267352713">
      <w:marLeft w:val="0"/>
      <w:marRight w:val="720"/>
      <w:marTop w:val="10"/>
      <w:marBottom w:val="10"/>
      <w:divBdr>
        <w:top w:val="none" w:sz="0" w:space="0" w:color="auto"/>
        <w:left w:val="none" w:sz="0" w:space="0" w:color="auto"/>
        <w:bottom w:val="none" w:sz="0" w:space="0" w:color="auto"/>
        <w:right w:val="none" w:sz="0" w:space="0" w:color="auto"/>
      </w:divBdr>
    </w:div>
    <w:div w:id="307981775">
      <w:marLeft w:val="0"/>
      <w:marRight w:val="0"/>
      <w:marTop w:val="10"/>
      <w:marBottom w:val="10"/>
      <w:divBdr>
        <w:top w:val="none" w:sz="0" w:space="0" w:color="auto"/>
        <w:left w:val="none" w:sz="0" w:space="0" w:color="auto"/>
        <w:bottom w:val="none" w:sz="0" w:space="0" w:color="auto"/>
        <w:right w:val="none" w:sz="0" w:space="0" w:color="auto"/>
      </w:divBdr>
    </w:div>
    <w:div w:id="405956655">
      <w:marLeft w:val="0"/>
      <w:marRight w:val="720"/>
      <w:marTop w:val="10"/>
      <w:marBottom w:val="10"/>
      <w:divBdr>
        <w:top w:val="none" w:sz="0" w:space="0" w:color="auto"/>
        <w:left w:val="none" w:sz="0" w:space="0" w:color="auto"/>
        <w:bottom w:val="none" w:sz="0" w:space="0" w:color="auto"/>
        <w:right w:val="none" w:sz="0" w:space="0" w:color="auto"/>
      </w:divBdr>
    </w:div>
    <w:div w:id="499349431">
      <w:marLeft w:val="0"/>
      <w:marRight w:val="0"/>
      <w:marTop w:val="10"/>
      <w:marBottom w:val="10"/>
      <w:divBdr>
        <w:top w:val="none" w:sz="0" w:space="0" w:color="auto"/>
        <w:left w:val="none" w:sz="0" w:space="0" w:color="auto"/>
        <w:bottom w:val="none" w:sz="0" w:space="0" w:color="auto"/>
        <w:right w:val="none" w:sz="0" w:space="0" w:color="auto"/>
      </w:divBdr>
    </w:div>
    <w:div w:id="521868241">
      <w:marLeft w:val="0"/>
      <w:marRight w:val="0"/>
      <w:marTop w:val="10"/>
      <w:marBottom w:val="10"/>
      <w:divBdr>
        <w:top w:val="none" w:sz="0" w:space="0" w:color="auto"/>
        <w:left w:val="none" w:sz="0" w:space="0" w:color="auto"/>
        <w:bottom w:val="none" w:sz="0" w:space="0" w:color="auto"/>
        <w:right w:val="none" w:sz="0" w:space="0" w:color="auto"/>
      </w:divBdr>
    </w:div>
    <w:div w:id="722601805">
      <w:marLeft w:val="0"/>
      <w:marRight w:val="0"/>
      <w:marTop w:val="10"/>
      <w:marBottom w:val="10"/>
      <w:divBdr>
        <w:top w:val="none" w:sz="0" w:space="0" w:color="auto"/>
        <w:left w:val="none" w:sz="0" w:space="0" w:color="auto"/>
        <w:bottom w:val="none" w:sz="0" w:space="0" w:color="auto"/>
        <w:right w:val="none" w:sz="0" w:space="0" w:color="auto"/>
      </w:divBdr>
    </w:div>
    <w:div w:id="809325942">
      <w:marLeft w:val="0"/>
      <w:marRight w:val="0"/>
      <w:marTop w:val="10"/>
      <w:marBottom w:val="10"/>
      <w:divBdr>
        <w:top w:val="none" w:sz="0" w:space="0" w:color="auto"/>
        <w:left w:val="none" w:sz="0" w:space="0" w:color="auto"/>
        <w:bottom w:val="none" w:sz="0" w:space="0" w:color="auto"/>
        <w:right w:val="none" w:sz="0" w:space="0" w:color="auto"/>
      </w:divBdr>
    </w:div>
    <w:div w:id="841890888">
      <w:marLeft w:val="0"/>
      <w:marRight w:val="0"/>
      <w:marTop w:val="10"/>
      <w:marBottom w:val="10"/>
      <w:divBdr>
        <w:top w:val="none" w:sz="0" w:space="0" w:color="auto"/>
        <w:left w:val="none" w:sz="0" w:space="0" w:color="auto"/>
        <w:bottom w:val="none" w:sz="0" w:space="0" w:color="auto"/>
        <w:right w:val="none" w:sz="0" w:space="0" w:color="auto"/>
      </w:divBdr>
    </w:div>
    <w:div w:id="937056174">
      <w:marLeft w:val="0"/>
      <w:marRight w:val="0"/>
      <w:marTop w:val="10"/>
      <w:marBottom w:val="10"/>
      <w:divBdr>
        <w:top w:val="none" w:sz="0" w:space="0" w:color="auto"/>
        <w:left w:val="none" w:sz="0" w:space="0" w:color="auto"/>
        <w:bottom w:val="none" w:sz="0" w:space="0" w:color="auto"/>
        <w:right w:val="none" w:sz="0" w:space="0" w:color="auto"/>
      </w:divBdr>
    </w:div>
    <w:div w:id="963851715">
      <w:marLeft w:val="0"/>
      <w:marRight w:val="0"/>
      <w:marTop w:val="10"/>
      <w:marBottom w:val="10"/>
      <w:divBdr>
        <w:top w:val="none" w:sz="0" w:space="0" w:color="auto"/>
        <w:left w:val="none" w:sz="0" w:space="0" w:color="auto"/>
        <w:bottom w:val="none" w:sz="0" w:space="0" w:color="auto"/>
        <w:right w:val="none" w:sz="0" w:space="0" w:color="auto"/>
      </w:divBdr>
    </w:div>
    <w:div w:id="966009394">
      <w:marLeft w:val="0"/>
      <w:marRight w:val="0"/>
      <w:marTop w:val="10"/>
      <w:marBottom w:val="10"/>
      <w:divBdr>
        <w:top w:val="none" w:sz="0" w:space="0" w:color="auto"/>
        <w:left w:val="none" w:sz="0" w:space="0" w:color="auto"/>
        <w:bottom w:val="none" w:sz="0" w:space="0" w:color="auto"/>
        <w:right w:val="none" w:sz="0" w:space="0" w:color="auto"/>
      </w:divBdr>
    </w:div>
    <w:div w:id="990716225">
      <w:marLeft w:val="0"/>
      <w:marRight w:val="0"/>
      <w:marTop w:val="10"/>
      <w:marBottom w:val="10"/>
      <w:divBdr>
        <w:top w:val="none" w:sz="0" w:space="0" w:color="auto"/>
        <w:left w:val="none" w:sz="0" w:space="0" w:color="auto"/>
        <w:bottom w:val="none" w:sz="0" w:space="0" w:color="auto"/>
        <w:right w:val="none" w:sz="0" w:space="0" w:color="auto"/>
      </w:divBdr>
    </w:div>
    <w:div w:id="1038816969">
      <w:marLeft w:val="0"/>
      <w:marRight w:val="0"/>
      <w:marTop w:val="10"/>
      <w:marBottom w:val="10"/>
      <w:divBdr>
        <w:top w:val="none" w:sz="0" w:space="0" w:color="auto"/>
        <w:left w:val="none" w:sz="0" w:space="0" w:color="auto"/>
        <w:bottom w:val="none" w:sz="0" w:space="0" w:color="auto"/>
        <w:right w:val="none" w:sz="0" w:space="0" w:color="auto"/>
      </w:divBdr>
    </w:div>
    <w:div w:id="1118448808">
      <w:marLeft w:val="0"/>
      <w:marRight w:val="0"/>
      <w:marTop w:val="10"/>
      <w:marBottom w:val="10"/>
      <w:divBdr>
        <w:top w:val="none" w:sz="0" w:space="0" w:color="auto"/>
        <w:left w:val="none" w:sz="0" w:space="0" w:color="auto"/>
        <w:bottom w:val="none" w:sz="0" w:space="0" w:color="auto"/>
        <w:right w:val="none" w:sz="0" w:space="0" w:color="auto"/>
      </w:divBdr>
    </w:div>
    <w:div w:id="1163738225">
      <w:marLeft w:val="0"/>
      <w:marRight w:val="0"/>
      <w:marTop w:val="10"/>
      <w:marBottom w:val="10"/>
      <w:divBdr>
        <w:top w:val="none" w:sz="0" w:space="0" w:color="auto"/>
        <w:left w:val="none" w:sz="0" w:space="0" w:color="auto"/>
        <w:bottom w:val="none" w:sz="0" w:space="0" w:color="auto"/>
        <w:right w:val="none" w:sz="0" w:space="0" w:color="auto"/>
      </w:divBdr>
    </w:div>
    <w:div w:id="1186601246">
      <w:marLeft w:val="0"/>
      <w:marRight w:val="0"/>
      <w:marTop w:val="10"/>
      <w:marBottom w:val="10"/>
      <w:divBdr>
        <w:top w:val="none" w:sz="0" w:space="0" w:color="auto"/>
        <w:left w:val="none" w:sz="0" w:space="0" w:color="auto"/>
        <w:bottom w:val="none" w:sz="0" w:space="0" w:color="auto"/>
        <w:right w:val="none" w:sz="0" w:space="0" w:color="auto"/>
      </w:divBdr>
    </w:div>
    <w:div w:id="1202061720">
      <w:marLeft w:val="0"/>
      <w:marRight w:val="0"/>
      <w:marTop w:val="10"/>
      <w:marBottom w:val="10"/>
      <w:divBdr>
        <w:top w:val="none" w:sz="0" w:space="0" w:color="auto"/>
        <w:left w:val="none" w:sz="0" w:space="0" w:color="auto"/>
        <w:bottom w:val="none" w:sz="0" w:space="0" w:color="auto"/>
        <w:right w:val="none" w:sz="0" w:space="0" w:color="auto"/>
      </w:divBdr>
    </w:div>
    <w:div w:id="1203593413">
      <w:marLeft w:val="0"/>
      <w:marRight w:val="0"/>
      <w:marTop w:val="10"/>
      <w:marBottom w:val="10"/>
      <w:divBdr>
        <w:top w:val="none" w:sz="0" w:space="0" w:color="auto"/>
        <w:left w:val="none" w:sz="0" w:space="0" w:color="auto"/>
        <w:bottom w:val="none" w:sz="0" w:space="0" w:color="auto"/>
        <w:right w:val="none" w:sz="0" w:space="0" w:color="auto"/>
      </w:divBdr>
    </w:div>
    <w:div w:id="1296108369">
      <w:marLeft w:val="0"/>
      <w:marRight w:val="0"/>
      <w:marTop w:val="10"/>
      <w:marBottom w:val="10"/>
      <w:divBdr>
        <w:top w:val="none" w:sz="0" w:space="0" w:color="auto"/>
        <w:left w:val="none" w:sz="0" w:space="0" w:color="auto"/>
        <w:bottom w:val="none" w:sz="0" w:space="0" w:color="auto"/>
        <w:right w:val="none" w:sz="0" w:space="0" w:color="auto"/>
      </w:divBdr>
    </w:div>
    <w:div w:id="1381398023">
      <w:marLeft w:val="0"/>
      <w:marRight w:val="0"/>
      <w:marTop w:val="10"/>
      <w:marBottom w:val="10"/>
      <w:divBdr>
        <w:top w:val="none" w:sz="0" w:space="0" w:color="auto"/>
        <w:left w:val="none" w:sz="0" w:space="0" w:color="auto"/>
        <w:bottom w:val="none" w:sz="0" w:space="0" w:color="auto"/>
        <w:right w:val="none" w:sz="0" w:space="0" w:color="auto"/>
      </w:divBdr>
    </w:div>
    <w:div w:id="1400596761">
      <w:marLeft w:val="0"/>
      <w:marRight w:val="0"/>
      <w:marTop w:val="10"/>
      <w:marBottom w:val="10"/>
      <w:divBdr>
        <w:top w:val="none" w:sz="0" w:space="0" w:color="auto"/>
        <w:left w:val="none" w:sz="0" w:space="0" w:color="auto"/>
        <w:bottom w:val="none" w:sz="0" w:space="0" w:color="auto"/>
        <w:right w:val="none" w:sz="0" w:space="0" w:color="auto"/>
      </w:divBdr>
    </w:div>
    <w:div w:id="1418405229">
      <w:marLeft w:val="0"/>
      <w:marRight w:val="0"/>
      <w:marTop w:val="10"/>
      <w:marBottom w:val="10"/>
      <w:divBdr>
        <w:top w:val="none" w:sz="0" w:space="0" w:color="auto"/>
        <w:left w:val="none" w:sz="0" w:space="0" w:color="auto"/>
        <w:bottom w:val="none" w:sz="0" w:space="0" w:color="auto"/>
        <w:right w:val="none" w:sz="0" w:space="0" w:color="auto"/>
      </w:divBdr>
    </w:div>
    <w:div w:id="1488014807">
      <w:marLeft w:val="0"/>
      <w:marRight w:val="0"/>
      <w:marTop w:val="10"/>
      <w:marBottom w:val="10"/>
      <w:divBdr>
        <w:top w:val="none" w:sz="0" w:space="0" w:color="auto"/>
        <w:left w:val="none" w:sz="0" w:space="0" w:color="auto"/>
        <w:bottom w:val="none" w:sz="0" w:space="0" w:color="auto"/>
        <w:right w:val="none" w:sz="0" w:space="0" w:color="auto"/>
      </w:divBdr>
    </w:div>
    <w:div w:id="1610576989">
      <w:marLeft w:val="0"/>
      <w:marRight w:val="0"/>
      <w:marTop w:val="10"/>
      <w:marBottom w:val="10"/>
      <w:divBdr>
        <w:top w:val="none" w:sz="0" w:space="0" w:color="auto"/>
        <w:left w:val="none" w:sz="0" w:space="0" w:color="auto"/>
        <w:bottom w:val="none" w:sz="0" w:space="0" w:color="auto"/>
        <w:right w:val="none" w:sz="0" w:space="0" w:color="auto"/>
      </w:divBdr>
    </w:div>
    <w:div w:id="1639919915">
      <w:marLeft w:val="0"/>
      <w:marRight w:val="0"/>
      <w:marTop w:val="10"/>
      <w:marBottom w:val="10"/>
      <w:divBdr>
        <w:top w:val="none" w:sz="0" w:space="0" w:color="auto"/>
        <w:left w:val="none" w:sz="0" w:space="0" w:color="auto"/>
        <w:bottom w:val="none" w:sz="0" w:space="0" w:color="auto"/>
        <w:right w:val="none" w:sz="0" w:space="0" w:color="auto"/>
      </w:divBdr>
    </w:div>
    <w:div w:id="1736124349">
      <w:marLeft w:val="0"/>
      <w:marRight w:val="0"/>
      <w:marTop w:val="10"/>
      <w:marBottom w:val="10"/>
      <w:divBdr>
        <w:top w:val="none" w:sz="0" w:space="0" w:color="auto"/>
        <w:left w:val="none" w:sz="0" w:space="0" w:color="auto"/>
        <w:bottom w:val="none" w:sz="0" w:space="0" w:color="auto"/>
        <w:right w:val="none" w:sz="0" w:space="0" w:color="auto"/>
      </w:divBdr>
    </w:div>
    <w:div w:id="1784574997">
      <w:marLeft w:val="0"/>
      <w:marRight w:val="0"/>
      <w:marTop w:val="10"/>
      <w:marBottom w:val="10"/>
      <w:divBdr>
        <w:top w:val="none" w:sz="0" w:space="0" w:color="auto"/>
        <w:left w:val="none" w:sz="0" w:space="0" w:color="auto"/>
        <w:bottom w:val="none" w:sz="0" w:space="0" w:color="auto"/>
        <w:right w:val="none" w:sz="0" w:space="0" w:color="auto"/>
      </w:divBdr>
    </w:div>
    <w:div w:id="1926256685">
      <w:marLeft w:val="0"/>
      <w:marRight w:val="0"/>
      <w:marTop w:val="10"/>
      <w:marBottom w:val="10"/>
      <w:divBdr>
        <w:top w:val="none" w:sz="0" w:space="0" w:color="auto"/>
        <w:left w:val="none" w:sz="0" w:space="0" w:color="auto"/>
        <w:bottom w:val="none" w:sz="0" w:space="0" w:color="auto"/>
        <w:right w:val="none" w:sz="0" w:space="0" w:color="auto"/>
      </w:divBdr>
    </w:div>
    <w:div w:id="1951235165">
      <w:marLeft w:val="0"/>
      <w:marRight w:val="0"/>
      <w:marTop w:val="10"/>
      <w:marBottom w:val="10"/>
      <w:divBdr>
        <w:top w:val="none" w:sz="0" w:space="0" w:color="auto"/>
        <w:left w:val="none" w:sz="0" w:space="0" w:color="auto"/>
        <w:bottom w:val="none" w:sz="0" w:space="0" w:color="auto"/>
        <w:right w:val="none" w:sz="0" w:space="0" w:color="auto"/>
      </w:divBdr>
    </w:div>
    <w:div w:id="212175958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