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13F4A">
      <w:pPr>
        <w:spacing w:line="500" w:lineRule="atLeast"/>
        <w:jc w:val="center"/>
        <w:divId w:val="655720235"/>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813F4A">
      <w:pPr>
        <w:spacing w:line="500" w:lineRule="atLeast"/>
        <w:jc w:val="center"/>
        <w:divId w:val="9571772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13F4A">
      <w:pPr>
        <w:spacing w:line="500" w:lineRule="atLeast"/>
        <w:jc w:val="right"/>
        <w:divId w:val="986977947"/>
        <w:rPr>
          <w:rFonts w:hint="eastAsia"/>
          <w:sz w:val="30"/>
          <w:szCs w:val="30"/>
        </w:rPr>
      </w:pPr>
      <w:r>
        <w:rPr>
          <w:rFonts w:hint="eastAsia"/>
          <w:sz w:val="30"/>
          <w:szCs w:val="30"/>
        </w:rPr>
        <w:t>（</w:t>
      </w:r>
      <w:r>
        <w:rPr>
          <w:rFonts w:hint="eastAsia"/>
          <w:sz w:val="30"/>
          <w:szCs w:val="30"/>
        </w:rPr>
        <w:t>2017</w:t>
      </w:r>
      <w:r>
        <w:rPr>
          <w:rFonts w:hint="eastAsia"/>
          <w:sz w:val="30"/>
          <w:szCs w:val="30"/>
        </w:rPr>
        <w:t>）最高法民申</w:t>
      </w:r>
      <w:r>
        <w:rPr>
          <w:rFonts w:hint="eastAsia"/>
          <w:sz w:val="30"/>
          <w:szCs w:val="30"/>
        </w:rPr>
        <w:t>4063</w:t>
      </w:r>
      <w:r>
        <w:rPr>
          <w:rFonts w:hint="eastAsia"/>
          <w:sz w:val="30"/>
          <w:szCs w:val="30"/>
        </w:rPr>
        <w:t>号</w:t>
      </w:r>
    </w:p>
    <w:p w:rsidR="00000000" w:rsidRDefault="00813F4A">
      <w:pPr>
        <w:spacing w:line="500" w:lineRule="atLeast"/>
        <w:ind w:firstLine="600"/>
        <w:divId w:val="1212572431"/>
        <w:rPr>
          <w:rFonts w:hint="eastAsia"/>
          <w:sz w:val="30"/>
          <w:szCs w:val="30"/>
        </w:rPr>
      </w:pPr>
      <w:r>
        <w:rPr>
          <w:rFonts w:hint="eastAsia"/>
          <w:sz w:val="30"/>
          <w:szCs w:val="30"/>
        </w:rPr>
        <w:t>再审申请人（一审被告、二审上诉人）：《检察风云》杂志社。</w:t>
      </w:r>
    </w:p>
    <w:p w:rsidR="00000000" w:rsidRDefault="00813F4A">
      <w:pPr>
        <w:spacing w:line="500" w:lineRule="atLeast"/>
        <w:ind w:firstLine="600"/>
        <w:divId w:val="1243026253"/>
        <w:rPr>
          <w:rFonts w:hint="eastAsia"/>
          <w:sz w:val="30"/>
          <w:szCs w:val="30"/>
        </w:rPr>
      </w:pPr>
      <w:r>
        <w:rPr>
          <w:rFonts w:hint="eastAsia"/>
          <w:sz w:val="30"/>
          <w:szCs w:val="30"/>
        </w:rPr>
        <w:t>法定代表人：文岚。</w:t>
      </w:r>
    </w:p>
    <w:p w:rsidR="00000000" w:rsidRDefault="00813F4A">
      <w:pPr>
        <w:spacing w:line="500" w:lineRule="atLeast"/>
        <w:ind w:firstLine="600"/>
        <w:divId w:val="1921871045"/>
        <w:rPr>
          <w:rFonts w:hint="eastAsia"/>
          <w:sz w:val="30"/>
          <w:szCs w:val="30"/>
        </w:rPr>
      </w:pPr>
      <w:r>
        <w:rPr>
          <w:rFonts w:hint="eastAsia"/>
          <w:sz w:val="30"/>
          <w:szCs w:val="30"/>
        </w:rPr>
        <w:t>委托诉讼代理人：王锦萍。</w:t>
      </w:r>
    </w:p>
    <w:p w:rsidR="00000000" w:rsidRDefault="00813F4A">
      <w:pPr>
        <w:spacing w:line="500" w:lineRule="atLeast"/>
        <w:ind w:firstLine="600"/>
        <w:divId w:val="1895894536"/>
        <w:rPr>
          <w:rFonts w:hint="eastAsia"/>
          <w:sz w:val="30"/>
          <w:szCs w:val="30"/>
        </w:rPr>
      </w:pPr>
      <w:r>
        <w:rPr>
          <w:rFonts w:hint="eastAsia"/>
          <w:sz w:val="30"/>
          <w:szCs w:val="30"/>
        </w:rPr>
        <w:t>委托诉讼代理人：张旭淼。</w:t>
      </w:r>
    </w:p>
    <w:p w:rsidR="00000000" w:rsidRDefault="00813F4A">
      <w:pPr>
        <w:spacing w:line="500" w:lineRule="atLeast"/>
        <w:ind w:firstLine="600"/>
        <w:divId w:val="1214542080"/>
        <w:rPr>
          <w:rFonts w:hint="eastAsia"/>
          <w:sz w:val="30"/>
          <w:szCs w:val="30"/>
        </w:rPr>
      </w:pPr>
      <w:r>
        <w:rPr>
          <w:rFonts w:hint="eastAsia"/>
          <w:sz w:val="30"/>
          <w:szCs w:val="30"/>
        </w:rPr>
        <w:t>被申请人（一审原告、二审被上诉人）：宋伟。</w:t>
      </w:r>
    </w:p>
    <w:p w:rsidR="00000000" w:rsidRDefault="00813F4A">
      <w:pPr>
        <w:spacing w:line="500" w:lineRule="atLeast"/>
        <w:ind w:firstLine="600"/>
        <w:divId w:val="819466442"/>
        <w:rPr>
          <w:rFonts w:hint="eastAsia"/>
          <w:sz w:val="30"/>
          <w:szCs w:val="30"/>
        </w:rPr>
      </w:pPr>
      <w:r>
        <w:rPr>
          <w:rFonts w:hint="eastAsia"/>
          <w:sz w:val="30"/>
          <w:szCs w:val="30"/>
        </w:rPr>
        <w:t>委托诉讼代理人：顾宏标。</w:t>
      </w:r>
    </w:p>
    <w:p w:rsidR="00000000" w:rsidRDefault="00813F4A">
      <w:pPr>
        <w:spacing w:line="500" w:lineRule="atLeast"/>
        <w:ind w:firstLine="600"/>
        <w:divId w:val="735904761"/>
        <w:rPr>
          <w:rFonts w:hint="eastAsia"/>
          <w:sz w:val="30"/>
          <w:szCs w:val="30"/>
        </w:rPr>
      </w:pPr>
      <w:r>
        <w:rPr>
          <w:rFonts w:hint="eastAsia"/>
          <w:sz w:val="30"/>
          <w:szCs w:val="30"/>
        </w:rPr>
        <w:t>一审被告：上海恒银期货经纪有限公司。</w:t>
      </w:r>
    </w:p>
    <w:p w:rsidR="00000000" w:rsidRDefault="00813F4A">
      <w:pPr>
        <w:spacing w:line="500" w:lineRule="atLeast"/>
        <w:ind w:firstLine="600"/>
        <w:divId w:val="1828588849"/>
        <w:rPr>
          <w:rFonts w:hint="eastAsia"/>
          <w:sz w:val="30"/>
          <w:szCs w:val="30"/>
        </w:rPr>
      </w:pPr>
      <w:r>
        <w:rPr>
          <w:rFonts w:hint="eastAsia"/>
          <w:sz w:val="30"/>
          <w:szCs w:val="30"/>
        </w:rPr>
        <w:t>法定代表人：于洪。</w:t>
      </w:r>
    </w:p>
    <w:p w:rsidR="00000000" w:rsidRDefault="00813F4A">
      <w:pPr>
        <w:spacing w:line="500" w:lineRule="atLeast"/>
        <w:ind w:firstLine="600"/>
        <w:divId w:val="617562850"/>
        <w:rPr>
          <w:rFonts w:hint="eastAsia"/>
          <w:sz w:val="30"/>
          <w:szCs w:val="30"/>
        </w:rPr>
      </w:pPr>
      <w:r>
        <w:rPr>
          <w:rFonts w:hint="eastAsia"/>
          <w:sz w:val="30"/>
          <w:szCs w:val="30"/>
        </w:rPr>
        <w:t>一审被告：上海申雄贸易发展有限公司。</w:t>
      </w:r>
    </w:p>
    <w:p w:rsidR="00000000" w:rsidRDefault="00813F4A">
      <w:pPr>
        <w:spacing w:line="500" w:lineRule="atLeast"/>
        <w:ind w:firstLine="600"/>
        <w:divId w:val="1722166947"/>
        <w:rPr>
          <w:rFonts w:hint="eastAsia"/>
          <w:sz w:val="30"/>
          <w:szCs w:val="30"/>
        </w:rPr>
      </w:pPr>
      <w:r>
        <w:rPr>
          <w:rFonts w:hint="eastAsia"/>
          <w:sz w:val="30"/>
          <w:szCs w:val="30"/>
        </w:rPr>
        <w:t>法定代表人：魏沛菁。</w:t>
      </w:r>
    </w:p>
    <w:p w:rsidR="00000000" w:rsidRDefault="00813F4A">
      <w:pPr>
        <w:spacing w:line="500" w:lineRule="atLeast"/>
        <w:ind w:firstLine="600"/>
        <w:divId w:val="1267618106"/>
        <w:rPr>
          <w:rFonts w:hint="eastAsia"/>
          <w:sz w:val="30"/>
          <w:szCs w:val="30"/>
        </w:rPr>
      </w:pPr>
      <w:r>
        <w:rPr>
          <w:rFonts w:hint="eastAsia"/>
          <w:sz w:val="30"/>
          <w:szCs w:val="30"/>
        </w:rPr>
        <w:t>一审被告：珠海同氏致业发展有限公司。</w:t>
      </w:r>
    </w:p>
    <w:p w:rsidR="00000000" w:rsidRDefault="00813F4A">
      <w:pPr>
        <w:spacing w:line="500" w:lineRule="atLeast"/>
        <w:ind w:firstLine="600"/>
        <w:divId w:val="884755780"/>
        <w:rPr>
          <w:rFonts w:hint="eastAsia"/>
          <w:sz w:val="30"/>
          <w:szCs w:val="30"/>
        </w:rPr>
      </w:pPr>
      <w:r>
        <w:rPr>
          <w:rFonts w:hint="eastAsia"/>
          <w:sz w:val="30"/>
          <w:szCs w:val="30"/>
        </w:rPr>
        <w:t>法定代表人：于洪。</w:t>
      </w:r>
    </w:p>
    <w:p w:rsidR="00000000" w:rsidRDefault="00813F4A">
      <w:pPr>
        <w:spacing w:line="500" w:lineRule="atLeast"/>
        <w:ind w:firstLine="600"/>
        <w:divId w:val="1397775482"/>
        <w:rPr>
          <w:rFonts w:hint="eastAsia"/>
          <w:sz w:val="30"/>
          <w:szCs w:val="30"/>
        </w:rPr>
      </w:pPr>
      <w:r>
        <w:rPr>
          <w:rFonts w:hint="eastAsia"/>
          <w:sz w:val="30"/>
          <w:szCs w:val="30"/>
        </w:rPr>
        <w:t>再审申请人《检察风云》杂志社因与被申请人宋伟、一审被告上海恒银期货经纪有限公司（以下简称恒银期货公司）、上海申雄贸易发展有限公司、珠海同氏致业发展有限公司其他所有权纠纷一案</w:t>
      </w:r>
      <w:r>
        <w:rPr>
          <w:rFonts w:hint="eastAsia"/>
          <w:sz w:val="30"/>
          <w:szCs w:val="30"/>
        </w:rPr>
        <w:t>,</w:t>
      </w:r>
      <w:r>
        <w:rPr>
          <w:rFonts w:hint="eastAsia"/>
          <w:sz w:val="30"/>
          <w:szCs w:val="30"/>
        </w:rPr>
        <w:t>不服上海市高级人民法院（</w:t>
      </w:r>
      <w:r>
        <w:rPr>
          <w:rFonts w:hint="eastAsia"/>
          <w:sz w:val="30"/>
          <w:szCs w:val="30"/>
        </w:rPr>
        <w:t>2014</w:t>
      </w:r>
      <w:r>
        <w:rPr>
          <w:rFonts w:hint="eastAsia"/>
          <w:sz w:val="30"/>
          <w:szCs w:val="30"/>
        </w:rPr>
        <w:t>）沪高民一（民）终字第</w:t>
      </w:r>
      <w:r>
        <w:rPr>
          <w:rFonts w:hint="eastAsia"/>
          <w:sz w:val="30"/>
          <w:szCs w:val="30"/>
        </w:rPr>
        <w:t>12</w:t>
      </w:r>
      <w:r>
        <w:rPr>
          <w:rFonts w:hint="eastAsia"/>
          <w:sz w:val="30"/>
          <w:szCs w:val="30"/>
        </w:rPr>
        <w:t>号民事判决，向本院申请再审。本院依法组成合议庭进行了审查，现已审查终结。</w:t>
      </w:r>
    </w:p>
    <w:p w:rsidR="00000000" w:rsidRDefault="00813F4A">
      <w:pPr>
        <w:spacing w:line="500" w:lineRule="atLeast"/>
        <w:ind w:firstLine="600"/>
        <w:divId w:val="1497111887"/>
        <w:rPr>
          <w:rFonts w:hint="eastAsia"/>
          <w:sz w:val="30"/>
          <w:szCs w:val="30"/>
        </w:rPr>
      </w:pPr>
      <w:r>
        <w:rPr>
          <w:rFonts w:hint="eastAsia"/>
          <w:sz w:val="30"/>
          <w:szCs w:val="30"/>
        </w:rPr>
        <w:t>《检察风云》杂志社申请再审称，原审判决存在《中华人民共和国民事诉讼法》第二百条第二项、第六项规定的情形，应予再审。理由如下：（一）原审判决认定本案案由为其他所有权纠纷错误。本案中，宋伟主张恒银期货公司用于支</w:t>
      </w:r>
      <w:r>
        <w:rPr>
          <w:rFonts w:hint="eastAsia"/>
          <w:sz w:val="30"/>
          <w:szCs w:val="30"/>
        </w:rPr>
        <w:t>付“裕华恒银大厦”联建款的上海市崇明县振崇建材商行</w:t>
      </w:r>
      <w:r>
        <w:rPr>
          <w:rFonts w:hint="eastAsia"/>
          <w:sz w:val="30"/>
          <w:szCs w:val="30"/>
        </w:rPr>
        <w:t>(</w:t>
      </w:r>
      <w:r>
        <w:rPr>
          <w:rFonts w:hint="eastAsia"/>
          <w:sz w:val="30"/>
          <w:szCs w:val="30"/>
        </w:rPr>
        <w:t>以下简称振</w:t>
      </w:r>
      <w:r>
        <w:rPr>
          <w:rFonts w:hint="eastAsia"/>
          <w:sz w:val="30"/>
          <w:szCs w:val="30"/>
        </w:rPr>
        <w:lastRenderedPageBreak/>
        <w:t>崇建材</w:t>
      </w:r>
      <w:r>
        <w:rPr>
          <w:rFonts w:hint="eastAsia"/>
          <w:sz w:val="30"/>
          <w:szCs w:val="30"/>
        </w:rPr>
        <w:t>)</w:t>
      </w:r>
      <w:r>
        <w:rPr>
          <w:rFonts w:hint="eastAsia"/>
          <w:sz w:val="30"/>
          <w:szCs w:val="30"/>
        </w:rPr>
        <w:t>、上海赐良贸易有限公司（以下简称赐良贸易）两账户为其个人所有，要求恒银期货公司返还联建款</w:t>
      </w:r>
      <w:r>
        <w:rPr>
          <w:rFonts w:hint="eastAsia"/>
          <w:sz w:val="30"/>
          <w:szCs w:val="30"/>
        </w:rPr>
        <w:t>2326</w:t>
      </w:r>
      <w:r>
        <w:rPr>
          <w:rFonts w:hint="eastAsia"/>
          <w:sz w:val="30"/>
          <w:szCs w:val="30"/>
        </w:rPr>
        <w:t>万元并支付利息，恒银期货公司的股东承担连带责任。宋伟当时系恒银期货公司总经理，本案涉及经理人与公司、公司与客户的权利义务关系，还涉及期货公司运营、保证金账户的归属、公司清算是否合法等事实，应当由《公司法》调整，宋伟主张的是与公司有关的民事权利。本案案由应为“与公司有关的纠纷”。宋伟的主张是请求返还联建款，是债权请求，原审判决认定本案是所有权纠纷</w:t>
      </w:r>
      <w:r>
        <w:rPr>
          <w:rFonts w:hint="eastAsia"/>
          <w:sz w:val="30"/>
          <w:szCs w:val="30"/>
        </w:rPr>
        <w:t>错误。（二）振崇建材、赐良贸易两账户是恒银期货公司自用账户。在复会师业（</w:t>
      </w:r>
      <w:r>
        <w:rPr>
          <w:rFonts w:hint="eastAsia"/>
          <w:sz w:val="30"/>
          <w:szCs w:val="30"/>
        </w:rPr>
        <w:t>2001</w:t>
      </w:r>
      <w:r>
        <w:rPr>
          <w:rFonts w:hint="eastAsia"/>
          <w:sz w:val="30"/>
          <w:szCs w:val="30"/>
        </w:rPr>
        <w:t>）第</w:t>
      </w:r>
      <w:r>
        <w:rPr>
          <w:rFonts w:hint="eastAsia"/>
          <w:sz w:val="30"/>
          <w:szCs w:val="30"/>
        </w:rPr>
        <w:t>1596</w:t>
      </w:r>
      <w:r>
        <w:rPr>
          <w:rFonts w:hint="eastAsia"/>
          <w:sz w:val="30"/>
          <w:szCs w:val="30"/>
        </w:rPr>
        <w:t>号审计意见及公会（</w:t>
      </w:r>
      <w:r>
        <w:rPr>
          <w:rFonts w:hint="eastAsia"/>
          <w:sz w:val="30"/>
          <w:szCs w:val="30"/>
        </w:rPr>
        <w:t>2000</w:t>
      </w:r>
      <w:r>
        <w:rPr>
          <w:rFonts w:hint="eastAsia"/>
          <w:sz w:val="30"/>
          <w:szCs w:val="30"/>
        </w:rPr>
        <w:t>）业字第</w:t>
      </w:r>
      <w:r>
        <w:rPr>
          <w:rFonts w:hint="eastAsia"/>
          <w:sz w:val="30"/>
          <w:szCs w:val="30"/>
        </w:rPr>
        <w:t>2172</w:t>
      </w:r>
      <w:r>
        <w:rPr>
          <w:rFonts w:hint="eastAsia"/>
          <w:sz w:val="30"/>
          <w:szCs w:val="30"/>
        </w:rPr>
        <w:t>号审计意见中明确，振崇建材、赐良贸易两账户的资金来源于恒银期货公司的对外借款，该两账户用恒银期货公司的资金及通过透支买卖期货的方式获利。（</w:t>
      </w:r>
      <w:r>
        <w:rPr>
          <w:rFonts w:hint="eastAsia"/>
          <w:sz w:val="30"/>
          <w:szCs w:val="30"/>
        </w:rPr>
        <w:t>2008</w:t>
      </w:r>
      <w:r>
        <w:rPr>
          <w:rFonts w:hint="eastAsia"/>
          <w:sz w:val="30"/>
          <w:szCs w:val="30"/>
        </w:rPr>
        <w:t>）沪高民再字第</w:t>
      </w:r>
      <w:r>
        <w:rPr>
          <w:rFonts w:hint="eastAsia"/>
          <w:sz w:val="30"/>
          <w:szCs w:val="30"/>
        </w:rPr>
        <w:t>2</w:t>
      </w:r>
      <w:r>
        <w:rPr>
          <w:rFonts w:hint="eastAsia"/>
          <w:sz w:val="30"/>
          <w:szCs w:val="30"/>
        </w:rPr>
        <w:t>号生效判决确认振崇建材、赐良贸易两公司未在两账户内投入资金，亦未实际经营该账户。该判决亦确认宋伟担任恒银期货公司总经理期间，用该两账户中的款额，书明付款人为恒银期货公司，为恒银期货公司支付“裕华恒银大厦”联建款。以上</w:t>
      </w:r>
      <w:r>
        <w:rPr>
          <w:rFonts w:hint="eastAsia"/>
          <w:sz w:val="30"/>
          <w:szCs w:val="30"/>
        </w:rPr>
        <w:t>事实互相印证，足以证明振崇建材、赐良贸易两账户的资金是恒银期货公司的自有资金。两账户受宋伟控制，是基于宋伟当时是恒银期货公司总经理，拥有对公司经营管理的职责，对公司账户进行管理与控制亦属于总经理的职责范围，不能因为宋伟对公司的经营管理职责推导出公司的账户属于宋伟个人。（三）宋伟在恒银期货公司从事自营行为违反法律规定，其所获利益应归恒银期货公司所有。首先，</w:t>
      </w:r>
      <w:r>
        <w:rPr>
          <w:rFonts w:hint="eastAsia"/>
          <w:sz w:val="30"/>
          <w:szCs w:val="30"/>
        </w:rPr>
        <w:t>1994</w:t>
      </w:r>
      <w:r>
        <w:rPr>
          <w:rFonts w:hint="eastAsia"/>
          <w:sz w:val="30"/>
          <w:szCs w:val="30"/>
        </w:rPr>
        <w:t>年《期货经营机构从业人员管理暂行办法》第二十一条、</w:t>
      </w:r>
      <w:r>
        <w:rPr>
          <w:rFonts w:hint="eastAsia"/>
          <w:sz w:val="30"/>
          <w:szCs w:val="30"/>
        </w:rPr>
        <w:t>1994</w:t>
      </w:r>
      <w:r>
        <w:rPr>
          <w:rFonts w:hint="eastAsia"/>
          <w:sz w:val="30"/>
          <w:szCs w:val="30"/>
        </w:rPr>
        <w:t>年《公司法》第五十九条均明确禁止期货公司经理人的自营行为。宋伟作为恒银期货公司总经理，属于</w:t>
      </w:r>
      <w:r>
        <w:rPr>
          <w:rFonts w:hint="eastAsia"/>
          <w:sz w:val="30"/>
          <w:szCs w:val="30"/>
        </w:rPr>
        <w:t>不得利用客户账</w:t>
      </w:r>
      <w:r>
        <w:rPr>
          <w:rFonts w:hint="eastAsia"/>
          <w:sz w:val="30"/>
          <w:szCs w:val="30"/>
        </w:rPr>
        <w:lastRenderedPageBreak/>
        <w:t>户及自己名义从事期货交易的人员，其利用恒银期货公司自用的客户账户及公司的对外借款、通过恒银期货公司买卖交易期货、并主张两账户为其个人账户，实质是利用总经理的职位从事期货自营并谋取私利。其次，</w:t>
      </w:r>
      <w:r>
        <w:rPr>
          <w:rFonts w:hint="eastAsia"/>
          <w:sz w:val="30"/>
          <w:szCs w:val="30"/>
        </w:rPr>
        <w:t>1994</w:t>
      </w:r>
      <w:r>
        <w:rPr>
          <w:rFonts w:hint="eastAsia"/>
          <w:sz w:val="30"/>
          <w:szCs w:val="30"/>
        </w:rPr>
        <w:t>年《公司法》第六十一条规定：“董事、经理不得自营或者为他人经营与其所任职公司同类的营业或者从事损害本公司利益的活动。从事上述营业或者活动的，所得收入应当归公司所有。”同时，最高人民法院主编《审判监督指导》</w:t>
      </w:r>
      <w:r>
        <w:rPr>
          <w:rFonts w:hint="eastAsia"/>
          <w:sz w:val="30"/>
          <w:szCs w:val="30"/>
        </w:rPr>
        <w:t>2007</w:t>
      </w:r>
      <w:r>
        <w:rPr>
          <w:rFonts w:hint="eastAsia"/>
          <w:sz w:val="30"/>
          <w:szCs w:val="30"/>
        </w:rPr>
        <w:t>年第</w:t>
      </w:r>
      <w:r>
        <w:rPr>
          <w:rFonts w:hint="eastAsia"/>
          <w:sz w:val="30"/>
          <w:szCs w:val="30"/>
        </w:rPr>
        <w:t>1</w:t>
      </w:r>
      <w:r>
        <w:rPr>
          <w:rFonts w:hint="eastAsia"/>
          <w:sz w:val="30"/>
          <w:szCs w:val="30"/>
        </w:rPr>
        <w:t>辑“宋伟职务侵占提审案”载明：“如果宋伟确实实施了自营或者为他人经营与恒银期货公司</w:t>
      </w:r>
      <w:r>
        <w:rPr>
          <w:rFonts w:hint="eastAsia"/>
          <w:sz w:val="30"/>
          <w:szCs w:val="30"/>
        </w:rPr>
        <w:t>同类的营业，或者其他损害公司利益的行为，那么，根据公司法的相关规定，无论对宋伟的行为是否应以犯罪论处，其从事上述营业或者活动所得的收入依法均应归公司所有，即宋伟应当承担相应的民事或者行政责任。”宋伟作为恒银期货公司的总经理，在恒银期货公司从事自营行为所获利益也应当归恒银期货公司所有，宋伟无权要求恒银期货公司返还联建款。原审判决以缺乏法律依据为由否认恒银期货公司的归入权是错误的。</w:t>
      </w:r>
    </w:p>
    <w:p w:rsidR="00000000" w:rsidRDefault="00813F4A">
      <w:pPr>
        <w:spacing w:line="500" w:lineRule="atLeast"/>
        <w:ind w:firstLine="600"/>
        <w:divId w:val="1956013696"/>
        <w:rPr>
          <w:rFonts w:hint="eastAsia"/>
          <w:sz w:val="30"/>
          <w:szCs w:val="30"/>
        </w:rPr>
      </w:pPr>
      <w:r>
        <w:rPr>
          <w:rFonts w:hint="eastAsia"/>
          <w:sz w:val="30"/>
          <w:szCs w:val="30"/>
        </w:rPr>
        <w:t>宋伟提交意见称</w:t>
      </w:r>
      <w:r>
        <w:rPr>
          <w:rFonts w:hint="eastAsia"/>
          <w:sz w:val="30"/>
          <w:szCs w:val="30"/>
        </w:rPr>
        <w:t>,(</w:t>
      </w:r>
      <w:r>
        <w:rPr>
          <w:rFonts w:hint="eastAsia"/>
          <w:sz w:val="30"/>
          <w:szCs w:val="30"/>
        </w:rPr>
        <w:t>一</w:t>
      </w:r>
      <w:r>
        <w:rPr>
          <w:rFonts w:hint="eastAsia"/>
          <w:sz w:val="30"/>
          <w:szCs w:val="30"/>
        </w:rPr>
        <w:t>)</w:t>
      </w:r>
      <w:r>
        <w:rPr>
          <w:rFonts w:hint="eastAsia"/>
          <w:sz w:val="30"/>
          <w:szCs w:val="30"/>
        </w:rPr>
        <w:t>原审案由的确定并无不当。宋伟主张恒银期货公司等返还案涉款项及利息是基于宋伟对案涉账户内资金依法享有所有权，本</w:t>
      </w:r>
      <w:r>
        <w:rPr>
          <w:rFonts w:hint="eastAsia"/>
          <w:sz w:val="30"/>
          <w:szCs w:val="30"/>
        </w:rPr>
        <w:t>案基础法律关系为所有权纠纷。一审中《检察风云》杂志社并未对本案案由提出异议，且本案争议焦点在原审中已经各方充分发表意见，没有影响《检察风云》杂志社的任何程序和实体权利。（二）系争账户及其期初资金属宋伟所有，非恒银期货公司的自营账户。系争账户性质为宋伟实际控制的客户保证金账户，期初资金也源于宋伟的合法财产。恒银期货公司法定代表人和恒银期货公司董事会记录、相关审计报告、最高人民法院（</w:t>
      </w:r>
      <w:r>
        <w:rPr>
          <w:rFonts w:hint="eastAsia"/>
          <w:sz w:val="30"/>
          <w:szCs w:val="30"/>
        </w:rPr>
        <w:t>2010</w:t>
      </w:r>
      <w:r>
        <w:rPr>
          <w:rFonts w:hint="eastAsia"/>
          <w:sz w:val="30"/>
          <w:szCs w:val="30"/>
        </w:rPr>
        <w:t>）民提字第</w:t>
      </w:r>
      <w:r>
        <w:rPr>
          <w:rFonts w:hint="eastAsia"/>
          <w:sz w:val="30"/>
          <w:szCs w:val="30"/>
        </w:rPr>
        <w:t>68</w:t>
      </w:r>
      <w:r>
        <w:rPr>
          <w:rFonts w:hint="eastAsia"/>
          <w:sz w:val="30"/>
          <w:szCs w:val="30"/>
        </w:rPr>
        <w:t>号民事判决、宋伟职务侵占一案最终由上海市第一中级人民法院准许上海市检察院第一分院撤回对宋伟的起诉等能够证明系</w:t>
      </w:r>
      <w:r>
        <w:rPr>
          <w:rFonts w:hint="eastAsia"/>
          <w:sz w:val="30"/>
          <w:szCs w:val="30"/>
        </w:rPr>
        <w:t>争账户为宋伟所有，非恒银期货公司自营。（三）《检察风云》杂志社主张宋伟违反同业禁止的义务（或对公司的忠实义务）进而主张行使归入权缺乏事实和法律依据。</w:t>
      </w:r>
      <w:r>
        <w:rPr>
          <w:rFonts w:hint="eastAsia"/>
          <w:sz w:val="30"/>
          <w:szCs w:val="30"/>
        </w:rPr>
        <w:t>1</w:t>
      </w:r>
      <w:r>
        <w:rPr>
          <w:rFonts w:hint="eastAsia"/>
          <w:sz w:val="30"/>
          <w:szCs w:val="30"/>
        </w:rPr>
        <w:t>、</w:t>
      </w:r>
      <w:r>
        <w:rPr>
          <w:rFonts w:hint="eastAsia"/>
          <w:sz w:val="30"/>
          <w:szCs w:val="30"/>
        </w:rPr>
        <w:t>1998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日《上海恒银期货经纪有限公司第一届董事会会议记录》载明恒银期货公司不存在期货自营业务。</w:t>
      </w:r>
      <w:r>
        <w:rPr>
          <w:rFonts w:hint="eastAsia"/>
          <w:sz w:val="30"/>
          <w:szCs w:val="30"/>
        </w:rPr>
        <w:t>1996</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日国务院证券委员会和中国证券监督管理委员会《关于进一步加强期货市场监管工作的请示》明确规定期货经纪公司不得从事期货自营业务，故宋伟不存在与公司业务存在同类营业的情况。</w:t>
      </w:r>
      <w:r>
        <w:rPr>
          <w:rFonts w:hint="eastAsia"/>
          <w:sz w:val="30"/>
          <w:szCs w:val="30"/>
        </w:rPr>
        <w:t>2</w:t>
      </w:r>
      <w:r>
        <w:rPr>
          <w:rFonts w:hint="eastAsia"/>
          <w:sz w:val="30"/>
          <w:szCs w:val="30"/>
        </w:rPr>
        <w:t>、前述董事会会议记录记载的内容表明，恒银期货公司知晓并认可宋伟使用案涉</w:t>
      </w:r>
      <w:r>
        <w:rPr>
          <w:rFonts w:hint="eastAsia"/>
          <w:sz w:val="30"/>
          <w:szCs w:val="30"/>
        </w:rPr>
        <w:t>账号从事期货交易，并不认为宋伟的行为损害了公司利益，且事实上恒银期货公司因宋伟的期货交易行为受益。</w:t>
      </w:r>
      <w:r>
        <w:rPr>
          <w:rFonts w:hint="eastAsia"/>
          <w:sz w:val="30"/>
          <w:szCs w:val="30"/>
        </w:rPr>
        <w:t>3</w:t>
      </w:r>
      <w:r>
        <w:rPr>
          <w:rFonts w:hint="eastAsia"/>
          <w:sz w:val="30"/>
          <w:szCs w:val="30"/>
        </w:rPr>
        <w:t>、《检察风云》杂志社主张的《公司法》上的归入权之诉与本案之诉是独立的诉讼，《检察风云》杂志社未在一审中提起反诉，不应合并处理。且《检察风云》杂志社亦未举证证明归入权的行使主体、行使期限、行使客体等。</w:t>
      </w:r>
    </w:p>
    <w:p w:rsidR="00000000" w:rsidRDefault="00813F4A">
      <w:pPr>
        <w:spacing w:line="500" w:lineRule="atLeast"/>
        <w:ind w:firstLine="600"/>
        <w:divId w:val="1765374278"/>
        <w:rPr>
          <w:rFonts w:hint="eastAsia"/>
          <w:sz w:val="30"/>
          <w:szCs w:val="30"/>
        </w:rPr>
      </w:pPr>
      <w:r>
        <w:rPr>
          <w:rFonts w:hint="eastAsia"/>
          <w:sz w:val="30"/>
          <w:szCs w:val="30"/>
        </w:rPr>
        <w:t>本院经审查认为，关于原审判决认定本案案由为其他所有权纠纷是否适用法律错误的问题。依据原审查明的事实，本院提审的（</w:t>
      </w:r>
      <w:r>
        <w:rPr>
          <w:rFonts w:hint="eastAsia"/>
          <w:sz w:val="30"/>
          <w:szCs w:val="30"/>
        </w:rPr>
        <w:t>2010</w:t>
      </w:r>
      <w:r>
        <w:rPr>
          <w:rFonts w:hint="eastAsia"/>
          <w:sz w:val="30"/>
          <w:szCs w:val="30"/>
        </w:rPr>
        <w:t>）民提字第</w:t>
      </w:r>
      <w:r>
        <w:rPr>
          <w:rFonts w:hint="eastAsia"/>
          <w:sz w:val="30"/>
          <w:szCs w:val="30"/>
        </w:rPr>
        <w:t>68</w:t>
      </w:r>
      <w:r>
        <w:rPr>
          <w:rFonts w:hint="eastAsia"/>
          <w:sz w:val="30"/>
          <w:szCs w:val="30"/>
        </w:rPr>
        <w:t>号联建合同纠纷案的民事判决中认定，恒银期货公司所支付的联建款来源于宋伟实际控制</w:t>
      </w:r>
      <w:r>
        <w:rPr>
          <w:rFonts w:hint="eastAsia"/>
          <w:sz w:val="30"/>
          <w:szCs w:val="30"/>
        </w:rPr>
        <w:t>的振崇建材和赐良贸易在恒银期货公司开设的保证金账户，但恒银期货公司是联建合同的相对方和付款义务主体，宋伟可以就涉案的联建款向恒银期货公司清算过程中分配清算财产的公司股东及其权利义务承继人另行主张权利。事实上，宋伟提起本案诉讼要求恒银期货公司返还钱款及其利息，即是基于对振崇建材和赐良贸易账户内资金享有的所有权。原审判决亦主要围绕振崇建材和赐良贸易两账户是属于恒银期货公司自用账户还是宋伟实际控制的账户进行审理。因此，原审判决认定本案基础法律关系是所有权纠纷，将案由确定为其他所有权纠纷并无不当。</w:t>
      </w:r>
    </w:p>
    <w:p w:rsidR="00000000" w:rsidRDefault="00813F4A">
      <w:pPr>
        <w:spacing w:line="500" w:lineRule="atLeast"/>
        <w:ind w:firstLine="600"/>
        <w:divId w:val="301621441"/>
        <w:rPr>
          <w:rFonts w:hint="eastAsia"/>
          <w:sz w:val="30"/>
          <w:szCs w:val="30"/>
        </w:rPr>
      </w:pPr>
      <w:r>
        <w:rPr>
          <w:rFonts w:hint="eastAsia"/>
          <w:sz w:val="30"/>
          <w:szCs w:val="30"/>
        </w:rPr>
        <w:t>关于原审判决认定</w:t>
      </w:r>
      <w:r>
        <w:rPr>
          <w:rFonts w:hint="eastAsia"/>
          <w:sz w:val="30"/>
          <w:szCs w:val="30"/>
        </w:rPr>
        <w:t>振崇建材和赐良贸易的两账户不是恒银期货公司自用账户是否缺乏证据证明及适用法律错误的问题。依据原审查明的事实，</w:t>
      </w:r>
      <w:r>
        <w:rPr>
          <w:rFonts w:hint="eastAsia"/>
          <w:sz w:val="30"/>
          <w:szCs w:val="30"/>
        </w:rPr>
        <w:t>1998</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振崇建材和赐良贸易向上海市第一中级人民法院出具书面证明，表明两公司在恒银期货公司开立的案涉交易账户为宋伟个人委托两公司的账户，其中所有的资金和交易盈亏为宋伟个人承担，有关的资金进出也都是受宋伟个人的委托进行的。</w:t>
      </w:r>
      <w:r>
        <w:rPr>
          <w:rFonts w:hint="eastAsia"/>
          <w:sz w:val="30"/>
          <w:szCs w:val="30"/>
        </w:rPr>
        <w:t>1998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日恒银期货公司董事会会议记录中也反映出公司的管理人员及其股东均明知案涉两账户是宋伟个人操作和实际控制。且此次董事会会议后，恒银期货公司委托上海司法审计师事</w:t>
      </w:r>
      <w:r>
        <w:rPr>
          <w:rFonts w:hint="eastAsia"/>
          <w:sz w:val="30"/>
          <w:szCs w:val="30"/>
        </w:rPr>
        <w:t>务所对公司财务收支进行了专项审计，该沪审司事业字</w:t>
      </w:r>
      <w:r>
        <w:rPr>
          <w:rFonts w:hint="eastAsia"/>
          <w:sz w:val="30"/>
          <w:szCs w:val="30"/>
        </w:rPr>
        <w:t>[1998]</w:t>
      </w:r>
      <w:r>
        <w:rPr>
          <w:rFonts w:hint="eastAsia"/>
          <w:sz w:val="30"/>
          <w:szCs w:val="30"/>
        </w:rPr>
        <w:t>第</w:t>
      </w:r>
      <w:r>
        <w:rPr>
          <w:rFonts w:hint="eastAsia"/>
          <w:sz w:val="30"/>
          <w:szCs w:val="30"/>
        </w:rPr>
        <w:t>0660</w:t>
      </w:r>
      <w:r>
        <w:rPr>
          <w:rFonts w:hint="eastAsia"/>
          <w:sz w:val="30"/>
          <w:szCs w:val="30"/>
        </w:rPr>
        <w:t>号审计报告中未将振崇建材和赐良贸易的账户及其中资金作为恒银期货公司的自有资金。因此，原审判决认定振崇建材和赐良贸易的两账户不是恒银期货公司自用账户并不缺乏证据证明，适用法律亦无不当。</w:t>
      </w:r>
    </w:p>
    <w:p w:rsidR="00000000" w:rsidRDefault="00813F4A">
      <w:pPr>
        <w:spacing w:line="500" w:lineRule="atLeast"/>
        <w:ind w:firstLine="600"/>
        <w:divId w:val="1871140671"/>
        <w:rPr>
          <w:rFonts w:hint="eastAsia"/>
          <w:sz w:val="30"/>
          <w:szCs w:val="30"/>
        </w:rPr>
      </w:pPr>
      <w:r>
        <w:rPr>
          <w:rFonts w:hint="eastAsia"/>
          <w:sz w:val="30"/>
          <w:szCs w:val="30"/>
        </w:rPr>
        <w:t>关于原审判决对《检察风云》杂志社诉称宋伟进行期货交易所获利益应归恒银期货公司所有的主张不予支持是否适用法律错误的问题。</w:t>
      </w:r>
      <w:r>
        <w:rPr>
          <w:rFonts w:hint="eastAsia"/>
          <w:sz w:val="30"/>
          <w:szCs w:val="30"/>
        </w:rPr>
        <w:t>1996</w:t>
      </w:r>
      <w:r>
        <w:rPr>
          <w:rFonts w:hint="eastAsia"/>
          <w:sz w:val="30"/>
          <w:szCs w:val="30"/>
        </w:rPr>
        <w:t>年国务院批转国务院证券委员会和中国证券监督管理委员会《关于进一步加强期货市场监管工作的请示》的文件中明确规定期货经纪公司一律不得从事</w:t>
      </w:r>
      <w:r>
        <w:rPr>
          <w:rFonts w:hint="eastAsia"/>
          <w:sz w:val="30"/>
          <w:szCs w:val="30"/>
        </w:rPr>
        <w:t>期货自营业务。因此，即使宋伟从事期货交易，亦不属于与公司业务构成同类营业的情况。原审判决对《检察风云》杂志社诉称宋伟进行期货交易所获利益应归恒银期货公司所有的主张不予支持并无不当。</w:t>
      </w:r>
    </w:p>
    <w:p w:rsidR="00000000" w:rsidRDefault="00813F4A">
      <w:pPr>
        <w:spacing w:line="500" w:lineRule="atLeast"/>
        <w:ind w:firstLine="600"/>
        <w:divId w:val="688916411"/>
        <w:rPr>
          <w:rFonts w:hint="eastAsia"/>
          <w:sz w:val="30"/>
          <w:szCs w:val="30"/>
        </w:rPr>
      </w:pPr>
      <w:r>
        <w:rPr>
          <w:rFonts w:hint="eastAsia"/>
          <w:sz w:val="30"/>
          <w:szCs w:val="30"/>
        </w:rPr>
        <w:t>综上，《检察风云》杂志社申请再审的理由不成立，本案不应再审。依照《中华人民共和国民事诉讼法》第二百零四条第一款，本院《关于适</w:t>
      </w:r>
      <w:r>
        <w:rPr>
          <w:rFonts w:hint="eastAsia"/>
          <w:sz w:val="30"/>
          <w:szCs w:val="30"/>
        </w:rPr>
        <w:t>用</w:t>
      </w:r>
      <w:r>
        <w:rPr>
          <w:rFonts w:hint="eastAsia"/>
          <w:sz w:val="30"/>
          <w:szCs w:val="30"/>
        </w:rPr>
        <w:t>的解释》第三百九十五条第二款的规定，裁定如下：</w:t>
      </w:r>
    </w:p>
    <w:p w:rsidR="00000000" w:rsidRDefault="00813F4A">
      <w:pPr>
        <w:spacing w:line="500" w:lineRule="atLeast"/>
        <w:ind w:firstLine="600"/>
        <w:divId w:val="511189432"/>
        <w:rPr>
          <w:rFonts w:hint="eastAsia"/>
          <w:sz w:val="30"/>
          <w:szCs w:val="30"/>
        </w:rPr>
      </w:pPr>
      <w:r>
        <w:rPr>
          <w:rFonts w:hint="eastAsia"/>
          <w:sz w:val="30"/>
          <w:szCs w:val="30"/>
        </w:rPr>
        <w:t>驳回《检察风云》杂志社的再审申请。</w:t>
      </w:r>
    </w:p>
    <w:p w:rsidR="00000000" w:rsidRDefault="00813F4A">
      <w:pPr>
        <w:spacing w:line="500" w:lineRule="atLeast"/>
        <w:jc w:val="right"/>
        <w:divId w:val="808862309"/>
        <w:rPr>
          <w:rFonts w:hint="eastAsia"/>
          <w:sz w:val="30"/>
          <w:szCs w:val="30"/>
        </w:rPr>
      </w:pPr>
      <w:r>
        <w:rPr>
          <w:rFonts w:hint="eastAsia"/>
          <w:sz w:val="30"/>
          <w:szCs w:val="30"/>
        </w:rPr>
        <w:t>审判长　　马东旭</w:t>
      </w:r>
    </w:p>
    <w:p w:rsidR="00000000" w:rsidRDefault="00813F4A">
      <w:pPr>
        <w:spacing w:line="500" w:lineRule="atLeast"/>
        <w:jc w:val="right"/>
        <w:divId w:val="1003312773"/>
        <w:rPr>
          <w:rFonts w:hint="eastAsia"/>
          <w:sz w:val="30"/>
          <w:szCs w:val="30"/>
        </w:rPr>
      </w:pPr>
      <w:r>
        <w:rPr>
          <w:rFonts w:hint="eastAsia"/>
          <w:sz w:val="30"/>
          <w:szCs w:val="30"/>
        </w:rPr>
        <w:t>审判员　　周伦军</w:t>
      </w:r>
    </w:p>
    <w:p w:rsidR="00000000" w:rsidRDefault="00813F4A">
      <w:pPr>
        <w:spacing w:line="500" w:lineRule="atLeast"/>
        <w:jc w:val="right"/>
        <w:divId w:val="1296450904"/>
        <w:rPr>
          <w:rFonts w:hint="eastAsia"/>
          <w:sz w:val="30"/>
          <w:szCs w:val="30"/>
        </w:rPr>
      </w:pPr>
      <w:r>
        <w:rPr>
          <w:rFonts w:hint="eastAsia"/>
          <w:sz w:val="30"/>
          <w:szCs w:val="30"/>
        </w:rPr>
        <w:t>审判员　　汪　军</w:t>
      </w:r>
    </w:p>
    <w:p w:rsidR="00000000" w:rsidRDefault="00813F4A">
      <w:pPr>
        <w:spacing w:line="500" w:lineRule="atLeast"/>
        <w:jc w:val="right"/>
        <w:divId w:val="1591742114"/>
        <w:rPr>
          <w:rFonts w:hint="eastAsia"/>
          <w:sz w:val="30"/>
          <w:szCs w:val="30"/>
        </w:rPr>
      </w:pPr>
      <w:r>
        <w:rPr>
          <w:rFonts w:hint="eastAsia"/>
          <w:sz w:val="30"/>
          <w:szCs w:val="30"/>
        </w:rPr>
        <w:t>二〇一七年十月三十一日</w:t>
      </w:r>
    </w:p>
    <w:p w:rsidR="00000000" w:rsidRDefault="00813F4A">
      <w:pPr>
        <w:spacing w:line="500" w:lineRule="atLeast"/>
        <w:ind w:firstLine="600"/>
        <w:divId w:val="1658612987"/>
        <w:rPr>
          <w:rFonts w:hint="eastAsia"/>
          <w:sz w:val="30"/>
          <w:szCs w:val="30"/>
        </w:rPr>
      </w:pPr>
      <w:r>
        <w:rPr>
          <w:rFonts w:hint="eastAsia"/>
          <w:sz w:val="30"/>
          <w:szCs w:val="30"/>
        </w:rPr>
        <w:t>法官助理曹健</w:t>
      </w:r>
    </w:p>
    <w:p w:rsidR="00000000" w:rsidRDefault="00813F4A">
      <w:pPr>
        <w:spacing w:line="500" w:lineRule="atLeast"/>
        <w:ind w:firstLine="600"/>
        <w:divId w:val="233667466"/>
        <w:rPr>
          <w:rFonts w:hint="eastAsia"/>
          <w:sz w:val="30"/>
          <w:szCs w:val="30"/>
        </w:rPr>
      </w:pPr>
      <w:r>
        <w:rPr>
          <w:rFonts w:hint="eastAsia"/>
          <w:sz w:val="30"/>
          <w:szCs w:val="30"/>
        </w:rPr>
        <w:t>书记员刘伟腊</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F4A" w:rsidRDefault="00813F4A" w:rsidP="00813F4A">
      <w:r>
        <w:separator/>
      </w:r>
    </w:p>
  </w:endnote>
  <w:endnote w:type="continuationSeparator" w:id="0">
    <w:p w:rsidR="00813F4A" w:rsidRDefault="00813F4A" w:rsidP="0081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F4A" w:rsidRDefault="00813F4A" w:rsidP="00813F4A">
      <w:r>
        <w:separator/>
      </w:r>
    </w:p>
  </w:footnote>
  <w:footnote w:type="continuationSeparator" w:id="0">
    <w:p w:rsidR="00813F4A" w:rsidRDefault="00813F4A" w:rsidP="00813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3F4A"/>
    <w:rsid w:val="0081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13F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F4A"/>
    <w:rPr>
      <w:rFonts w:ascii="宋体" w:eastAsia="宋体" w:hAnsi="宋体" w:cs="宋体"/>
      <w:sz w:val="18"/>
      <w:szCs w:val="18"/>
    </w:rPr>
  </w:style>
  <w:style w:type="paragraph" w:styleId="a5">
    <w:name w:val="footer"/>
    <w:basedOn w:val="a"/>
    <w:link w:val="a6"/>
    <w:uiPriority w:val="99"/>
    <w:unhideWhenUsed/>
    <w:rsid w:val="00813F4A"/>
    <w:pPr>
      <w:tabs>
        <w:tab w:val="center" w:pos="4153"/>
        <w:tab w:val="right" w:pos="8306"/>
      </w:tabs>
      <w:snapToGrid w:val="0"/>
    </w:pPr>
    <w:rPr>
      <w:sz w:val="18"/>
      <w:szCs w:val="18"/>
    </w:rPr>
  </w:style>
  <w:style w:type="character" w:customStyle="1" w:styleId="a6">
    <w:name w:val="页脚 字符"/>
    <w:basedOn w:val="a0"/>
    <w:link w:val="a5"/>
    <w:uiPriority w:val="99"/>
    <w:rsid w:val="00813F4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466">
      <w:marLeft w:val="0"/>
      <w:marRight w:val="0"/>
      <w:marTop w:val="10"/>
      <w:marBottom w:val="10"/>
      <w:divBdr>
        <w:top w:val="none" w:sz="0" w:space="0" w:color="auto"/>
        <w:left w:val="none" w:sz="0" w:space="0" w:color="auto"/>
        <w:bottom w:val="none" w:sz="0" w:space="0" w:color="auto"/>
        <w:right w:val="none" w:sz="0" w:space="0" w:color="auto"/>
      </w:divBdr>
    </w:div>
    <w:div w:id="301621441">
      <w:marLeft w:val="0"/>
      <w:marRight w:val="0"/>
      <w:marTop w:val="10"/>
      <w:marBottom w:val="10"/>
      <w:divBdr>
        <w:top w:val="none" w:sz="0" w:space="0" w:color="auto"/>
        <w:left w:val="none" w:sz="0" w:space="0" w:color="auto"/>
        <w:bottom w:val="none" w:sz="0" w:space="0" w:color="auto"/>
        <w:right w:val="none" w:sz="0" w:space="0" w:color="auto"/>
      </w:divBdr>
    </w:div>
    <w:div w:id="511189432">
      <w:marLeft w:val="0"/>
      <w:marRight w:val="0"/>
      <w:marTop w:val="10"/>
      <w:marBottom w:val="10"/>
      <w:divBdr>
        <w:top w:val="none" w:sz="0" w:space="0" w:color="auto"/>
        <w:left w:val="none" w:sz="0" w:space="0" w:color="auto"/>
        <w:bottom w:val="none" w:sz="0" w:space="0" w:color="auto"/>
        <w:right w:val="none" w:sz="0" w:space="0" w:color="auto"/>
      </w:divBdr>
    </w:div>
    <w:div w:id="617562850">
      <w:marLeft w:val="0"/>
      <w:marRight w:val="0"/>
      <w:marTop w:val="10"/>
      <w:marBottom w:val="10"/>
      <w:divBdr>
        <w:top w:val="none" w:sz="0" w:space="0" w:color="auto"/>
        <w:left w:val="none" w:sz="0" w:space="0" w:color="auto"/>
        <w:bottom w:val="none" w:sz="0" w:space="0" w:color="auto"/>
        <w:right w:val="none" w:sz="0" w:space="0" w:color="auto"/>
      </w:divBdr>
    </w:div>
    <w:div w:id="655720235">
      <w:marLeft w:val="0"/>
      <w:marRight w:val="0"/>
      <w:marTop w:val="10"/>
      <w:marBottom w:val="10"/>
      <w:divBdr>
        <w:top w:val="none" w:sz="0" w:space="0" w:color="auto"/>
        <w:left w:val="none" w:sz="0" w:space="0" w:color="auto"/>
        <w:bottom w:val="none" w:sz="0" w:space="0" w:color="auto"/>
        <w:right w:val="none" w:sz="0" w:space="0" w:color="auto"/>
      </w:divBdr>
    </w:div>
    <w:div w:id="688916411">
      <w:marLeft w:val="0"/>
      <w:marRight w:val="0"/>
      <w:marTop w:val="10"/>
      <w:marBottom w:val="10"/>
      <w:divBdr>
        <w:top w:val="none" w:sz="0" w:space="0" w:color="auto"/>
        <w:left w:val="none" w:sz="0" w:space="0" w:color="auto"/>
        <w:bottom w:val="none" w:sz="0" w:space="0" w:color="auto"/>
        <w:right w:val="none" w:sz="0" w:space="0" w:color="auto"/>
      </w:divBdr>
    </w:div>
    <w:div w:id="735904761">
      <w:marLeft w:val="0"/>
      <w:marRight w:val="0"/>
      <w:marTop w:val="10"/>
      <w:marBottom w:val="10"/>
      <w:divBdr>
        <w:top w:val="none" w:sz="0" w:space="0" w:color="auto"/>
        <w:left w:val="none" w:sz="0" w:space="0" w:color="auto"/>
        <w:bottom w:val="none" w:sz="0" w:space="0" w:color="auto"/>
        <w:right w:val="none" w:sz="0" w:space="0" w:color="auto"/>
      </w:divBdr>
    </w:div>
    <w:div w:id="808862309">
      <w:marLeft w:val="0"/>
      <w:marRight w:val="720"/>
      <w:marTop w:val="10"/>
      <w:marBottom w:val="10"/>
      <w:divBdr>
        <w:top w:val="none" w:sz="0" w:space="0" w:color="auto"/>
        <w:left w:val="none" w:sz="0" w:space="0" w:color="auto"/>
        <w:bottom w:val="none" w:sz="0" w:space="0" w:color="auto"/>
        <w:right w:val="none" w:sz="0" w:space="0" w:color="auto"/>
      </w:divBdr>
    </w:div>
    <w:div w:id="819466442">
      <w:marLeft w:val="0"/>
      <w:marRight w:val="0"/>
      <w:marTop w:val="10"/>
      <w:marBottom w:val="10"/>
      <w:divBdr>
        <w:top w:val="none" w:sz="0" w:space="0" w:color="auto"/>
        <w:left w:val="none" w:sz="0" w:space="0" w:color="auto"/>
        <w:bottom w:val="none" w:sz="0" w:space="0" w:color="auto"/>
        <w:right w:val="none" w:sz="0" w:space="0" w:color="auto"/>
      </w:divBdr>
    </w:div>
    <w:div w:id="884755780">
      <w:marLeft w:val="0"/>
      <w:marRight w:val="0"/>
      <w:marTop w:val="10"/>
      <w:marBottom w:val="10"/>
      <w:divBdr>
        <w:top w:val="none" w:sz="0" w:space="0" w:color="auto"/>
        <w:left w:val="none" w:sz="0" w:space="0" w:color="auto"/>
        <w:bottom w:val="none" w:sz="0" w:space="0" w:color="auto"/>
        <w:right w:val="none" w:sz="0" w:space="0" w:color="auto"/>
      </w:divBdr>
    </w:div>
    <w:div w:id="957177250">
      <w:marLeft w:val="0"/>
      <w:marRight w:val="0"/>
      <w:marTop w:val="10"/>
      <w:marBottom w:val="10"/>
      <w:divBdr>
        <w:top w:val="none" w:sz="0" w:space="0" w:color="auto"/>
        <w:left w:val="none" w:sz="0" w:space="0" w:color="auto"/>
        <w:bottom w:val="none" w:sz="0" w:space="0" w:color="auto"/>
        <w:right w:val="none" w:sz="0" w:space="0" w:color="auto"/>
      </w:divBdr>
    </w:div>
    <w:div w:id="986977947">
      <w:marLeft w:val="0"/>
      <w:marRight w:val="0"/>
      <w:marTop w:val="10"/>
      <w:marBottom w:val="10"/>
      <w:divBdr>
        <w:top w:val="none" w:sz="0" w:space="0" w:color="auto"/>
        <w:left w:val="none" w:sz="0" w:space="0" w:color="auto"/>
        <w:bottom w:val="none" w:sz="0" w:space="0" w:color="auto"/>
        <w:right w:val="none" w:sz="0" w:space="0" w:color="auto"/>
      </w:divBdr>
    </w:div>
    <w:div w:id="1003312773">
      <w:marLeft w:val="0"/>
      <w:marRight w:val="720"/>
      <w:marTop w:val="10"/>
      <w:marBottom w:val="10"/>
      <w:divBdr>
        <w:top w:val="none" w:sz="0" w:space="0" w:color="auto"/>
        <w:left w:val="none" w:sz="0" w:space="0" w:color="auto"/>
        <w:bottom w:val="none" w:sz="0" w:space="0" w:color="auto"/>
        <w:right w:val="none" w:sz="0" w:space="0" w:color="auto"/>
      </w:divBdr>
    </w:div>
    <w:div w:id="1212572431">
      <w:marLeft w:val="0"/>
      <w:marRight w:val="0"/>
      <w:marTop w:val="10"/>
      <w:marBottom w:val="10"/>
      <w:divBdr>
        <w:top w:val="none" w:sz="0" w:space="0" w:color="auto"/>
        <w:left w:val="none" w:sz="0" w:space="0" w:color="auto"/>
        <w:bottom w:val="none" w:sz="0" w:space="0" w:color="auto"/>
        <w:right w:val="none" w:sz="0" w:space="0" w:color="auto"/>
      </w:divBdr>
    </w:div>
    <w:div w:id="1214542080">
      <w:marLeft w:val="0"/>
      <w:marRight w:val="0"/>
      <w:marTop w:val="10"/>
      <w:marBottom w:val="10"/>
      <w:divBdr>
        <w:top w:val="none" w:sz="0" w:space="0" w:color="auto"/>
        <w:left w:val="none" w:sz="0" w:space="0" w:color="auto"/>
        <w:bottom w:val="none" w:sz="0" w:space="0" w:color="auto"/>
        <w:right w:val="none" w:sz="0" w:space="0" w:color="auto"/>
      </w:divBdr>
    </w:div>
    <w:div w:id="1243026253">
      <w:marLeft w:val="0"/>
      <w:marRight w:val="0"/>
      <w:marTop w:val="10"/>
      <w:marBottom w:val="10"/>
      <w:divBdr>
        <w:top w:val="none" w:sz="0" w:space="0" w:color="auto"/>
        <w:left w:val="none" w:sz="0" w:space="0" w:color="auto"/>
        <w:bottom w:val="none" w:sz="0" w:space="0" w:color="auto"/>
        <w:right w:val="none" w:sz="0" w:space="0" w:color="auto"/>
      </w:divBdr>
    </w:div>
    <w:div w:id="1267618106">
      <w:marLeft w:val="0"/>
      <w:marRight w:val="0"/>
      <w:marTop w:val="10"/>
      <w:marBottom w:val="10"/>
      <w:divBdr>
        <w:top w:val="none" w:sz="0" w:space="0" w:color="auto"/>
        <w:left w:val="none" w:sz="0" w:space="0" w:color="auto"/>
        <w:bottom w:val="none" w:sz="0" w:space="0" w:color="auto"/>
        <w:right w:val="none" w:sz="0" w:space="0" w:color="auto"/>
      </w:divBdr>
    </w:div>
    <w:div w:id="1296450904">
      <w:marLeft w:val="0"/>
      <w:marRight w:val="720"/>
      <w:marTop w:val="10"/>
      <w:marBottom w:val="10"/>
      <w:divBdr>
        <w:top w:val="none" w:sz="0" w:space="0" w:color="auto"/>
        <w:left w:val="none" w:sz="0" w:space="0" w:color="auto"/>
        <w:bottom w:val="none" w:sz="0" w:space="0" w:color="auto"/>
        <w:right w:val="none" w:sz="0" w:space="0" w:color="auto"/>
      </w:divBdr>
    </w:div>
    <w:div w:id="1397775482">
      <w:marLeft w:val="0"/>
      <w:marRight w:val="0"/>
      <w:marTop w:val="10"/>
      <w:marBottom w:val="10"/>
      <w:divBdr>
        <w:top w:val="none" w:sz="0" w:space="0" w:color="auto"/>
        <w:left w:val="none" w:sz="0" w:space="0" w:color="auto"/>
        <w:bottom w:val="none" w:sz="0" w:space="0" w:color="auto"/>
        <w:right w:val="none" w:sz="0" w:space="0" w:color="auto"/>
      </w:divBdr>
    </w:div>
    <w:div w:id="1497111887">
      <w:marLeft w:val="0"/>
      <w:marRight w:val="0"/>
      <w:marTop w:val="10"/>
      <w:marBottom w:val="10"/>
      <w:divBdr>
        <w:top w:val="none" w:sz="0" w:space="0" w:color="auto"/>
        <w:left w:val="none" w:sz="0" w:space="0" w:color="auto"/>
        <w:bottom w:val="none" w:sz="0" w:space="0" w:color="auto"/>
        <w:right w:val="none" w:sz="0" w:space="0" w:color="auto"/>
      </w:divBdr>
    </w:div>
    <w:div w:id="1591742114">
      <w:marLeft w:val="0"/>
      <w:marRight w:val="720"/>
      <w:marTop w:val="10"/>
      <w:marBottom w:val="10"/>
      <w:divBdr>
        <w:top w:val="none" w:sz="0" w:space="0" w:color="auto"/>
        <w:left w:val="none" w:sz="0" w:space="0" w:color="auto"/>
        <w:bottom w:val="none" w:sz="0" w:space="0" w:color="auto"/>
        <w:right w:val="none" w:sz="0" w:space="0" w:color="auto"/>
      </w:divBdr>
    </w:div>
    <w:div w:id="1658612987">
      <w:marLeft w:val="0"/>
      <w:marRight w:val="0"/>
      <w:marTop w:val="10"/>
      <w:marBottom w:val="10"/>
      <w:divBdr>
        <w:top w:val="none" w:sz="0" w:space="0" w:color="auto"/>
        <w:left w:val="none" w:sz="0" w:space="0" w:color="auto"/>
        <w:bottom w:val="none" w:sz="0" w:space="0" w:color="auto"/>
        <w:right w:val="none" w:sz="0" w:space="0" w:color="auto"/>
      </w:divBdr>
    </w:div>
    <w:div w:id="1722166947">
      <w:marLeft w:val="0"/>
      <w:marRight w:val="0"/>
      <w:marTop w:val="10"/>
      <w:marBottom w:val="10"/>
      <w:divBdr>
        <w:top w:val="none" w:sz="0" w:space="0" w:color="auto"/>
        <w:left w:val="none" w:sz="0" w:space="0" w:color="auto"/>
        <w:bottom w:val="none" w:sz="0" w:space="0" w:color="auto"/>
        <w:right w:val="none" w:sz="0" w:space="0" w:color="auto"/>
      </w:divBdr>
    </w:div>
    <w:div w:id="1765374278">
      <w:marLeft w:val="0"/>
      <w:marRight w:val="0"/>
      <w:marTop w:val="10"/>
      <w:marBottom w:val="10"/>
      <w:divBdr>
        <w:top w:val="none" w:sz="0" w:space="0" w:color="auto"/>
        <w:left w:val="none" w:sz="0" w:space="0" w:color="auto"/>
        <w:bottom w:val="none" w:sz="0" w:space="0" w:color="auto"/>
        <w:right w:val="none" w:sz="0" w:space="0" w:color="auto"/>
      </w:divBdr>
    </w:div>
    <w:div w:id="1828588849">
      <w:marLeft w:val="0"/>
      <w:marRight w:val="0"/>
      <w:marTop w:val="10"/>
      <w:marBottom w:val="10"/>
      <w:divBdr>
        <w:top w:val="none" w:sz="0" w:space="0" w:color="auto"/>
        <w:left w:val="none" w:sz="0" w:space="0" w:color="auto"/>
        <w:bottom w:val="none" w:sz="0" w:space="0" w:color="auto"/>
        <w:right w:val="none" w:sz="0" w:space="0" w:color="auto"/>
      </w:divBdr>
    </w:div>
    <w:div w:id="1871140671">
      <w:marLeft w:val="0"/>
      <w:marRight w:val="0"/>
      <w:marTop w:val="10"/>
      <w:marBottom w:val="10"/>
      <w:divBdr>
        <w:top w:val="none" w:sz="0" w:space="0" w:color="auto"/>
        <w:left w:val="none" w:sz="0" w:space="0" w:color="auto"/>
        <w:bottom w:val="none" w:sz="0" w:space="0" w:color="auto"/>
        <w:right w:val="none" w:sz="0" w:space="0" w:color="auto"/>
      </w:divBdr>
    </w:div>
    <w:div w:id="1895894536">
      <w:marLeft w:val="0"/>
      <w:marRight w:val="0"/>
      <w:marTop w:val="10"/>
      <w:marBottom w:val="10"/>
      <w:divBdr>
        <w:top w:val="none" w:sz="0" w:space="0" w:color="auto"/>
        <w:left w:val="none" w:sz="0" w:space="0" w:color="auto"/>
        <w:bottom w:val="none" w:sz="0" w:space="0" w:color="auto"/>
        <w:right w:val="none" w:sz="0" w:space="0" w:color="auto"/>
      </w:divBdr>
    </w:div>
    <w:div w:id="1921871045">
      <w:marLeft w:val="0"/>
      <w:marRight w:val="0"/>
      <w:marTop w:val="10"/>
      <w:marBottom w:val="10"/>
      <w:divBdr>
        <w:top w:val="none" w:sz="0" w:space="0" w:color="auto"/>
        <w:left w:val="none" w:sz="0" w:space="0" w:color="auto"/>
        <w:bottom w:val="none" w:sz="0" w:space="0" w:color="auto"/>
        <w:right w:val="none" w:sz="0" w:space="0" w:color="auto"/>
      </w:divBdr>
    </w:div>
    <w:div w:id="19560136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