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4438C">
      <w:pPr>
        <w:spacing w:line="500" w:lineRule="atLeast"/>
        <w:jc w:val="center"/>
        <w:divId w:val="842862979"/>
        <w:rPr>
          <w:rFonts w:ascii="黑体" w:eastAsia="黑体" w:hAnsi="黑体"/>
          <w:sz w:val="36"/>
          <w:szCs w:val="36"/>
        </w:rPr>
      </w:pPr>
      <w:bookmarkStart w:id="0" w:name="_GoBack"/>
      <w:bookmarkEnd w:id="0"/>
      <w:r>
        <w:rPr>
          <w:rFonts w:ascii="黑体" w:eastAsia="黑体" w:hAnsi="黑体" w:hint="eastAsia"/>
          <w:sz w:val="36"/>
          <w:szCs w:val="36"/>
        </w:rPr>
        <w:t>上海市闵行区人民法院</w:t>
      </w:r>
    </w:p>
    <w:p w:rsidR="00000000" w:rsidRDefault="0064438C">
      <w:pPr>
        <w:spacing w:line="500" w:lineRule="atLeast"/>
        <w:jc w:val="center"/>
        <w:divId w:val="171666300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4438C">
      <w:pPr>
        <w:spacing w:line="500" w:lineRule="atLeast"/>
        <w:jc w:val="right"/>
        <w:divId w:val="244731128"/>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19312</w:t>
      </w:r>
      <w:r>
        <w:rPr>
          <w:rFonts w:hint="eastAsia"/>
          <w:sz w:val="30"/>
          <w:szCs w:val="30"/>
        </w:rPr>
        <w:t>号</w:t>
      </w:r>
    </w:p>
    <w:p w:rsidR="00000000" w:rsidRDefault="0064438C">
      <w:pPr>
        <w:spacing w:line="500" w:lineRule="atLeast"/>
        <w:ind w:firstLine="600"/>
        <w:divId w:val="1689527867"/>
        <w:rPr>
          <w:rFonts w:hint="eastAsia"/>
          <w:sz w:val="30"/>
          <w:szCs w:val="30"/>
        </w:rPr>
      </w:pPr>
      <w:r>
        <w:rPr>
          <w:rFonts w:hint="eastAsia"/>
          <w:sz w:val="30"/>
          <w:szCs w:val="30"/>
        </w:rPr>
        <w:t>原告：上海德盾实业有限公司，注册地上海市闵行区。</w:t>
      </w:r>
    </w:p>
    <w:p w:rsidR="00000000" w:rsidRDefault="0064438C">
      <w:pPr>
        <w:spacing w:line="500" w:lineRule="atLeast"/>
        <w:ind w:firstLine="600"/>
        <w:divId w:val="809130706"/>
        <w:rPr>
          <w:rFonts w:hint="eastAsia"/>
          <w:sz w:val="30"/>
          <w:szCs w:val="30"/>
        </w:rPr>
      </w:pPr>
      <w:r>
        <w:rPr>
          <w:rFonts w:hint="eastAsia"/>
          <w:sz w:val="30"/>
          <w:szCs w:val="30"/>
        </w:rPr>
        <w:t>法定代表人：王越，该公司董事长。</w:t>
      </w:r>
    </w:p>
    <w:p w:rsidR="00000000" w:rsidRDefault="0064438C">
      <w:pPr>
        <w:spacing w:line="500" w:lineRule="atLeast"/>
        <w:ind w:firstLine="600"/>
        <w:divId w:val="1613240479"/>
        <w:rPr>
          <w:rFonts w:hint="eastAsia"/>
          <w:sz w:val="30"/>
          <w:szCs w:val="30"/>
        </w:rPr>
      </w:pPr>
      <w:r>
        <w:rPr>
          <w:rFonts w:hint="eastAsia"/>
          <w:sz w:val="30"/>
          <w:szCs w:val="30"/>
        </w:rPr>
        <w:t>委托诉讼代理人：金韶峰，上海市华亭律师事务所律师。</w:t>
      </w:r>
    </w:p>
    <w:p w:rsidR="00000000" w:rsidRDefault="0064438C">
      <w:pPr>
        <w:spacing w:line="500" w:lineRule="atLeast"/>
        <w:ind w:firstLine="600"/>
        <w:divId w:val="576209895"/>
        <w:rPr>
          <w:rFonts w:hint="eastAsia"/>
          <w:sz w:val="30"/>
          <w:szCs w:val="30"/>
        </w:rPr>
      </w:pPr>
      <w:r>
        <w:rPr>
          <w:rFonts w:hint="eastAsia"/>
          <w:sz w:val="30"/>
          <w:szCs w:val="30"/>
        </w:rPr>
        <w:t>被告：邓伟军，男，汉族，</w:t>
      </w:r>
      <w:r>
        <w:rPr>
          <w:rFonts w:hint="eastAsia"/>
          <w:sz w:val="30"/>
          <w:szCs w:val="30"/>
        </w:rPr>
        <w:t>1976</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日出生，户籍地江西省赣州市。</w:t>
      </w:r>
    </w:p>
    <w:p w:rsidR="00000000" w:rsidRDefault="0064438C">
      <w:pPr>
        <w:spacing w:line="500" w:lineRule="atLeast"/>
        <w:ind w:firstLine="600"/>
        <w:divId w:val="356086568"/>
        <w:rPr>
          <w:rFonts w:hint="eastAsia"/>
          <w:sz w:val="30"/>
          <w:szCs w:val="30"/>
        </w:rPr>
      </w:pPr>
      <w:r>
        <w:rPr>
          <w:rFonts w:hint="eastAsia"/>
          <w:sz w:val="30"/>
          <w:szCs w:val="30"/>
        </w:rPr>
        <w:t>被告：王宗宏，男，汉族，</w:t>
      </w:r>
      <w:r>
        <w:rPr>
          <w:rFonts w:hint="eastAsia"/>
          <w:sz w:val="30"/>
          <w:szCs w:val="30"/>
        </w:rPr>
        <w:t>1976</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日出生，户籍地上海市静安区。</w:t>
      </w:r>
    </w:p>
    <w:p w:rsidR="00000000" w:rsidRDefault="0064438C">
      <w:pPr>
        <w:spacing w:line="500" w:lineRule="atLeast"/>
        <w:ind w:firstLine="600"/>
        <w:divId w:val="1798335891"/>
        <w:rPr>
          <w:rFonts w:hint="eastAsia"/>
          <w:sz w:val="30"/>
          <w:szCs w:val="30"/>
        </w:rPr>
      </w:pPr>
      <w:r>
        <w:rPr>
          <w:rFonts w:hint="eastAsia"/>
          <w:sz w:val="30"/>
          <w:szCs w:val="30"/>
        </w:rPr>
        <w:t>二被告的共同委托诉讼代理人：陈晓旭，上海君澜律师事务所律师。</w:t>
      </w:r>
    </w:p>
    <w:p w:rsidR="00000000" w:rsidRDefault="0064438C">
      <w:pPr>
        <w:spacing w:line="500" w:lineRule="atLeast"/>
        <w:ind w:firstLine="600"/>
        <w:divId w:val="1278835235"/>
        <w:rPr>
          <w:rFonts w:hint="eastAsia"/>
          <w:sz w:val="30"/>
          <w:szCs w:val="30"/>
        </w:rPr>
      </w:pPr>
      <w:r>
        <w:rPr>
          <w:rFonts w:hint="eastAsia"/>
          <w:sz w:val="30"/>
          <w:szCs w:val="30"/>
        </w:rPr>
        <w:t>第三人：上海申盾消防设备有限公司，注册地上海市浦东新区惠南镇双店路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p>
    <w:p w:rsidR="00000000" w:rsidRDefault="0064438C">
      <w:pPr>
        <w:spacing w:line="500" w:lineRule="atLeast"/>
        <w:ind w:firstLine="600"/>
        <w:divId w:val="1299721873"/>
        <w:rPr>
          <w:rFonts w:hint="eastAsia"/>
          <w:sz w:val="30"/>
          <w:szCs w:val="30"/>
        </w:rPr>
      </w:pPr>
      <w:r>
        <w:rPr>
          <w:rFonts w:hint="eastAsia"/>
          <w:sz w:val="30"/>
          <w:szCs w:val="30"/>
        </w:rPr>
        <w:t>法定代表人：赵思兴，该公司技术顾问。</w:t>
      </w:r>
    </w:p>
    <w:p w:rsidR="00000000" w:rsidRDefault="0064438C">
      <w:pPr>
        <w:spacing w:line="500" w:lineRule="atLeast"/>
        <w:ind w:firstLine="600"/>
        <w:divId w:val="170797458"/>
        <w:rPr>
          <w:rFonts w:hint="eastAsia"/>
          <w:sz w:val="30"/>
          <w:szCs w:val="30"/>
        </w:rPr>
      </w:pPr>
      <w:r>
        <w:rPr>
          <w:rFonts w:hint="eastAsia"/>
          <w:sz w:val="30"/>
          <w:szCs w:val="30"/>
        </w:rPr>
        <w:t>第三人：上海申盾消防设备有限公司宝鸡分公司，注册地陕西省宝鸡市高新开发区高新大道</w:t>
      </w:r>
      <w:r>
        <w:rPr>
          <w:rFonts w:hint="eastAsia"/>
          <w:sz w:val="30"/>
          <w:szCs w:val="30"/>
        </w:rPr>
        <w:t>188</w:t>
      </w:r>
      <w:r>
        <w:rPr>
          <w:rFonts w:hint="eastAsia"/>
          <w:sz w:val="30"/>
          <w:szCs w:val="30"/>
        </w:rPr>
        <w:t>号</w:t>
      </w:r>
      <w:r>
        <w:rPr>
          <w:rFonts w:hint="eastAsia"/>
          <w:sz w:val="30"/>
          <w:szCs w:val="30"/>
        </w:rPr>
        <w:t>4</w:t>
      </w:r>
      <w:r>
        <w:rPr>
          <w:rFonts w:hint="eastAsia"/>
          <w:sz w:val="30"/>
          <w:szCs w:val="30"/>
        </w:rPr>
        <w:t>幢</w:t>
      </w:r>
      <w:r>
        <w:rPr>
          <w:rFonts w:hint="eastAsia"/>
          <w:sz w:val="30"/>
          <w:szCs w:val="30"/>
        </w:rPr>
        <w:t>2</w:t>
      </w:r>
      <w:r>
        <w:rPr>
          <w:rFonts w:hint="eastAsia"/>
          <w:sz w:val="30"/>
          <w:szCs w:val="30"/>
        </w:rPr>
        <w:t>层。</w:t>
      </w:r>
    </w:p>
    <w:p w:rsidR="00000000" w:rsidRDefault="0064438C">
      <w:pPr>
        <w:spacing w:line="500" w:lineRule="atLeast"/>
        <w:ind w:firstLine="600"/>
        <w:divId w:val="1552107389"/>
        <w:rPr>
          <w:rFonts w:hint="eastAsia"/>
          <w:sz w:val="30"/>
          <w:szCs w:val="30"/>
        </w:rPr>
      </w:pPr>
      <w:r>
        <w:rPr>
          <w:rFonts w:hint="eastAsia"/>
          <w:sz w:val="30"/>
          <w:szCs w:val="30"/>
        </w:rPr>
        <w:t>负责人：白伟。</w:t>
      </w:r>
    </w:p>
    <w:p w:rsidR="00000000" w:rsidRDefault="0064438C">
      <w:pPr>
        <w:spacing w:line="500" w:lineRule="atLeast"/>
        <w:ind w:firstLine="600"/>
        <w:divId w:val="539823112"/>
        <w:rPr>
          <w:rFonts w:hint="eastAsia"/>
          <w:sz w:val="30"/>
          <w:szCs w:val="30"/>
        </w:rPr>
      </w:pPr>
      <w:r>
        <w:rPr>
          <w:rFonts w:hint="eastAsia"/>
          <w:sz w:val="30"/>
          <w:szCs w:val="30"/>
        </w:rPr>
        <w:t>第三人：上海德盾科技有限公司，注册地上海市嘉定区尚学路</w:t>
      </w:r>
      <w:r>
        <w:rPr>
          <w:rFonts w:hint="eastAsia"/>
          <w:sz w:val="30"/>
          <w:szCs w:val="30"/>
        </w:rPr>
        <w:t>225</w:t>
      </w:r>
      <w:r>
        <w:rPr>
          <w:rFonts w:hint="eastAsia"/>
          <w:sz w:val="30"/>
          <w:szCs w:val="30"/>
        </w:rPr>
        <w:t>、</w:t>
      </w:r>
      <w:r>
        <w:rPr>
          <w:rFonts w:hint="eastAsia"/>
          <w:sz w:val="30"/>
          <w:szCs w:val="30"/>
        </w:rPr>
        <w:t>229</w:t>
      </w:r>
      <w:r>
        <w:rPr>
          <w:rFonts w:hint="eastAsia"/>
          <w:sz w:val="30"/>
          <w:szCs w:val="30"/>
        </w:rPr>
        <w:t>号</w:t>
      </w:r>
      <w:r>
        <w:rPr>
          <w:rFonts w:hint="eastAsia"/>
          <w:sz w:val="30"/>
          <w:szCs w:val="30"/>
        </w:rPr>
        <w:t>3</w:t>
      </w:r>
      <w:r>
        <w:rPr>
          <w:rFonts w:hint="eastAsia"/>
          <w:sz w:val="30"/>
          <w:szCs w:val="30"/>
        </w:rPr>
        <w:t>幢</w:t>
      </w:r>
      <w:r>
        <w:rPr>
          <w:rFonts w:hint="eastAsia"/>
          <w:sz w:val="30"/>
          <w:szCs w:val="30"/>
        </w:rPr>
        <w:t>5158</w:t>
      </w:r>
      <w:r>
        <w:rPr>
          <w:rFonts w:hint="eastAsia"/>
          <w:sz w:val="30"/>
          <w:szCs w:val="30"/>
        </w:rPr>
        <w:t>室。</w:t>
      </w:r>
    </w:p>
    <w:p w:rsidR="00000000" w:rsidRDefault="0064438C">
      <w:pPr>
        <w:spacing w:line="500" w:lineRule="atLeast"/>
        <w:ind w:firstLine="600"/>
        <w:divId w:val="222567916"/>
        <w:rPr>
          <w:rFonts w:hint="eastAsia"/>
          <w:sz w:val="30"/>
          <w:szCs w:val="30"/>
        </w:rPr>
      </w:pPr>
      <w:r>
        <w:rPr>
          <w:rFonts w:hint="eastAsia"/>
          <w:sz w:val="30"/>
          <w:szCs w:val="30"/>
        </w:rPr>
        <w:t>法定代表人：赵思兴，该公司技术顾问。</w:t>
      </w:r>
    </w:p>
    <w:p w:rsidR="00000000" w:rsidRDefault="0064438C">
      <w:pPr>
        <w:spacing w:line="500" w:lineRule="atLeast"/>
        <w:ind w:firstLine="600"/>
        <w:divId w:val="1721175290"/>
        <w:rPr>
          <w:rFonts w:hint="eastAsia"/>
          <w:sz w:val="30"/>
          <w:szCs w:val="30"/>
        </w:rPr>
      </w:pPr>
      <w:r>
        <w:rPr>
          <w:rFonts w:hint="eastAsia"/>
          <w:sz w:val="30"/>
          <w:szCs w:val="30"/>
        </w:rPr>
        <w:t>三名第三人的共同委托代理人：陈晓旭，上海君澜律师事务所律师。</w:t>
      </w:r>
    </w:p>
    <w:p w:rsidR="00000000" w:rsidRDefault="0064438C">
      <w:pPr>
        <w:spacing w:line="500" w:lineRule="atLeast"/>
        <w:ind w:firstLine="600"/>
        <w:divId w:val="1907450416"/>
        <w:rPr>
          <w:rFonts w:hint="eastAsia"/>
          <w:sz w:val="30"/>
          <w:szCs w:val="30"/>
        </w:rPr>
      </w:pPr>
      <w:r>
        <w:rPr>
          <w:rFonts w:hint="eastAsia"/>
          <w:sz w:val="30"/>
          <w:szCs w:val="30"/>
        </w:rPr>
        <w:t>原告上海德盾实业有限公司</w:t>
      </w:r>
      <w:r>
        <w:rPr>
          <w:rFonts w:hint="eastAsia"/>
          <w:sz w:val="30"/>
          <w:szCs w:val="30"/>
        </w:rPr>
        <w:t>(</w:t>
      </w:r>
      <w:r>
        <w:rPr>
          <w:rFonts w:hint="eastAsia"/>
          <w:sz w:val="30"/>
          <w:szCs w:val="30"/>
        </w:rPr>
        <w:t>以下简称德盾实业</w:t>
      </w:r>
      <w:r>
        <w:rPr>
          <w:rFonts w:hint="eastAsia"/>
          <w:sz w:val="30"/>
          <w:szCs w:val="30"/>
        </w:rPr>
        <w:t>)</w:t>
      </w:r>
      <w:r>
        <w:rPr>
          <w:rFonts w:hint="eastAsia"/>
          <w:sz w:val="30"/>
          <w:szCs w:val="30"/>
        </w:rPr>
        <w:t>与被告邓伟军、王宗宏损害公司利益责任纠纷一案，本院于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日立案受理后，依法适用简易程序进行了审理。审理中本院依法</w:t>
      </w:r>
      <w:r>
        <w:rPr>
          <w:rFonts w:hint="eastAsia"/>
          <w:sz w:val="30"/>
          <w:szCs w:val="30"/>
        </w:rPr>
        <w:t>追加上海申盾消防设备有限公司</w:t>
      </w:r>
      <w:r>
        <w:rPr>
          <w:rFonts w:hint="eastAsia"/>
          <w:sz w:val="30"/>
          <w:szCs w:val="30"/>
        </w:rPr>
        <w:t>(</w:t>
      </w:r>
      <w:r>
        <w:rPr>
          <w:rFonts w:hint="eastAsia"/>
          <w:sz w:val="30"/>
          <w:szCs w:val="30"/>
        </w:rPr>
        <w:t>以下简称申盾公司</w:t>
      </w:r>
      <w:r>
        <w:rPr>
          <w:rFonts w:hint="eastAsia"/>
          <w:sz w:val="30"/>
          <w:szCs w:val="30"/>
        </w:rPr>
        <w:t>)</w:t>
      </w:r>
      <w:r>
        <w:rPr>
          <w:rFonts w:hint="eastAsia"/>
          <w:sz w:val="30"/>
          <w:szCs w:val="30"/>
        </w:rPr>
        <w:t>、上</w:t>
      </w:r>
      <w:r>
        <w:rPr>
          <w:rFonts w:hint="eastAsia"/>
          <w:sz w:val="30"/>
          <w:szCs w:val="30"/>
        </w:rPr>
        <w:lastRenderedPageBreak/>
        <w:t>海申盾消防设备有限公司宝鸡分公司</w:t>
      </w:r>
      <w:r>
        <w:rPr>
          <w:rFonts w:hint="eastAsia"/>
          <w:sz w:val="30"/>
          <w:szCs w:val="30"/>
        </w:rPr>
        <w:t>(</w:t>
      </w:r>
      <w:r>
        <w:rPr>
          <w:rFonts w:hint="eastAsia"/>
          <w:sz w:val="30"/>
          <w:szCs w:val="30"/>
        </w:rPr>
        <w:t>以下简称申盾宝鸡分公司</w:t>
      </w:r>
      <w:r>
        <w:rPr>
          <w:rFonts w:hint="eastAsia"/>
          <w:sz w:val="30"/>
          <w:szCs w:val="30"/>
        </w:rPr>
        <w:t>)</w:t>
      </w:r>
      <w:r>
        <w:rPr>
          <w:rFonts w:hint="eastAsia"/>
          <w:sz w:val="30"/>
          <w:szCs w:val="30"/>
        </w:rPr>
        <w:t>、上海德盾科技有限公司</w:t>
      </w:r>
      <w:r>
        <w:rPr>
          <w:rFonts w:hint="eastAsia"/>
          <w:sz w:val="30"/>
          <w:szCs w:val="30"/>
        </w:rPr>
        <w:t>(</w:t>
      </w:r>
      <w:r>
        <w:rPr>
          <w:rFonts w:hint="eastAsia"/>
          <w:sz w:val="30"/>
          <w:szCs w:val="30"/>
        </w:rPr>
        <w:t>以下简称德盾科技</w:t>
      </w:r>
      <w:r>
        <w:rPr>
          <w:rFonts w:hint="eastAsia"/>
          <w:sz w:val="30"/>
          <w:szCs w:val="30"/>
        </w:rPr>
        <w:t>)</w:t>
      </w:r>
      <w:r>
        <w:rPr>
          <w:rFonts w:hint="eastAsia"/>
          <w:sz w:val="30"/>
          <w:szCs w:val="30"/>
        </w:rPr>
        <w:t>为本案第三人。原告德盾实业的法定代表人王越及其委托诉讼代理人金韶峰，被告邓伟军、王宗宏的共同委托诉讼代理人陈晓旭，第三人申盾公司、申盾宝鸡分公司和德盾科技的共同委托诉讼代理人陈晓旭到庭参加了诉讼。本案现已审理终结。</w:t>
      </w:r>
    </w:p>
    <w:p w:rsidR="00000000" w:rsidRDefault="0064438C">
      <w:pPr>
        <w:spacing w:line="500" w:lineRule="atLeast"/>
        <w:ind w:firstLine="600"/>
        <w:divId w:val="1804541631"/>
        <w:rPr>
          <w:rFonts w:hint="eastAsia"/>
          <w:sz w:val="30"/>
          <w:szCs w:val="30"/>
        </w:rPr>
      </w:pPr>
      <w:r>
        <w:rPr>
          <w:rFonts w:hint="eastAsia"/>
          <w:sz w:val="30"/>
          <w:szCs w:val="30"/>
        </w:rPr>
        <w:t>原告德盾实业提出诉讼请求：</w:t>
      </w:r>
      <w:r>
        <w:rPr>
          <w:rFonts w:hint="eastAsia"/>
          <w:sz w:val="30"/>
          <w:szCs w:val="30"/>
        </w:rPr>
        <w:t>1.</w:t>
      </w:r>
      <w:r>
        <w:rPr>
          <w:rFonts w:hint="eastAsia"/>
          <w:sz w:val="30"/>
          <w:szCs w:val="30"/>
        </w:rPr>
        <w:t>判令被告邓伟军、王宗宏向原告赔偿自第三人申盾公司、申盾宝鸡分公司、德盾科技公司设立以来至</w:t>
      </w:r>
      <w:r>
        <w:rPr>
          <w:rFonts w:hint="eastAsia"/>
          <w:sz w:val="30"/>
          <w:szCs w:val="30"/>
        </w:rPr>
        <w:t>2020</w:t>
      </w:r>
      <w:r>
        <w:rPr>
          <w:rFonts w:hint="eastAsia"/>
          <w:sz w:val="30"/>
          <w:szCs w:val="30"/>
        </w:rPr>
        <w:t>年</w:t>
      </w:r>
      <w:r>
        <w:rPr>
          <w:rFonts w:hint="eastAsia"/>
          <w:sz w:val="30"/>
          <w:szCs w:val="30"/>
        </w:rPr>
        <w:t>2</w:t>
      </w:r>
      <w:r>
        <w:rPr>
          <w:rFonts w:hint="eastAsia"/>
          <w:sz w:val="30"/>
          <w:szCs w:val="30"/>
        </w:rPr>
        <w:t>月止在第三人申</w:t>
      </w:r>
      <w:r>
        <w:rPr>
          <w:rFonts w:hint="eastAsia"/>
          <w:sz w:val="30"/>
          <w:szCs w:val="30"/>
        </w:rPr>
        <w:t>盾公司、申盾宝鸡分公司、德盾科技公司处取得的权益性收入；</w:t>
      </w:r>
      <w:r>
        <w:rPr>
          <w:rFonts w:hint="eastAsia"/>
          <w:sz w:val="30"/>
          <w:szCs w:val="30"/>
        </w:rPr>
        <w:t>2.</w:t>
      </w:r>
      <w:r>
        <w:rPr>
          <w:rFonts w:hint="eastAsia"/>
          <w:sz w:val="30"/>
          <w:szCs w:val="30"/>
        </w:rPr>
        <w:t>本案诉讼费由二被告负担。事实和理由：原告于</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日成立。成立之初，原告的注册资金为人民币</w:t>
      </w:r>
      <w:r>
        <w:rPr>
          <w:rFonts w:hint="eastAsia"/>
          <w:sz w:val="30"/>
          <w:szCs w:val="30"/>
        </w:rPr>
        <w:t>(</w:t>
      </w:r>
      <w:r>
        <w:rPr>
          <w:rFonts w:hint="eastAsia"/>
          <w:sz w:val="30"/>
          <w:szCs w:val="30"/>
        </w:rPr>
        <w:t>币种下同</w:t>
      </w:r>
      <w:r>
        <w:rPr>
          <w:rFonts w:hint="eastAsia"/>
          <w:sz w:val="30"/>
          <w:szCs w:val="30"/>
        </w:rPr>
        <w:t>)10</w:t>
      </w:r>
      <w:r>
        <w:rPr>
          <w:rFonts w:hint="eastAsia"/>
          <w:sz w:val="30"/>
          <w:szCs w:val="30"/>
        </w:rPr>
        <w:t>万元，其中股东王越出资</w:t>
      </w:r>
      <w:r>
        <w:rPr>
          <w:rFonts w:hint="eastAsia"/>
          <w:sz w:val="30"/>
          <w:szCs w:val="30"/>
        </w:rPr>
        <w:t>5.5</w:t>
      </w:r>
      <w:r>
        <w:rPr>
          <w:rFonts w:hint="eastAsia"/>
          <w:sz w:val="30"/>
          <w:szCs w:val="30"/>
        </w:rPr>
        <w:t>万元，投资占比</w:t>
      </w:r>
      <w:r>
        <w:rPr>
          <w:rFonts w:hint="eastAsia"/>
          <w:sz w:val="30"/>
          <w:szCs w:val="30"/>
        </w:rPr>
        <w:t>55%</w:t>
      </w:r>
      <w:r>
        <w:rPr>
          <w:rFonts w:hint="eastAsia"/>
          <w:sz w:val="30"/>
          <w:szCs w:val="30"/>
        </w:rPr>
        <w:t>；邓伟军出资</w:t>
      </w:r>
      <w:r>
        <w:rPr>
          <w:rFonts w:hint="eastAsia"/>
          <w:sz w:val="30"/>
          <w:szCs w:val="30"/>
        </w:rPr>
        <w:t>1.5</w:t>
      </w:r>
      <w:r>
        <w:rPr>
          <w:rFonts w:hint="eastAsia"/>
          <w:sz w:val="30"/>
          <w:szCs w:val="30"/>
        </w:rPr>
        <w:t>万元，投资占比</w:t>
      </w:r>
      <w:r>
        <w:rPr>
          <w:rFonts w:hint="eastAsia"/>
          <w:sz w:val="30"/>
          <w:szCs w:val="30"/>
        </w:rPr>
        <w:t>15%</w:t>
      </w:r>
      <w:r>
        <w:rPr>
          <w:rFonts w:hint="eastAsia"/>
          <w:sz w:val="30"/>
          <w:szCs w:val="30"/>
        </w:rPr>
        <w:t>；王宗宏出资</w:t>
      </w:r>
      <w:r>
        <w:rPr>
          <w:rFonts w:hint="eastAsia"/>
          <w:sz w:val="30"/>
          <w:szCs w:val="30"/>
        </w:rPr>
        <w:t>3</w:t>
      </w:r>
      <w:r>
        <w:rPr>
          <w:rFonts w:hint="eastAsia"/>
          <w:sz w:val="30"/>
          <w:szCs w:val="30"/>
        </w:rPr>
        <w:t>万元，投资占比</w:t>
      </w:r>
      <w:r>
        <w:rPr>
          <w:rFonts w:hint="eastAsia"/>
          <w:sz w:val="30"/>
          <w:szCs w:val="30"/>
        </w:rPr>
        <w:t>30%</w:t>
      </w:r>
      <w:r>
        <w:rPr>
          <w:rFonts w:hint="eastAsia"/>
          <w:sz w:val="30"/>
          <w:szCs w:val="30"/>
        </w:rPr>
        <w:t>。后三股东申请对注册资本进行了变更登记为</w:t>
      </w:r>
      <w:r>
        <w:rPr>
          <w:rFonts w:hint="eastAsia"/>
          <w:sz w:val="30"/>
          <w:szCs w:val="30"/>
        </w:rPr>
        <w:t>500</w:t>
      </w:r>
      <w:r>
        <w:rPr>
          <w:rFonts w:hint="eastAsia"/>
          <w:sz w:val="30"/>
          <w:szCs w:val="30"/>
        </w:rPr>
        <w:t>万元，股东王越出资</w:t>
      </w:r>
      <w:r>
        <w:rPr>
          <w:rFonts w:hint="eastAsia"/>
          <w:sz w:val="30"/>
          <w:szCs w:val="30"/>
        </w:rPr>
        <w:t>275</w:t>
      </w:r>
      <w:r>
        <w:rPr>
          <w:rFonts w:hint="eastAsia"/>
          <w:sz w:val="30"/>
          <w:szCs w:val="30"/>
        </w:rPr>
        <w:t>万元，投资占比</w:t>
      </w:r>
      <w:r>
        <w:rPr>
          <w:rFonts w:hint="eastAsia"/>
          <w:sz w:val="30"/>
          <w:szCs w:val="30"/>
        </w:rPr>
        <w:t>55%</w:t>
      </w:r>
      <w:r>
        <w:rPr>
          <w:rFonts w:hint="eastAsia"/>
          <w:sz w:val="30"/>
          <w:szCs w:val="30"/>
        </w:rPr>
        <w:t>；邓伟军出资</w:t>
      </w:r>
      <w:r>
        <w:rPr>
          <w:rFonts w:hint="eastAsia"/>
          <w:sz w:val="30"/>
          <w:szCs w:val="30"/>
        </w:rPr>
        <w:t>75</w:t>
      </w:r>
      <w:r>
        <w:rPr>
          <w:rFonts w:hint="eastAsia"/>
          <w:sz w:val="30"/>
          <w:szCs w:val="30"/>
        </w:rPr>
        <w:t>万元，投资占比</w:t>
      </w:r>
      <w:r>
        <w:rPr>
          <w:rFonts w:hint="eastAsia"/>
          <w:sz w:val="30"/>
          <w:szCs w:val="30"/>
        </w:rPr>
        <w:t>15%</w:t>
      </w:r>
      <w:r>
        <w:rPr>
          <w:rFonts w:hint="eastAsia"/>
          <w:sz w:val="30"/>
          <w:szCs w:val="30"/>
        </w:rPr>
        <w:t>；王宗宏出资</w:t>
      </w:r>
      <w:r>
        <w:rPr>
          <w:rFonts w:hint="eastAsia"/>
          <w:sz w:val="30"/>
          <w:szCs w:val="30"/>
        </w:rPr>
        <w:t>150</w:t>
      </w:r>
      <w:r>
        <w:rPr>
          <w:rFonts w:hint="eastAsia"/>
          <w:sz w:val="30"/>
          <w:szCs w:val="30"/>
        </w:rPr>
        <w:t>万元，投资占比</w:t>
      </w:r>
      <w:r>
        <w:rPr>
          <w:rFonts w:hint="eastAsia"/>
          <w:sz w:val="30"/>
          <w:szCs w:val="30"/>
        </w:rPr>
        <w:t>30%</w:t>
      </w:r>
      <w:r>
        <w:rPr>
          <w:rFonts w:hint="eastAsia"/>
          <w:sz w:val="30"/>
          <w:szCs w:val="30"/>
        </w:rPr>
        <w:t>。德盾实业成立之初，王越担任法定代表人，经营状况良好，</w:t>
      </w:r>
      <w:r>
        <w:rPr>
          <w:rFonts w:hint="eastAsia"/>
          <w:sz w:val="30"/>
          <w:szCs w:val="30"/>
        </w:rPr>
        <w:t>业务蒸蒸日上。</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月，二被告要求王越回避在原告任法定代表人以避免与王越出资设立的其他公司间可能产生的商业竞争，不利于原告的发展为由变更了公司法定代表人。同年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原告将法定代表人变更为邓伟军，王宗宏任总经理后，王越就被排斥在公司经营、决策之外，王越无法了解原告的经营状况，公司由邓伟军、王宗宏二人联手把持。原告当时最大的资产是公安部消防产品合格评定中心</w:t>
      </w:r>
      <w:r>
        <w:rPr>
          <w:rFonts w:hint="eastAsia"/>
          <w:sz w:val="30"/>
          <w:szCs w:val="30"/>
        </w:rPr>
        <w:t>(</w:t>
      </w:r>
      <w:r>
        <w:rPr>
          <w:rFonts w:hint="eastAsia"/>
          <w:sz w:val="30"/>
          <w:szCs w:val="30"/>
        </w:rPr>
        <w:t>以下简称消防产品评定中心</w:t>
      </w:r>
      <w:r>
        <w:rPr>
          <w:rFonts w:hint="eastAsia"/>
          <w:sz w:val="30"/>
          <w:szCs w:val="30"/>
        </w:rPr>
        <w:t>)</w:t>
      </w:r>
      <w:r>
        <w:rPr>
          <w:rFonts w:hint="eastAsia"/>
          <w:sz w:val="30"/>
          <w:szCs w:val="30"/>
        </w:rPr>
        <w:t>颁发的《消防产品认证证书》</w:t>
      </w:r>
      <w:r>
        <w:rPr>
          <w:rFonts w:hint="eastAsia"/>
          <w:sz w:val="30"/>
          <w:szCs w:val="30"/>
        </w:rPr>
        <w:t>(</w:t>
      </w:r>
      <w:r>
        <w:rPr>
          <w:rFonts w:hint="eastAsia"/>
          <w:sz w:val="30"/>
          <w:szCs w:val="30"/>
        </w:rPr>
        <w:t>证书编号</w:t>
      </w:r>
      <w:r>
        <w:rPr>
          <w:rFonts w:hint="eastAsia"/>
          <w:sz w:val="30"/>
          <w:szCs w:val="30"/>
        </w:rPr>
        <w:t>XXXXXXXXXXXXR0S</w:t>
      </w:r>
      <w:r>
        <w:rPr>
          <w:rFonts w:hint="eastAsia"/>
          <w:sz w:val="30"/>
          <w:szCs w:val="30"/>
        </w:rPr>
        <w:t>，型号规格</w:t>
      </w:r>
      <w:r>
        <w:rPr>
          <w:rFonts w:hint="eastAsia"/>
          <w:sz w:val="30"/>
          <w:szCs w:val="30"/>
        </w:rPr>
        <w:t>WZ-Q/T-TFDC6)</w:t>
      </w:r>
      <w:r>
        <w:rPr>
          <w:rFonts w:hint="eastAsia"/>
          <w:sz w:val="30"/>
          <w:szCs w:val="30"/>
        </w:rPr>
        <w:t>，拥有该认证</w:t>
      </w:r>
      <w:r>
        <w:rPr>
          <w:rFonts w:hint="eastAsia"/>
          <w:sz w:val="30"/>
          <w:szCs w:val="30"/>
        </w:rPr>
        <w:t>证书的企业可以使用相关标号，进而</w:t>
      </w:r>
      <w:r>
        <w:rPr>
          <w:rFonts w:hint="eastAsia"/>
          <w:sz w:val="30"/>
          <w:szCs w:val="30"/>
        </w:rPr>
        <w:lastRenderedPageBreak/>
        <w:t>进行消防产品的生产销售和经营、收益。取得该证书的艰难也意味着拥有该证书就拥有市场的话语权和能够产生巨大的利润。经查证，二被告于</w:t>
      </w:r>
      <w:r>
        <w:rPr>
          <w:rFonts w:hint="eastAsia"/>
          <w:sz w:val="30"/>
          <w:szCs w:val="30"/>
        </w:rPr>
        <w:t>2013</w:t>
      </w:r>
      <w:r>
        <w:rPr>
          <w:rFonts w:hint="eastAsia"/>
          <w:sz w:val="30"/>
          <w:szCs w:val="30"/>
        </w:rPr>
        <w:t>年开始筹备、策划另行成立申盾公司，该公司于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正式通过工商注册成立，成立之初的股东为邓伟军、王宗宏。二被告成立申盾公司后背着王越以申盾公司名义对德盾实业的所有客户、供应商及相关单位发出《公司更名通知函》，让客户、供应商误认为德盾实业已更名为申盾公司，以此达到将原德盾实业的客户转移至申盾公司的目的。之后，二被告于</w:t>
      </w:r>
      <w:r>
        <w:rPr>
          <w:rFonts w:hint="eastAsia"/>
          <w:sz w:val="30"/>
          <w:szCs w:val="30"/>
        </w:rPr>
        <w:t>2014</w:t>
      </w:r>
      <w:r>
        <w:rPr>
          <w:rFonts w:hint="eastAsia"/>
          <w:sz w:val="30"/>
          <w:szCs w:val="30"/>
        </w:rPr>
        <w:t>年将原属于</w:t>
      </w:r>
      <w:r>
        <w:rPr>
          <w:rFonts w:hint="eastAsia"/>
          <w:sz w:val="30"/>
          <w:szCs w:val="30"/>
        </w:rPr>
        <w:t>原告名下的《消防产品认证证书》，通过以所谓公司名称变更的不法手段，将资质变更至申盾公司名下。消防产品评定中心于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向申盾公司颁发了原属于德盾实业的消防产品认证证书，通过中国消防产品质量信息查询系统查询到该证书所有人的企业名称是申盾公司，而曾用名是原告“德盾实业”，但实际上原告与申盾公司是两家完全独立的公司。据此，原告已经完全丧失了消防产品生产销售和经营收益的权利。二被告开设申盾公司时利用了原告的厂房、生产资料、机器设备进行消防产品的生产和销售，申盾公司对外宣传所涉及厂址也是德盾实业的厂址。同</w:t>
      </w:r>
      <w:r>
        <w:rPr>
          <w:rFonts w:hint="eastAsia"/>
          <w:sz w:val="30"/>
          <w:szCs w:val="30"/>
        </w:rPr>
        <w:t>时二被告利用申盾公司名下的消防产品认证证书生产的消防产品赚取了巨额的利润。后二被告为避人耳目将申盾公司的股份进行了股权变更，将申盾公司的法定代表人变更为赵思兴、股东变更为王宗宏和赵思兴，分别占</w:t>
      </w:r>
      <w:r>
        <w:rPr>
          <w:rFonts w:hint="eastAsia"/>
          <w:sz w:val="30"/>
          <w:szCs w:val="30"/>
        </w:rPr>
        <w:t>90%</w:t>
      </w:r>
      <w:r>
        <w:rPr>
          <w:rFonts w:hint="eastAsia"/>
          <w:sz w:val="30"/>
          <w:szCs w:val="30"/>
        </w:rPr>
        <w:t>和</w:t>
      </w:r>
      <w:r>
        <w:rPr>
          <w:rFonts w:hint="eastAsia"/>
          <w:sz w:val="30"/>
          <w:szCs w:val="30"/>
        </w:rPr>
        <w:t>10%</w:t>
      </w:r>
      <w:r>
        <w:rPr>
          <w:rFonts w:hint="eastAsia"/>
          <w:sz w:val="30"/>
          <w:szCs w:val="30"/>
        </w:rPr>
        <w:t>的股权，而赵思兴就是王宗宏的岳父。综上所述，二被告利用担任德盾实业法定代表人、经理期间，利用把持德盾实业管理权的职务便利，采取各种手段，大肆转移原告德盾实业资产，损害了原告的合法权益。因此，原告依据公司法第</w:t>
      </w:r>
      <w:r>
        <w:rPr>
          <w:rFonts w:hint="eastAsia"/>
          <w:sz w:val="30"/>
          <w:szCs w:val="30"/>
        </w:rPr>
        <w:t>148</w:t>
      </w:r>
      <w:r>
        <w:rPr>
          <w:rFonts w:hint="eastAsia"/>
          <w:sz w:val="30"/>
          <w:szCs w:val="30"/>
        </w:rPr>
        <w:t>条第五项的规定，二被告均为高管人员，经营申盾公司、德盾科技期间的收入应归公司所有，系行使归入权</w:t>
      </w:r>
      <w:r>
        <w:rPr>
          <w:rFonts w:hint="eastAsia"/>
          <w:sz w:val="30"/>
          <w:szCs w:val="30"/>
        </w:rPr>
        <w:t>。故涉诉。</w:t>
      </w:r>
    </w:p>
    <w:p w:rsidR="00000000" w:rsidRDefault="0064438C">
      <w:pPr>
        <w:spacing w:line="500" w:lineRule="atLeast"/>
        <w:ind w:firstLine="600"/>
        <w:divId w:val="98835211"/>
        <w:rPr>
          <w:rFonts w:hint="eastAsia"/>
          <w:sz w:val="30"/>
          <w:szCs w:val="30"/>
        </w:rPr>
      </w:pPr>
      <w:r>
        <w:rPr>
          <w:rFonts w:hint="eastAsia"/>
          <w:sz w:val="30"/>
          <w:szCs w:val="30"/>
        </w:rPr>
        <w:t>被告邓伟军、王宗宏共同辩称，不同意原告的全部诉请。首先，二被告系在原告已实际不经营情况下才成立了新公司，不符合公司法</w:t>
      </w:r>
      <w:r>
        <w:rPr>
          <w:rFonts w:hint="eastAsia"/>
          <w:sz w:val="30"/>
          <w:szCs w:val="30"/>
        </w:rPr>
        <w:t>148</w:t>
      </w:r>
      <w:r>
        <w:rPr>
          <w:rFonts w:hint="eastAsia"/>
          <w:sz w:val="30"/>
          <w:szCs w:val="30"/>
        </w:rPr>
        <w:t>条规定的情形。二被告与王越还成立了另外一家新公司，当时原告与新公司同时存在，股东之间后来存在分歧，故讨论解散原告。由于王越在期间挑起诸多诉讼，导致原告无法经营，申盾公司在德盾实业停止经营后开始对外经营。故二被告成立申盾公司时并未违反公司法第</w:t>
      </w:r>
      <w:r>
        <w:rPr>
          <w:rFonts w:hint="eastAsia"/>
          <w:sz w:val="30"/>
          <w:szCs w:val="30"/>
        </w:rPr>
        <w:t>148</w:t>
      </w:r>
      <w:r>
        <w:rPr>
          <w:rFonts w:hint="eastAsia"/>
          <w:sz w:val="30"/>
          <w:szCs w:val="30"/>
        </w:rPr>
        <w:t>条的规定。其次，二被告转移资质证书的行为虽有不当，但是未给原告造成损失。原告在</w:t>
      </w:r>
      <w:r>
        <w:rPr>
          <w:rFonts w:hint="eastAsia"/>
          <w:sz w:val="30"/>
          <w:szCs w:val="30"/>
        </w:rPr>
        <w:t>2014</w:t>
      </w:r>
      <w:r>
        <w:rPr>
          <w:rFonts w:hint="eastAsia"/>
          <w:sz w:val="30"/>
          <w:szCs w:val="30"/>
        </w:rPr>
        <w:t>年</w:t>
      </w:r>
      <w:r>
        <w:rPr>
          <w:rFonts w:hint="eastAsia"/>
          <w:sz w:val="30"/>
          <w:szCs w:val="30"/>
        </w:rPr>
        <w:t>1</w:t>
      </w:r>
      <w:r>
        <w:rPr>
          <w:rFonts w:hint="eastAsia"/>
          <w:sz w:val="30"/>
          <w:szCs w:val="30"/>
        </w:rPr>
        <w:t>月时已不再对外经营，也不再销售任何产品。被</w:t>
      </w:r>
      <w:r>
        <w:rPr>
          <w:rFonts w:hint="eastAsia"/>
          <w:sz w:val="30"/>
          <w:szCs w:val="30"/>
        </w:rPr>
        <w:t>告不存在谋取原告商业机会的可能性，而系争资质证书只有附着于产品上才有价值，不能转让、不得销售第三方产品，证书系自愿性认证，德盾实业不经营了，对证书的使用会被政府机构进行抽查，也会导致资质证书被停止。德盾实业即使没有这个证书，也可以自行生产消防设备。变更资质确有此事，被告以德盾实业和申盾公司是关联企业的关系，申请对资质证书进行变更，从德盾实业变更至申盾公司。由于当时德盾实业已经不经营，股东之间也存在多起诉讼，故确实没有通知王越。当时邓伟军是法定代表人，故决定将认证资质进行了转移，王宗宏并未参与这个决定，他只搞</w:t>
      </w:r>
      <w:r>
        <w:rPr>
          <w:rFonts w:hint="eastAsia"/>
          <w:sz w:val="30"/>
          <w:szCs w:val="30"/>
        </w:rPr>
        <w:t>生产。王宗宏是公司的技术人员，王宗宏负责原告技术生产中有关事项，并未行使过经理、董事等高级管理人员职权，并不是归入权行使对象。第三，原告起诉被告转移证书已过诉讼时效。王越曾经对邓伟军进行报案，在经侦对案件侦查过程中邓伟军也提过转移证书的事情，在之前诉讼中也提到转移证书，故王越对转移证书一直系知情。</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日，原告从王宗宏处抢夺了电脑，原告的大部分证据均从电脑中取得，即原告于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日已知晓资质转移和被告在外设立公司的行为，原告提起本案诉讼已过诉讼时效。申盾公司于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日成立，</w:t>
      </w:r>
      <w:r>
        <w:rPr>
          <w:rFonts w:hint="eastAsia"/>
          <w:sz w:val="30"/>
          <w:szCs w:val="30"/>
        </w:rPr>
        <w:t>但</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月之后才进行开始经营。被告公司的生产经营利润是通过被告自身努力获得的，与资质证书并无关联关系。</w:t>
      </w:r>
    </w:p>
    <w:p w:rsidR="00000000" w:rsidRDefault="0064438C">
      <w:pPr>
        <w:spacing w:line="500" w:lineRule="atLeast"/>
        <w:ind w:firstLine="600"/>
        <w:divId w:val="1959529658"/>
        <w:rPr>
          <w:rFonts w:hint="eastAsia"/>
          <w:sz w:val="30"/>
          <w:szCs w:val="30"/>
        </w:rPr>
      </w:pPr>
      <w:r>
        <w:rPr>
          <w:rFonts w:hint="eastAsia"/>
          <w:sz w:val="30"/>
          <w:szCs w:val="30"/>
        </w:rPr>
        <w:t>第三人申盾公司、申盾宝鸡分公司、德盾科技的答辩意见均同二被告。</w:t>
      </w:r>
    </w:p>
    <w:p w:rsidR="00000000" w:rsidRDefault="0064438C">
      <w:pPr>
        <w:spacing w:line="500" w:lineRule="atLeast"/>
        <w:ind w:firstLine="600"/>
        <w:divId w:val="955328616"/>
        <w:rPr>
          <w:rFonts w:hint="eastAsia"/>
          <w:sz w:val="30"/>
          <w:szCs w:val="30"/>
        </w:rPr>
      </w:pPr>
      <w:r>
        <w:rPr>
          <w:rFonts w:hint="eastAsia"/>
          <w:sz w:val="30"/>
          <w:szCs w:val="30"/>
        </w:rPr>
        <w:t>原告围绕诉讼请求依法提交了德盾实业的工商基本信息及档案材料、工商变更登记资料、《消防产品认证证书》</w:t>
      </w:r>
      <w:r>
        <w:rPr>
          <w:rFonts w:hint="eastAsia"/>
          <w:sz w:val="30"/>
          <w:szCs w:val="30"/>
        </w:rPr>
        <w:t>(WZ-Q/T-TFDC6)</w:t>
      </w:r>
      <w:r>
        <w:rPr>
          <w:rFonts w:hint="eastAsia"/>
          <w:sz w:val="30"/>
          <w:szCs w:val="30"/>
        </w:rPr>
        <w:t>及相关认证信息、申盾公司和德盾科技的工商基本信息、档案材料及变更登记资料、《公司更名通知函》、《股东请求监事提起诉讼申请书》、《民事裁定书》及《民事判决书》一组、厅字</w:t>
      </w:r>
      <w:r>
        <w:rPr>
          <w:rFonts w:hint="eastAsia"/>
          <w:sz w:val="30"/>
          <w:szCs w:val="30"/>
        </w:rPr>
        <w:t>[2019]34</w:t>
      </w:r>
      <w:r>
        <w:rPr>
          <w:rFonts w:hint="eastAsia"/>
          <w:sz w:val="30"/>
          <w:szCs w:val="30"/>
        </w:rPr>
        <w:t>号文件一份、中国消防产品</w:t>
      </w:r>
      <w:r>
        <w:rPr>
          <w:rFonts w:hint="eastAsia"/>
          <w:sz w:val="30"/>
          <w:szCs w:val="30"/>
        </w:rPr>
        <w:t>质量信息查询系统信息查询、德盾科技的《销售合同》一组、《实用新型专利证书》</w:t>
      </w:r>
      <w:r>
        <w:rPr>
          <w:rFonts w:hint="eastAsia"/>
          <w:sz w:val="30"/>
          <w:szCs w:val="30"/>
        </w:rPr>
        <w:t>(</w:t>
      </w:r>
      <w:r>
        <w:rPr>
          <w:rFonts w:hint="eastAsia"/>
          <w:sz w:val="30"/>
          <w:szCs w:val="30"/>
        </w:rPr>
        <w:t>复印件</w:t>
      </w:r>
      <w:r>
        <w:rPr>
          <w:rFonts w:hint="eastAsia"/>
          <w:sz w:val="30"/>
          <w:szCs w:val="30"/>
        </w:rPr>
        <w:t>)</w:t>
      </w:r>
      <w:r>
        <w:rPr>
          <w:rFonts w:hint="eastAsia"/>
          <w:sz w:val="30"/>
          <w:szCs w:val="30"/>
        </w:rPr>
        <w:t>、《消防产品供货证明》、资质变更流程记录卡。被告围绕抗辩意见依法提交了</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日的邮件、《上海市城镇社会保险在职转出汇总核定表》、《租赁合同》、《认证合同》、评定中心的《监督通知》、《消防产品认证实施规则》、产品认证证书网页截屏</w:t>
      </w:r>
      <w:r>
        <w:rPr>
          <w:rFonts w:hint="eastAsia"/>
          <w:sz w:val="30"/>
          <w:szCs w:val="30"/>
        </w:rPr>
        <w:t>(WZ-Q/T-TFDC6)</w:t>
      </w:r>
      <w:r>
        <w:rPr>
          <w:rFonts w:hint="eastAsia"/>
          <w:sz w:val="30"/>
          <w:szCs w:val="30"/>
        </w:rPr>
        <w:t>、自愿性认证产品目录、《关于德盾实业成立以及股东纠纷的说明》、《消防产品认证证书》</w:t>
      </w:r>
      <w:r>
        <w:rPr>
          <w:rFonts w:hint="eastAsia"/>
          <w:sz w:val="30"/>
          <w:szCs w:val="30"/>
        </w:rPr>
        <w:t>(WZ-Q/T-TFDC45</w:t>
      </w:r>
      <w:r>
        <w:rPr>
          <w:rFonts w:hint="eastAsia"/>
          <w:sz w:val="30"/>
          <w:szCs w:val="30"/>
        </w:rPr>
        <w:t>、</w:t>
      </w:r>
      <w:r>
        <w:rPr>
          <w:rFonts w:hint="eastAsia"/>
          <w:sz w:val="30"/>
          <w:szCs w:val="30"/>
        </w:rPr>
        <w:t>WZ-Q/T-TFDF3)</w:t>
      </w:r>
      <w:r>
        <w:rPr>
          <w:rFonts w:hint="eastAsia"/>
          <w:sz w:val="30"/>
          <w:szCs w:val="30"/>
        </w:rPr>
        <w:t>、《实用新型专利证书》、</w:t>
      </w:r>
      <w:r>
        <w:rPr>
          <w:rFonts w:hint="eastAsia"/>
          <w:sz w:val="30"/>
          <w:szCs w:val="30"/>
        </w:rPr>
        <w:t>《强制性认证证书</w:t>
      </w:r>
      <w:r>
        <w:rPr>
          <w:rFonts w:hint="eastAsia"/>
          <w:sz w:val="30"/>
          <w:szCs w:val="30"/>
        </w:rPr>
        <w:t>(</w:t>
      </w:r>
      <w:r>
        <w:rPr>
          <w:rFonts w:hint="eastAsia"/>
          <w:sz w:val="30"/>
          <w:szCs w:val="30"/>
        </w:rPr>
        <w:t>样式</w:t>
      </w:r>
      <w:r>
        <w:rPr>
          <w:rFonts w:hint="eastAsia"/>
          <w:sz w:val="30"/>
          <w:szCs w:val="30"/>
        </w:rPr>
        <w:t>)</w:t>
      </w:r>
      <w:r>
        <w:rPr>
          <w:rFonts w:hint="eastAsia"/>
          <w:sz w:val="30"/>
          <w:szCs w:val="30"/>
        </w:rPr>
        <w:t>》。第三人未向本院提供证据。本院组织当事人进行了证据交换和质证。对当事人无异议的证据，本院予以确认并在卷佐证。对有争议的证据和事实，本院认证如下：</w:t>
      </w:r>
    </w:p>
    <w:p w:rsidR="00000000" w:rsidRDefault="0064438C">
      <w:pPr>
        <w:spacing w:line="500" w:lineRule="atLeast"/>
        <w:ind w:firstLine="600"/>
        <w:divId w:val="1052733600"/>
        <w:rPr>
          <w:rFonts w:hint="eastAsia"/>
          <w:sz w:val="30"/>
          <w:szCs w:val="30"/>
        </w:rPr>
      </w:pPr>
      <w:r>
        <w:rPr>
          <w:rFonts w:hint="eastAsia"/>
          <w:sz w:val="30"/>
          <w:szCs w:val="30"/>
        </w:rPr>
        <w:t>1.</w:t>
      </w:r>
      <w:r>
        <w:rPr>
          <w:rFonts w:hint="eastAsia"/>
          <w:sz w:val="30"/>
          <w:szCs w:val="30"/>
        </w:rPr>
        <w:t>原告提供的王宗宏的电脑中获取的扫描件《公司更名通知函》一份及德盾科技的销售合同一组，证明二被告向原告的客户发送更名通知，让客户认为公司已更名为申盾公司。被告和第三人对该证据不予认可。本院认为，原告能向本院提供电脑原件，且被告对电脑被原告拿走并不持有异议，经查看系争电脑确有王宗宏私人物品的特征，故该证据确实存在，但原告并未提供向客户发送</w:t>
      </w:r>
      <w:r>
        <w:rPr>
          <w:rFonts w:hint="eastAsia"/>
          <w:sz w:val="30"/>
          <w:szCs w:val="30"/>
        </w:rPr>
        <w:t>的邮件，仅能证明王宗宏制作了该通知函。</w:t>
      </w:r>
    </w:p>
    <w:p w:rsidR="00000000" w:rsidRDefault="0064438C">
      <w:pPr>
        <w:spacing w:line="500" w:lineRule="atLeast"/>
        <w:ind w:firstLine="600"/>
        <w:divId w:val="1506676579"/>
        <w:rPr>
          <w:rFonts w:hint="eastAsia"/>
          <w:sz w:val="30"/>
          <w:szCs w:val="30"/>
        </w:rPr>
      </w:pPr>
      <w:r>
        <w:rPr>
          <w:rFonts w:hint="eastAsia"/>
          <w:sz w:val="30"/>
          <w:szCs w:val="30"/>
        </w:rPr>
        <w:t>2.</w:t>
      </w:r>
      <w:r>
        <w:rPr>
          <w:rFonts w:hint="eastAsia"/>
          <w:sz w:val="30"/>
          <w:szCs w:val="30"/>
        </w:rPr>
        <w:t>原告提供的《股东请求监事提起诉讼申请书》，证明王越曾请求监事提起诉讼，未果。被告和第三人对该证据不予认可。本院认为，由于本案系王越以原告法定代表人名义提起的诉讼，并非派生诉讼，故该证据与本案无关，本院不予采纳。</w:t>
      </w:r>
    </w:p>
    <w:p w:rsidR="00000000" w:rsidRDefault="0064438C">
      <w:pPr>
        <w:spacing w:line="500" w:lineRule="atLeast"/>
        <w:ind w:firstLine="600"/>
        <w:divId w:val="1504198989"/>
        <w:rPr>
          <w:rFonts w:hint="eastAsia"/>
          <w:sz w:val="30"/>
          <w:szCs w:val="30"/>
        </w:rPr>
      </w:pPr>
      <w:r>
        <w:rPr>
          <w:rFonts w:hint="eastAsia"/>
          <w:sz w:val="30"/>
          <w:szCs w:val="30"/>
        </w:rPr>
        <w:t>3.</w:t>
      </w:r>
      <w:r>
        <w:rPr>
          <w:rFonts w:hint="eastAsia"/>
          <w:sz w:val="30"/>
          <w:szCs w:val="30"/>
        </w:rPr>
        <w:t>原告提供的资质变更流程记录卡，证明原告前往北京国家产品评定中心调取了资质转移的记录，王宗宏属于德盾公司的技术高层，二被告设立申盾公司并利用原告的生产设备、生产资料、生产场地等资源生产销售谋取利益，直接侵害原告的既得利益。二被告对该证据不予认可。本院认为</w:t>
      </w:r>
      <w:r>
        <w:rPr>
          <w:rFonts w:hint="eastAsia"/>
          <w:sz w:val="30"/>
          <w:szCs w:val="30"/>
        </w:rPr>
        <w:t>，原告不能提供该证据的原件，二被告虽对该证据的真实性不予认可，但认可采取了不当手段变更了资质，本院对该证据不予采纳，对于二被告认可的事实予以确认。</w:t>
      </w:r>
    </w:p>
    <w:p w:rsidR="00000000" w:rsidRDefault="0064438C">
      <w:pPr>
        <w:spacing w:line="500" w:lineRule="atLeast"/>
        <w:ind w:firstLine="600"/>
        <w:divId w:val="1395926608"/>
        <w:rPr>
          <w:rFonts w:hint="eastAsia"/>
          <w:sz w:val="30"/>
          <w:szCs w:val="30"/>
        </w:rPr>
      </w:pPr>
      <w:r>
        <w:rPr>
          <w:rFonts w:hint="eastAsia"/>
          <w:sz w:val="30"/>
          <w:szCs w:val="30"/>
        </w:rPr>
        <w:t>4.</w:t>
      </w:r>
      <w:r>
        <w:rPr>
          <w:rFonts w:hint="eastAsia"/>
          <w:sz w:val="30"/>
          <w:szCs w:val="30"/>
        </w:rPr>
        <w:t>二被告提供的产品认证证书网页截屏</w:t>
      </w:r>
      <w:r>
        <w:rPr>
          <w:rFonts w:hint="eastAsia"/>
          <w:sz w:val="30"/>
          <w:szCs w:val="30"/>
        </w:rPr>
        <w:t>(WZ-Q/T-TFDC6)</w:t>
      </w:r>
      <w:r>
        <w:rPr>
          <w:rFonts w:hint="eastAsia"/>
          <w:sz w:val="30"/>
          <w:szCs w:val="30"/>
        </w:rPr>
        <w:t>、《自愿性认证产品目录</w:t>
      </w:r>
      <w:r>
        <w:rPr>
          <w:rFonts w:hint="eastAsia"/>
          <w:sz w:val="30"/>
          <w:szCs w:val="30"/>
        </w:rPr>
        <w:t>(</w:t>
      </w:r>
      <w:r>
        <w:rPr>
          <w:rFonts w:hint="eastAsia"/>
          <w:sz w:val="30"/>
          <w:szCs w:val="30"/>
        </w:rPr>
        <w:t>灭火设备产品</w:t>
      </w:r>
      <w:r>
        <w:rPr>
          <w:rFonts w:hint="eastAsia"/>
          <w:sz w:val="30"/>
          <w:szCs w:val="30"/>
        </w:rPr>
        <w:t>)</w:t>
      </w:r>
      <w:r>
        <w:rPr>
          <w:rFonts w:hint="eastAsia"/>
          <w:sz w:val="30"/>
          <w:szCs w:val="30"/>
        </w:rPr>
        <w:t>》、《强制性认证证书</w:t>
      </w:r>
      <w:r>
        <w:rPr>
          <w:rFonts w:hint="eastAsia"/>
          <w:sz w:val="30"/>
          <w:szCs w:val="30"/>
        </w:rPr>
        <w:t>(</w:t>
      </w:r>
      <w:r>
        <w:rPr>
          <w:rFonts w:hint="eastAsia"/>
          <w:sz w:val="30"/>
          <w:szCs w:val="30"/>
        </w:rPr>
        <w:t>样式</w:t>
      </w:r>
      <w:r>
        <w:rPr>
          <w:rFonts w:hint="eastAsia"/>
          <w:sz w:val="30"/>
          <w:szCs w:val="30"/>
        </w:rPr>
        <w:t>)</w:t>
      </w:r>
      <w:r>
        <w:rPr>
          <w:rFonts w:hint="eastAsia"/>
          <w:sz w:val="30"/>
          <w:szCs w:val="30"/>
        </w:rPr>
        <w:t>》，证明涉案认证证书为“自愿性认证”，并非“强制性认证”，未经认证仍可以生产销售相关消防产品。原告对该组证据不予认可。本院认为，二被告当庭向本院展示网站信息，该证据真实性本院予以确认，但即使系争证书为自愿性认证产品，由于认证证书与产品</w:t>
      </w:r>
      <w:r>
        <w:rPr>
          <w:rFonts w:hint="eastAsia"/>
          <w:sz w:val="30"/>
          <w:szCs w:val="30"/>
        </w:rPr>
        <w:t>的信用、品质相关，不能证明被告主张原告不存在损失。</w:t>
      </w:r>
    </w:p>
    <w:p w:rsidR="00000000" w:rsidRDefault="0064438C">
      <w:pPr>
        <w:spacing w:line="500" w:lineRule="atLeast"/>
        <w:ind w:firstLine="600"/>
        <w:divId w:val="1339235751"/>
        <w:rPr>
          <w:rFonts w:hint="eastAsia"/>
          <w:sz w:val="30"/>
          <w:szCs w:val="30"/>
        </w:rPr>
      </w:pPr>
      <w:r>
        <w:rPr>
          <w:rFonts w:hint="eastAsia"/>
          <w:sz w:val="30"/>
          <w:szCs w:val="30"/>
        </w:rPr>
        <w:t>5.</w:t>
      </w:r>
      <w:r>
        <w:rPr>
          <w:rFonts w:hint="eastAsia"/>
          <w:sz w:val="30"/>
          <w:szCs w:val="30"/>
        </w:rPr>
        <w:t>二被告提供的邓伟军提交闵行经侦的说明，证明原告和王越早就知道且同意二被告设立申盾公司及将认证证书转移给申盾公司的事实。原告对该证据不予认可。本院认为，被告仅向本院提交了有邓伟军签名的说明，但未能向本院提交其向公安提交该说明的事实，也不能证明原告了解说明记载的内容，不能证明二被告的主张，本院不予采纳。</w:t>
      </w:r>
    </w:p>
    <w:p w:rsidR="00000000" w:rsidRDefault="0064438C">
      <w:pPr>
        <w:spacing w:line="500" w:lineRule="atLeast"/>
        <w:ind w:firstLine="600"/>
        <w:divId w:val="436679465"/>
        <w:rPr>
          <w:rFonts w:hint="eastAsia"/>
          <w:sz w:val="30"/>
          <w:szCs w:val="30"/>
        </w:rPr>
      </w:pPr>
      <w:r>
        <w:rPr>
          <w:rFonts w:hint="eastAsia"/>
          <w:sz w:val="30"/>
          <w:szCs w:val="30"/>
        </w:rPr>
        <w:t>6.</w:t>
      </w:r>
      <w:r>
        <w:rPr>
          <w:rFonts w:hint="eastAsia"/>
          <w:sz w:val="30"/>
          <w:szCs w:val="30"/>
        </w:rPr>
        <w:t>二被告提供的《关于德盾实业成立以及股东纠纷的说明》一组，证明</w:t>
      </w:r>
      <w:r>
        <w:rPr>
          <w:rFonts w:hint="eastAsia"/>
          <w:sz w:val="30"/>
          <w:szCs w:val="30"/>
        </w:rPr>
        <w:t>2015</w:t>
      </w:r>
      <w:r>
        <w:rPr>
          <w:rFonts w:hint="eastAsia"/>
          <w:sz w:val="30"/>
          <w:szCs w:val="30"/>
        </w:rPr>
        <w:t>年原告向公安局举报二被告时，二被告曾向公安局提交了说明，原告对于二被告在外设立公司早已明知。原告对该证据不认可。本院认为，即使二被告陈述为实，但不能证明原告已阅读了二被告向公安局提交的说明，故该证据与本案无关，本院不予采纳。</w:t>
      </w:r>
    </w:p>
    <w:p w:rsidR="00000000" w:rsidRDefault="0064438C">
      <w:pPr>
        <w:spacing w:line="500" w:lineRule="atLeast"/>
        <w:ind w:firstLine="600"/>
        <w:divId w:val="1200245678"/>
        <w:rPr>
          <w:rFonts w:hint="eastAsia"/>
          <w:sz w:val="30"/>
          <w:szCs w:val="30"/>
        </w:rPr>
      </w:pPr>
      <w:r>
        <w:rPr>
          <w:rFonts w:hint="eastAsia"/>
          <w:sz w:val="30"/>
          <w:szCs w:val="30"/>
        </w:rPr>
        <w:t>7.</w:t>
      </w:r>
      <w:r>
        <w:rPr>
          <w:rFonts w:hint="eastAsia"/>
          <w:sz w:val="30"/>
          <w:szCs w:val="30"/>
        </w:rPr>
        <w:t>《消防产品认证证书》</w:t>
      </w:r>
      <w:r>
        <w:rPr>
          <w:rFonts w:hint="eastAsia"/>
          <w:sz w:val="30"/>
          <w:szCs w:val="30"/>
        </w:rPr>
        <w:t>(WZ-Q/T-TFDC45</w:t>
      </w:r>
      <w:r>
        <w:rPr>
          <w:rFonts w:hint="eastAsia"/>
          <w:sz w:val="30"/>
          <w:szCs w:val="30"/>
        </w:rPr>
        <w:t>、</w:t>
      </w:r>
      <w:r>
        <w:rPr>
          <w:rFonts w:hint="eastAsia"/>
          <w:sz w:val="30"/>
          <w:szCs w:val="30"/>
        </w:rPr>
        <w:t>WZ-Q/T-TFDF3)</w:t>
      </w:r>
      <w:r>
        <w:rPr>
          <w:rFonts w:hint="eastAsia"/>
          <w:sz w:val="30"/>
          <w:szCs w:val="30"/>
        </w:rPr>
        <w:t>、《实用新型专利证书》，证明申盾公司有自己的认证证书、专利技术和业务。被告对该证据的真实性予以认可，但认为认证证书是在原告的资质基础上</w:t>
      </w:r>
      <w:r>
        <w:rPr>
          <w:rFonts w:hint="eastAsia"/>
          <w:sz w:val="30"/>
          <w:szCs w:val="30"/>
        </w:rPr>
        <w:t>申请的，且专利也仅是组建，对于证明目的不予认可。本院认为，上述证据虽能证明被告享有认证证书和专利技术，不能证明其实施侵权行为的合理性，故该组证据与本案无关，本院不予采纳。</w:t>
      </w:r>
    </w:p>
    <w:p w:rsidR="00000000" w:rsidRDefault="0064438C">
      <w:pPr>
        <w:spacing w:line="500" w:lineRule="atLeast"/>
        <w:ind w:firstLine="600"/>
        <w:divId w:val="1762136856"/>
        <w:rPr>
          <w:rFonts w:hint="eastAsia"/>
          <w:sz w:val="30"/>
          <w:szCs w:val="30"/>
        </w:rPr>
      </w:pPr>
      <w:r>
        <w:rPr>
          <w:rFonts w:hint="eastAsia"/>
          <w:sz w:val="30"/>
          <w:szCs w:val="30"/>
        </w:rPr>
        <w:t>经对原、被告提供的证据进行质证、认证，并结合双方当事人的陈述，本院确认事实如下：</w:t>
      </w:r>
    </w:p>
    <w:p w:rsidR="00000000" w:rsidRDefault="0064438C">
      <w:pPr>
        <w:spacing w:line="500" w:lineRule="atLeast"/>
        <w:ind w:firstLine="600"/>
        <w:divId w:val="2142838824"/>
        <w:rPr>
          <w:rFonts w:hint="eastAsia"/>
          <w:sz w:val="30"/>
          <w:szCs w:val="30"/>
        </w:rPr>
      </w:pPr>
      <w:r>
        <w:rPr>
          <w:rFonts w:hint="eastAsia"/>
          <w:sz w:val="30"/>
          <w:szCs w:val="30"/>
        </w:rPr>
        <w:t>德盾实业系于</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日设立的有限责任公司，注册资本为</w:t>
      </w:r>
      <w:r>
        <w:rPr>
          <w:rFonts w:hint="eastAsia"/>
          <w:sz w:val="30"/>
          <w:szCs w:val="30"/>
        </w:rPr>
        <w:t>500</w:t>
      </w:r>
      <w:r>
        <w:rPr>
          <w:rFonts w:hint="eastAsia"/>
          <w:sz w:val="30"/>
          <w:szCs w:val="30"/>
        </w:rPr>
        <w:t>万元，股东为邓伟军</w:t>
      </w:r>
      <w:r>
        <w:rPr>
          <w:rFonts w:hint="eastAsia"/>
          <w:sz w:val="30"/>
          <w:szCs w:val="30"/>
        </w:rPr>
        <w:t>(</w:t>
      </w:r>
      <w:r>
        <w:rPr>
          <w:rFonts w:hint="eastAsia"/>
          <w:sz w:val="30"/>
          <w:szCs w:val="30"/>
        </w:rPr>
        <w:t>认缴出资</w:t>
      </w:r>
      <w:r>
        <w:rPr>
          <w:rFonts w:hint="eastAsia"/>
          <w:sz w:val="30"/>
          <w:szCs w:val="30"/>
        </w:rPr>
        <w:t>150</w:t>
      </w:r>
      <w:r>
        <w:rPr>
          <w:rFonts w:hint="eastAsia"/>
          <w:sz w:val="30"/>
          <w:szCs w:val="30"/>
        </w:rPr>
        <w:t>万元</w:t>
      </w:r>
      <w:r>
        <w:rPr>
          <w:rFonts w:hint="eastAsia"/>
          <w:sz w:val="30"/>
          <w:szCs w:val="30"/>
        </w:rPr>
        <w:t>)</w:t>
      </w:r>
      <w:r>
        <w:rPr>
          <w:rFonts w:hint="eastAsia"/>
          <w:sz w:val="30"/>
          <w:szCs w:val="30"/>
        </w:rPr>
        <w:t>、王越</w:t>
      </w:r>
      <w:r>
        <w:rPr>
          <w:rFonts w:hint="eastAsia"/>
          <w:sz w:val="30"/>
          <w:szCs w:val="30"/>
        </w:rPr>
        <w:t>(</w:t>
      </w:r>
      <w:r>
        <w:rPr>
          <w:rFonts w:hint="eastAsia"/>
          <w:sz w:val="30"/>
          <w:szCs w:val="30"/>
        </w:rPr>
        <w:t>认缴出资</w:t>
      </w:r>
      <w:r>
        <w:rPr>
          <w:rFonts w:hint="eastAsia"/>
          <w:sz w:val="30"/>
          <w:szCs w:val="30"/>
        </w:rPr>
        <w:t>275</w:t>
      </w:r>
      <w:r>
        <w:rPr>
          <w:rFonts w:hint="eastAsia"/>
          <w:sz w:val="30"/>
          <w:szCs w:val="30"/>
        </w:rPr>
        <w:t>万元</w:t>
      </w:r>
      <w:r>
        <w:rPr>
          <w:rFonts w:hint="eastAsia"/>
          <w:sz w:val="30"/>
          <w:szCs w:val="30"/>
        </w:rPr>
        <w:t>)</w:t>
      </w:r>
      <w:r>
        <w:rPr>
          <w:rFonts w:hint="eastAsia"/>
          <w:sz w:val="30"/>
          <w:szCs w:val="30"/>
        </w:rPr>
        <w:t>、王宗宏</w:t>
      </w:r>
      <w:r>
        <w:rPr>
          <w:rFonts w:hint="eastAsia"/>
          <w:sz w:val="30"/>
          <w:szCs w:val="30"/>
        </w:rPr>
        <w:t>(</w:t>
      </w:r>
      <w:r>
        <w:rPr>
          <w:rFonts w:hint="eastAsia"/>
          <w:sz w:val="30"/>
          <w:szCs w:val="30"/>
        </w:rPr>
        <w:t>认缴出资</w:t>
      </w:r>
      <w:r>
        <w:rPr>
          <w:rFonts w:hint="eastAsia"/>
          <w:sz w:val="30"/>
          <w:szCs w:val="30"/>
        </w:rPr>
        <w:t>75</w:t>
      </w:r>
      <w:r>
        <w:rPr>
          <w:rFonts w:hint="eastAsia"/>
          <w:sz w:val="30"/>
          <w:szCs w:val="30"/>
        </w:rPr>
        <w:t>万元</w:t>
      </w:r>
      <w:r>
        <w:rPr>
          <w:rFonts w:hint="eastAsia"/>
          <w:sz w:val="30"/>
          <w:szCs w:val="30"/>
        </w:rPr>
        <w:t>)</w:t>
      </w:r>
      <w:r>
        <w:rPr>
          <w:rFonts w:hint="eastAsia"/>
          <w:sz w:val="30"/>
          <w:szCs w:val="30"/>
        </w:rPr>
        <w:t>。经营范围为“消防气体安全设备的生产与销售，自动化设备、消防设备、汽摩配件、印刷设备、电子产品、</w:t>
      </w:r>
      <w:r>
        <w:rPr>
          <w:rFonts w:hint="eastAsia"/>
          <w:sz w:val="30"/>
          <w:szCs w:val="30"/>
        </w:rPr>
        <w:t>机械设备、仪器仪表、电气设备及配件的销售，消防设施建设工程设计与施工、建筑装修装饰建设工程设计与施工</w:t>
      </w:r>
      <w:r>
        <w:rPr>
          <w:rFonts w:hint="eastAsia"/>
          <w:sz w:val="30"/>
          <w:szCs w:val="30"/>
        </w:rPr>
        <w:t>(</w:t>
      </w:r>
      <w:r>
        <w:rPr>
          <w:rFonts w:hint="eastAsia"/>
          <w:sz w:val="30"/>
          <w:szCs w:val="30"/>
        </w:rPr>
        <w:t>工程类项目凭许可资质经营</w:t>
      </w:r>
      <w:r>
        <w:rPr>
          <w:rFonts w:hint="eastAsia"/>
          <w:sz w:val="30"/>
          <w:szCs w:val="30"/>
        </w:rPr>
        <w:t>)</w:t>
      </w:r>
      <w:r>
        <w:rPr>
          <w:rFonts w:hint="eastAsia"/>
          <w:sz w:val="30"/>
          <w:szCs w:val="30"/>
        </w:rPr>
        <w:t>，室内外装饰装潢，从事货物及技术的进出口业务，从事消防设备技术领域内的技术开发、技术咨询、技术服务、技术转让。”德盾实业章程约定，……第三十六条董事、高级管理人员不得有下列行为：……</w:t>
      </w: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未经股东会同意，利用职务便利为自己或者他人谋取属于公司的商业机会，自营或者为他人经营与所任职公司同类的业务；……。第二十一条公司的法定代表人由执行董事担任。</w:t>
      </w:r>
    </w:p>
    <w:p w:rsidR="00000000" w:rsidRDefault="0064438C">
      <w:pPr>
        <w:spacing w:line="500" w:lineRule="atLeast"/>
        <w:ind w:firstLine="600"/>
        <w:divId w:val="1087920824"/>
        <w:rPr>
          <w:rFonts w:hint="eastAsia"/>
          <w:sz w:val="30"/>
          <w:szCs w:val="30"/>
        </w:rPr>
      </w:pP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日，原告将法定代表</w:t>
      </w:r>
      <w:r>
        <w:rPr>
          <w:rFonts w:hint="eastAsia"/>
          <w:sz w:val="30"/>
          <w:szCs w:val="30"/>
        </w:rPr>
        <w:t>人由王越变更为邓伟军。</w:t>
      </w:r>
    </w:p>
    <w:p w:rsidR="00000000" w:rsidRDefault="0064438C">
      <w:pPr>
        <w:spacing w:line="500" w:lineRule="atLeast"/>
        <w:ind w:firstLine="600"/>
        <w:divId w:val="1444030022"/>
        <w:rPr>
          <w:rFonts w:hint="eastAsia"/>
          <w:sz w:val="30"/>
          <w:szCs w:val="30"/>
        </w:rPr>
      </w:pP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日，原告申请《消防类产品质量认证》时，由王宗宏作为原告的代表签字。</w:t>
      </w:r>
    </w:p>
    <w:p w:rsidR="00000000" w:rsidRDefault="0064438C">
      <w:pPr>
        <w:spacing w:line="500" w:lineRule="atLeast"/>
        <w:ind w:firstLine="600"/>
        <w:divId w:val="1906258922"/>
        <w:rPr>
          <w:rFonts w:hint="eastAsia"/>
          <w:sz w:val="30"/>
          <w:szCs w:val="30"/>
        </w:rPr>
      </w:pP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日，原告取得二氧化碳感温自启动灭火装置</w:t>
      </w:r>
      <w:r>
        <w:rPr>
          <w:rFonts w:hint="eastAsia"/>
          <w:sz w:val="30"/>
          <w:szCs w:val="30"/>
        </w:rPr>
        <w:t>(</w:t>
      </w:r>
      <w:r>
        <w:rPr>
          <w:rFonts w:hint="eastAsia"/>
          <w:sz w:val="30"/>
          <w:szCs w:val="30"/>
        </w:rPr>
        <w:t>规格型号：</w:t>
      </w:r>
      <w:r>
        <w:rPr>
          <w:rFonts w:hint="eastAsia"/>
          <w:sz w:val="30"/>
          <w:szCs w:val="30"/>
        </w:rPr>
        <w:t>WZ-Q/T-TFDC6)</w:t>
      </w:r>
      <w:r>
        <w:rPr>
          <w:rFonts w:hint="eastAsia"/>
          <w:sz w:val="30"/>
          <w:szCs w:val="30"/>
        </w:rPr>
        <w:t>的《消防产品认证证书》。</w:t>
      </w:r>
    </w:p>
    <w:p w:rsidR="00000000" w:rsidRDefault="0064438C">
      <w:pPr>
        <w:spacing w:line="500" w:lineRule="atLeast"/>
        <w:ind w:firstLine="600"/>
        <w:divId w:val="1049763305"/>
        <w:rPr>
          <w:rFonts w:hint="eastAsia"/>
          <w:sz w:val="30"/>
          <w:szCs w:val="30"/>
        </w:rPr>
      </w:pP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日，原告接受消防产品评定中心认证后监督管理时，由王宗宏作为联系人和受检查方负责人签名。《检查报告》中记载：……</w:t>
      </w:r>
      <w:r>
        <w:rPr>
          <w:rFonts w:hint="eastAsia"/>
          <w:sz w:val="30"/>
          <w:szCs w:val="30"/>
        </w:rPr>
        <w:t>6.</w:t>
      </w:r>
      <w:r>
        <w:rPr>
          <w:rFonts w:hint="eastAsia"/>
          <w:sz w:val="30"/>
          <w:szCs w:val="30"/>
        </w:rPr>
        <w:t>其他需要说明的情况。……企业现场无法提供消防产品认证证书的原件。告知企业将原件寄回公安部消防产品合格评定中心。证书暂停期间不能生产销售。……。</w:t>
      </w:r>
    </w:p>
    <w:p w:rsidR="00000000" w:rsidRDefault="0064438C">
      <w:pPr>
        <w:spacing w:line="500" w:lineRule="atLeast"/>
        <w:ind w:firstLine="600"/>
        <w:divId w:val="1977638886"/>
        <w:rPr>
          <w:rFonts w:hint="eastAsia"/>
          <w:sz w:val="30"/>
          <w:szCs w:val="30"/>
        </w:rPr>
      </w:pPr>
      <w:r>
        <w:rPr>
          <w:rFonts w:hint="eastAsia"/>
          <w:sz w:val="30"/>
          <w:szCs w:val="30"/>
        </w:rPr>
        <w:t>20</w:t>
      </w:r>
      <w:r>
        <w:rPr>
          <w:rFonts w:hint="eastAsia"/>
          <w:sz w:val="30"/>
          <w:szCs w:val="30"/>
        </w:rPr>
        <w:t>13</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日，王越向邓伟军、王宗宏发送电子邮件，表示：我的态度：分家就是分德盾。其他没的谈，也不想再谈。……今天我分别致电给</w:t>
      </w:r>
      <w:r>
        <w:rPr>
          <w:rFonts w:hint="eastAsia"/>
          <w:sz w:val="30"/>
          <w:szCs w:val="30"/>
        </w:rPr>
        <w:t>2</w:t>
      </w:r>
      <w:r>
        <w:rPr>
          <w:rFonts w:hint="eastAsia"/>
          <w:sz w:val="30"/>
          <w:szCs w:val="30"/>
        </w:rPr>
        <w:t>位，我的提议是：大家分开。起因是</w:t>
      </w:r>
      <w:r>
        <w:rPr>
          <w:rFonts w:hint="eastAsia"/>
          <w:sz w:val="30"/>
          <w:szCs w:val="30"/>
        </w:rPr>
        <w:t>William</w:t>
      </w:r>
      <w:r>
        <w:rPr>
          <w:rFonts w:hint="eastAsia"/>
          <w:sz w:val="30"/>
          <w:szCs w:val="30"/>
        </w:rPr>
        <w:t>的行为。事情不大，我可能看的更多些，想的更多些。既然如此，每个人站在自己的立场，谈个分家的思路吧。未谈妥前，公平起见，公司账目非必要，我将采取封账。</w:t>
      </w:r>
    </w:p>
    <w:p w:rsidR="00000000" w:rsidRDefault="0064438C">
      <w:pPr>
        <w:spacing w:line="500" w:lineRule="atLeast"/>
        <w:ind w:firstLine="600"/>
        <w:divId w:val="726879665"/>
        <w:rPr>
          <w:rFonts w:hint="eastAsia"/>
          <w:sz w:val="30"/>
          <w:szCs w:val="30"/>
        </w:rPr>
      </w:pP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日，申盾公司设立，注册资金为</w:t>
      </w:r>
      <w:r>
        <w:rPr>
          <w:rFonts w:hint="eastAsia"/>
          <w:sz w:val="30"/>
          <w:szCs w:val="30"/>
        </w:rPr>
        <w:t>600</w:t>
      </w:r>
      <w:r>
        <w:rPr>
          <w:rFonts w:hint="eastAsia"/>
          <w:sz w:val="30"/>
          <w:szCs w:val="30"/>
        </w:rPr>
        <w:t>万，设立时的股东为邓伟军、王宗宏。申盾公司的经营范围为“自动化设备、汽车配件、印刷设备、电子产品、机械设备、仪器仪表、电气设备及配件的</w:t>
      </w:r>
      <w:r>
        <w:rPr>
          <w:rFonts w:hint="eastAsia"/>
          <w:sz w:val="30"/>
          <w:szCs w:val="30"/>
        </w:rPr>
        <w:t>销售，消防器材的制造、加工、销售，消防设施建设工程设计与施工、建筑装修装饰建设工程设计与施工，从事货物及结束的进出口业务，从事消防设备技术领域的技术开发、技术咨询、技术服务、技术转让。”</w:t>
      </w:r>
    </w:p>
    <w:p w:rsidR="00000000" w:rsidRDefault="0064438C">
      <w:pPr>
        <w:spacing w:line="500" w:lineRule="atLeast"/>
        <w:ind w:firstLine="600"/>
        <w:divId w:val="752433204"/>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日，德盾科技设立，注册资金</w:t>
      </w:r>
      <w:r>
        <w:rPr>
          <w:rFonts w:hint="eastAsia"/>
          <w:sz w:val="30"/>
          <w:szCs w:val="30"/>
        </w:rPr>
        <w:t>100</w:t>
      </w:r>
      <w:r>
        <w:rPr>
          <w:rFonts w:hint="eastAsia"/>
          <w:sz w:val="30"/>
          <w:szCs w:val="30"/>
        </w:rPr>
        <w:t>万元，设立时的股东为王宗宏、邓伟军。德盾科技的经营范围为“从事机电设备技术、电子技术、化工技术、消防设备技术领域内的技术开发、技术转让、技术咨询、技术服务，电子产品、通讯设备、建筑装潢材料、机电设备及配件、仪器仪表、消防设备的销售。”</w:t>
      </w:r>
    </w:p>
    <w:p w:rsidR="00000000" w:rsidRDefault="0064438C">
      <w:pPr>
        <w:spacing w:line="500" w:lineRule="atLeast"/>
        <w:ind w:firstLine="600"/>
        <w:divId w:val="718044635"/>
        <w:rPr>
          <w:rFonts w:hint="eastAsia"/>
          <w:sz w:val="30"/>
          <w:szCs w:val="30"/>
        </w:rPr>
      </w:pPr>
      <w:r>
        <w:rPr>
          <w:rFonts w:hint="eastAsia"/>
          <w:sz w:val="30"/>
          <w:szCs w:val="30"/>
        </w:rPr>
        <w:t>2014</w:t>
      </w:r>
      <w:r>
        <w:rPr>
          <w:rFonts w:hint="eastAsia"/>
          <w:sz w:val="30"/>
          <w:szCs w:val="30"/>
        </w:rPr>
        <w:t>年</w:t>
      </w:r>
      <w:r>
        <w:rPr>
          <w:rFonts w:hint="eastAsia"/>
          <w:sz w:val="30"/>
          <w:szCs w:val="30"/>
        </w:rPr>
        <w:t>1</w:t>
      </w:r>
      <w:r>
        <w:rPr>
          <w:rFonts w:hint="eastAsia"/>
          <w:sz w:val="30"/>
          <w:szCs w:val="30"/>
        </w:rPr>
        <w:t>月，原告停止向在职人员缴纳</w:t>
      </w:r>
      <w:r>
        <w:rPr>
          <w:rFonts w:hint="eastAsia"/>
          <w:sz w:val="30"/>
          <w:szCs w:val="30"/>
        </w:rPr>
        <w:t>社会保险金，并于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日办理了转出手续。</w:t>
      </w:r>
    </w:p>
    <w:p w:rsidR="00000000" w:rsidRDefault="0064438C">
      <w:pPr>
        <w:spacing w:line="500" w:lineRule="atLeast"/>
        <w:ind w:firstLine="600"/>
        <w:divId w:val="1793210368"/>
        <w:rPr>
          <w:rFonts w:hint="eastAsia"/>
          <w:sz w:val="30"/>
          <w:szCs w:val="30"/>
        </w:rPr>
      </w:pP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日，原告作出临时股东会决议，内容为：经股东表决同意，股东邓伟军不再担任德盾实业的执行董事</w:t>
      </w:r>
      <w:r>
        <w:rPr>
          <w:rFonts w:hint="eastAsia"/>
          <w:sz w:val="30"/>
          <w:szCs w:val="30"/>
        </w:rPr>
        <w:t>(</w:t>
      </w:r>
      <w:r>
        <w:rPr>
          <w:rFonts w:hint="eastAsia"/>
          <w:sz w:val="30"/>
          <w:szCs w:val="30"/>
        </w:rPr>
        <w:t>法定代表人</w:t>
      </w:r>
      <w:r>
        <w:rPr>
          <w:rFonts w:hint="eastAsia"/>
          <w:sz w:val="30"/>
          <w:szCs w:val="30"/>
        </w:rPr>
        <w:t>)</w:t>
      </w:r>
      <w:r>
        <w:rPr>
          <w:rFonts w:hint="eastAsia"/>
          <w:sz w:val="30"/>
          <w:szCs w:val="30"/>
        </w:rPr>
        <w:t>，由股东王越担任执行董事</w:t>
      </w:r>
      <w:r>
        <w:rPr>
          <w:rFonts w:hint="eastAsia"/>
          <w:sz w:val="30"/>
          <w:szCs w:val="30"/>
        </w:rPr>
        <w:t>(</w:t>
      </w:r>
      <w:r>
        <w:rPr>
          <w:rFonts w:hint="eastAsia"/>
          <w:sz w:val="30"/>
          <w:szCs w:val="30"/>
        </w:rPr>
        <w:t>法定代表人</w:t>
      </w:r>
      <w:r>
        <w:rPr>
          <w:rFonts w:hint="eastAsia"/>
          <w:sz w:val="30"/>
          <w:szCs w:val="30"/>
        </w:rPr>
        <w:t>)</w:t>
      </w:r>
      <w:r>
        <w:rPr>
          <w:rFonts w:hint="eastAsia"/>
          <w:sz w:val="30"/>
          <w:szCs w:val="30"/>
        </w:rPr>
        <w:t>。</w:t>
      </w:r>
    </w:p>
    <w:p w:rsidR="00000000" w:rsidRDefault="0064438C">
      <w:pPr>
        <w:spacing w:line="500" w:lineRule="atLeast"/>
        <w:ind w:firstLine="600"/>
        <w:divId w:val="11230852"/>
        <w:rPr>
          <w:rFonts w:hint="eastAsia"/>
          <w:sz w:val="30"/>
          <w:szCs w:val="30"/>
        </w:rPr>
      </w:pP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日，二氧化碳感温自启动灭火装置的《消防产品认证证书》转至申盾公司名下。</w:t>
      </w:r>
    </w:p>
    <w:p w:rsidR="00000000" w:rsidRDefault="0064438C">
      <w:pPr>
        <w:spacing w:line="500" w:lineRule="atLeast"/>
        <w:ind w:firstLine="600"/>
        <w:divId w:val="442579157"/>
        <w:rPr>
          <w:rFonts w:hint="eastAsia"/>
          <w:sz w:val="30"/>
          <w:szCs w:val="30"/>
        </w:rPr>
      </w:pP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日，王宗宏代表申盾公司，就原告租赁的位于上海市嘉定区嘉朱公路</w:t>
      </w:r>
      <w:r>
        <w:rPr>
          <w:rFonts w:hint="eastAsia"/>
          <w:sz w:val="30"/>
          <w:szCs w:val="30"/>
        </w:rPr>
        <w:t>XXX</w:t>
      </w:r>
      <w:r>
        <w:rPr>
          <w:rFonts w:hint="eastAsia"/>
          <w:sz w:val="30"/>
          <w:szCs w:val="30"/>
        </w:rPr>
        <w:t>号的厂房，与案外人上海民立冲压件厂签订了新的租赁合同。</w:t>
      </w:r>
    </w:p>
    <w:p w:rsidR="00000000" w:rsidRDefault="0064438C">
      <w:pPr>
        <w:spacing w:line="500" w:lineRule="atLeast"/>
        <w:ind w:firstLine="600"/>
        <w:divId w:val="1504664934"/>
        <w:rPr>
          <w:rFonts w:hint="eastAsia"/>
          <w:sz w:val="30"/>
          <w:szCs w:val="30"/>
        </w:rPr>
      </w:pP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日，邓伟军向本院提起诉讼，请求撤销德盾实业于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日做出的变更德盾实业执行董事</w:t>
      </w:r>
      <w:r>
        <w:rPr>
          <w:rFonts w:hint="eastAsia"/>
          <w:sz w:val="30"/>
          <w:szCs w:val="30"/>
        </w:rPr>
        <w:t>(</w:t>
      </w:r>
      <w:r>
        <w:rPr>
          <w:rFonts w:hint="eastAsia"/>
          <w:sz w:val="30"/>
          <w:szCs w:val="30"/>
        </w:rPr>
        <w:t>法定代表人</w:t>
      </w:r>
      <w:r>
        <w:rPr>
          <w:rFonts w:hint="eastAsia"/>
          <w:sz w:val="30"/>
          <w:szCs w:val="30"/>
        </w:rPr>
        <w:t>)</w:t>
      </w:r>
      <w:r>
        <w:rPr>
          <w:rFonts w:hint="eastAsia"/>
          <w:sz w:val="30"/>
          <w:szCs w:val="30"/>
        </w:rPr>
        <w:t>的股东会决议。邓伟军诉称，邓伟军担任德盾实业的执行董事，系德盾实业法定代表人。德盾实业的监事为胡锋，胡锋曾担任德盾实业的会计一职。</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日，王越向邓伟军致函提议于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日召开临时股东会，邓伟军于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复函表示因德盾实业正处于业务发展的关键时期，且时近跨年交接阶段，各方面的工作亟待处理和解决，基于上述客观原因，邓伟军将根据德盾实业的经营情况，并结合各股东的日程安排，另行安排临时股东会的召开时间。待临时股东会召开时间确定后</w:t>
      </w:r>
      <w:r>
        <w:rPr>
          <w:rFonts w:hint="eastAsia"/>
          <w:sz w:val="30"/>
          <w:szCs w:val="30"/>
        </w:rPr>
        <w:t>，邓伟军将向各位股东发出召开临时股东会的通知……。法院经审理后，作出</w:t>
      </w:r>
      <w:r>
        <w:rPr>
          <w:rFonts w:hint="eastAsia"/>
          <w:sz w:val="30"/>
          <w:szCs w:val="30"/>
        </w:rPr>
        <w:t>(2014)</w:t>
      </w:r>
      <w:r>
        <w:rPr>
          <w:rFonts w:hint="eastAsia"/>
          <w:sz w:val="30"/>
          <w:szCs w:val="30"/>
        </w:rPr>
        <w:t>闵民二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667</w:t>
      </w:r>
      <w:r>
        <w:rPr>
          <w:rFonts w:hint="eastAsia"/>
          <w:sz w:val="30"/>
          <w:szCs w:val="30"/>
        </w:rPr>
        <w:t>号民事判决书，判决驳回邓伟军的诉讼请求。之后，邓伟军不服判决，上诉至第一中级人民法院。二审法院经审理后，驳回上诉，维持原判。</w:t>
      </w:r>
    </w:p>
    <w:p w:rsidR="00000000" w:rsidRDefault="0064438C">
      <w:pPr>
        <w:spacing w:line="500" w:lineRule="atLeast"/>
        <w:ind w:firstLine="600"/>
        <w:divId w:val="1073889663"/>
        <w:rPr>
          <w:rFonts w:hint="eastAsia"/>
          <w:sz w:val="30"/>
          <w:szCs w:val="30"/>
        </w:rPr>
      </w:pPr>
      <w:r>
        <w:rPr>
          <w:rFonts w:hint="eastAsia"/>
          <w:sz w:val="30"/>
          <w:szCs w:val="30"/>
        </w:rPr>
        <w:t>2014</w:t>
      </w:r>
      <w:r>
        <w:rPr>
          <w:rFonts w:hint="eastAsia"/>
          <w:sz w:val="30"/>
          <w:szCs w:val="30"/>
        </w:rPr>
        <w:t>年</w:t>
      </w:r>
      <w:r>
        <w:rPr>
          <w:rFonts w:hint="eastAsia"/>
          <w:sz w:val="30"/>
          <w:szCs w:val="30"/>
        </w:rPr>
        <w:t>5</w:t>
      </w:r>
      <w:r>
        <w:rPr>
          <w:rFonts w:hint="eastAsia"/>
          <w:sz w:val="30"/>
          <w:szCs w:val="30"/>
        </w:rPr>
        <w:t>月，德盾科技向案外人销售火探系统装置，并签订多份合同，其中包含了申盾公司型号为</w:t>
      </w:r>
      <w:r>
        <w:rPr>
          <w:rFonts w:hint="eastAsia"/>
          <w:sz w:val="30"/>
          <w:szCs w:val="30"/>
        </w:rPr>
        <w:t>WZ-Q/T-TFDC6</w:t>
      </w:r>
      <w:r>
        <w:rPr>
          <w:rFonts w:hint="eastAsia"/>
          <w:sz w:val="30"/>
          <w:szCs w:val="30"/>
        </w:rPr>
        <w:t>的二氧化碳感温自自动灭火装置。</w:t>
      </w:r>
    </w:p>
    <w:p w:rsidR="00000000" w:rsidRDefault="0064438C">
      <w:pPr>
        <w:spacing w:line="500" w:lineRule="atLeast"/>
        <w:ind w:firstLine="600"/>
        <w:divId w:val="1230923269"/>
        <w:rPr>
          <w:rFonts w:hint="eastAsia"/>
          <w:sz w:val="30"/>
          <w:szCs w:val="30"/>
        </w:rPr>
      </w:pP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日，申盾公司将股东由邓伟军、王宗宏变更为王宗宏</w:t>
      </w:r>
      <w:r>
        <w:rPr>
          <w:rFonts w:hint="eastAsia"/>
          <w:sz w:val="30"/>
          <w:szCs w:val="30"/>
        </w:rPr>
        <w:t>(</w:t>
      </w:r>
      <w:r>
        <w:rPr>
          <w:rFonts w:hint="eastAsia"/>
          <w:sz w:val="30"/>
          <w:szCs w:val="30"/>
        </w:rPr>
        <w:t>出资</w:t>
      </w:r>
      <w:r>
        <w:rPr>
          <w:rFonts w:hint="eastAsia"/>
          <w:sz w:val="30"/>
          <w:szCs w:val="30"/>
        </w:rPr>
        <w:t>540</w:t>
      </w:r>
      <w:r>
        <w:rPr>
          <w:rFonts w:hint="eastAsia"/>
          <w:sz w:val="30"/>
          <w:szCs w:val="30"/>
        </w:rPr>
        <w:t>万</w:t>
      </w:r>
      <w:r>
        <w:rPr>
          <w:rFonts w:hint="eastAsia"/>
          <w:sz w:val="30"/>
          <w:szCs w:val="30"/>
        </w:rPr>
        <w:t>)</w:t>
      </w:r>
      <w:r>
        <w:rPr>
          <w:rFonts w:hint="eastAsia"/>
          <w:sz w:val="30"/>
          <w:szCs w:val="30"/>
        </w:rPr>
        <w:t>、赵思兴</w:t>
      </w:r>
      <w:r>
        <w:rPr>
          <w:rFonts w:hint="eastAsia"/>
          <w:sz w:val="30"/>
          <w:szCs w:val="30"/>
        </w:rPr>
        <w:t>(</w:t>
      </w:r>
      <w:r>
        <w:rPr>
          <w:rFonts w:hint="eastAsia"/>
          <w:sz w:val="30"/>
          <w:szCs w:val="30"/>
        </w:rPr>
        <w:t>出资</w:t>
      </w:r>
      <w:r>
        <w:rPr>
          <w:rFonts w:hint="eastAsia"/>
          <w:sz w:val="30"/>
          <w:szCs w:val="30"/>
        </w:rPr>
        <w:t>60</w:t>
      </w:r>
      <w:r>
        <w:rPr>
          <w:rFonts w:hint="eastAsia"/>
          <w:sz w:val="30"/>
          <w:szCs w:val="30"/>
        </w:rPr>
        <w:t>万</w:t>
      </w:r>
      <w:r>
        <w:rPr>
          <w:rFonts w:hint="eastAsia"/>
          <w:sz w:val="30"/>
          <w:szCs w:val="30"/>
        </w:rPr>
        <w:t>)</w:t>
      </w:r>
      <w:r>
        <w:rPr>
          <w:rFonts w:hint="eastAsia"/>
          <w:sz w:val="30"/>
          <w:szCs w:val="30"/>
        </w:rPr>
        <w:t>；法定代表人从邓伟军变更为赵思兴。</w:t>
      </w:r>
    </w:p>
    <w:p w:rsidR="00000000" w:rsidRDefault="0064438C">
      <w:pPr>
        <w:spacing w:line="500" w:lineRule="atLeast"/>
        <w:ind w:firstLine="600"/>
        <w:divId w:val="1757634140"/>
        <w:rPr>
          <w:rFonts w:hint="eastAsia"/>
          <w:sz w:val="30"/>
          <w:szCs w:val="30"/>
        </w:rPr>
      </w:pP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日，德盾科技将股东由王宗宏、邓伟军变更为王宗宏</w:t>
      </w:r>
      <w:r>
        <w:rPr>
          <w:rFonts w:hint="eastAsia"/>
          <w:sz w:val="30"/>
          <w:szCs w:val="30"/>
        </w:rPr>
        <w:t>(</w:t>
      </w:r>
      <w:r>
        <w:rPr>
          <w:rFonts w:hint="eastAsia"/>
          <w:sz w:val="30"/>
          <w:szCs w:val="30"/>
        </w:rPr>
        <w:t>出资</w:t>
      </w:r>
      <w:r>
        <w:rPr>
          <w:rFonts w:hint="eastAsia"/>
          <w:sz w:val="30"/>
          <w:szCs w:val="30"/>
        </w:rPr>
        <w:t>50</w:t>
      </w:r>
      <w:r>
        <w:rPr>
          <w:rFonts w:hint="eastAsia"/>
          <w:sz w:val="30"/>
          <w:szCs w:val="30"/>
        </w:rPr>
        <w:t>万</w:t>
      </w:r>
      <w:r>
        <w:rPr>
          <w:rFonts w:hint="eastAsia"/>
          <w:sz w:val="30"/>
          <w:szCs w:val="30"/>
        </w:rPr>
        <w:t>)</w:t>
      </w:r>
      <w:r>
        <w:rPr>
          <w:rFonts w:hint="eastAsia"/>
          <w:sz w:val="30"/>
          <w:szCs w:val="30"/>
        </w:rPr>
        <w:t>、赵思兴</w:t>
      </w:r>
      <w:r>
        <w:rPr>
          <w:rFonts w:hint="eastAsia"/>
          <w:sz w:val="30"/>
          <w:szCs w:val="30"/>
        </w:rPr>
        <w:t>(</w:t>
      </w:r>
      <w:r>
        <w:rPr>
          <w:rFonts w:hint="eastAsia"/>
          <w:sz w:val="30"/>
          <w:szCs w:val="30"/>
        </w:rPr>
        <w:t>出资</w:t>
      </w:r>
      <w:r>
        <w:rPr>
          <w:rFonts w:hint="eastAsia"/>
          <w:sz w:val="30"/>
          <w:szCs w:val="30"/>
        </w:rPr>
        <w:t>50</w:t>
      </w:r>
      <w:r>
        <w:rPr>
          <w:rFonts w:hint="eastAsia"/>
          <w:sz w:val="30"/>
          <w:szCs w:val="30"/>
        </w:rPr>
        <w:t>万</w:t>
      </w:r>
      <w:r>
        <w:rPr>
          <w:rFonts w:hint="eastAsia"/>
          <w:sz w:val="30"/>
          <w:szCs w:val="30"/>
        </w:rPr>
        <w:t>)</w:t>
      </w:r>
      <w:r>
        <w:rPr>
          <w:rFonts w:hint="eastAsia"/>
          <w:sz w:val="30"/>
          <w:szCs w:val="30"/>
        </w:rPr>
        <w:t>；法定代表人从邓伟军变更为赵思兴。</w:t>
      </w:r>
    </w:p>
    <w:p w:rsidR="00000000" w:rsidRDefault="0064438C">
      <w:pPr>
        <w:spacing w:line="500" w:lineRule="atLeast"/>
        <w:ind w:firstLine="600"/>
        <w:divId w:val="561329501"/>
        <w:rPr>
          <w:rFonts w:hint="eastAsia"/>
          <w:sz w:val="30"/>
          <w:szCs w:val="30"/>
        </w:rPr>
      </w:pP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王越向本院就本案相同诉讼请求和事实理由对邓伟军、王宗宏提起诉讼，后本院以王越没有充分证据证实德盾实业目前已无途径以公司名义起诉，不应舍近求远绕过德盾实业而直接向法院提起股东代表诉讼，故裁定驳回原告的起诉。王越不服裁定上诉至上海市第一中级人民法院，法院审查后，驳回上诉，维持原裁定。</w:t>
      </w:r>
    </w:p>
    <w:p w:rsidR="00000000" w:rsidRDefault="0064438C">
      <w:pPr>
        <w:spacing w:line="500" w:lineRule="atLeast"/>
        <w:ind w:firstLine="600"/>
        <w:divId w:val="1301349564"/>
        <w:rPr>
          <w:rFonts w:hint="eastAsia"/>
          <w:sz w:val="30"/>
          <w:szCs w:val="30"/>
        </w:rPr>
      </w:pP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日，德盾实业被吊销营业执照。</w:t>
      </w:r>
    </w:p>
    <w:p w:rsidR="00000000" w:rsidRDefault="0064438C">
      <w:pPr>
        <w:spacing w:line="500" w:lineRule="atLeast"/>
        <w:ind w:firstLine="600"/>
        <w:divId w:val="636646646"/>
        <w:rPr>
          <w:rFonts w:hint="eastAsia"/>
          <w:sz w:val="30"/>
          <w:szCs w:val="30"/>
        </w:rPr>
      </w:pPr>
      <w:r>
        <w:rPr>
          <w:rFonts w:hint="eastAsia"/>
          <w:sz w:val="30"/>
          <w:szCs w:val="30"/>
        </w:rPr>
        <w:t>另查明，本院</w:t>
      </w:r>
      <w:r>
        <w:rPr>
          <w:rFonts w:hint="eastAsia"/>
          <w:sz w:val="30"/>
          <w:szCs w:val="30"/>
        </w:rPr>
        <w:t>(2014)</w:t>
      </w:r>
      <w:r>
        <w:rPr>
          <w:rFonts w:hint="eastAsia"/>
          <w:sz w:val="30"/>
          <w:szCs w:val="30"/>
        </w:rPr>
        <w:t>闵民二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461</w:t>
      </w:r>
      <w:r>
        <w:rPr>
          <w:rFonts w:hint="eastAsia"/>
          <w:sz w:val="30"/>
          <w:szCs w:val="30"/>
        </w:rPr>
        <w:t>号判决书确认，</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日，德盾实业作出临时股东会决议，内容为：经股东表决同意，股东邓伟军不再担任德盾实业执行董事</w:t>
      </w:r>
      <w:r>
        <w:rPr>
          <w:rFonts w:hint="eastAsia"/>
          <w:sz w:val="30"/>
          <w:szCs w:val="30"/>
        </w:rPr>
        <w:t>(</w:t>
      </w:r>
      <w:r>
        <w:rPr>
          <w:rFonts w:hint="eastAsia"/>
          <w:sz w:val="30"/>
          <w:szCs w:val="30"/>
        </w:rPr>
        <w:t>法定代表人</w:t>
      </w:r>
      <w:r>
        <w:rPr>
          <w:rFonts w:hint="eastAsia"/>
          <w:sz w:val="30"/>
          <w:szCs w:val="30"/>
        </w:rPr>
        <w:t>)</w:t>
      </w:r>
      <w:r>
        <w:rPr>
          <w:rFonts w:hint="eastAsia"/>
          <w:sz w:val="30"/>
          <w:szCs w:val="30"/>
        </w:rPr>
        <w:t>，由股东王越担任德盾实业执行董事</w:t>
      </w:r>
      <w:r>
        <w:rPr>
          <w:rFonts w:hint="eastAsia"/>
          <w:sz w:val="30"/>
          <w:szCs w:val="30"/>
        </w:rPr>
        <w:t>(</w:t>
      </w:r>
      <w:r>
        <w:rPr>
          <w:rFonts w:hint="eastAsia"/>
          <w:sz w:val="30"/>
          <w:szCs w:val="30"/>
        </w:rPr>
        <w:t>法定代表人</w:t>
      </w:r>
      <w:r>
        <w:rPr>
          <w:rFonts w:hint="eastAsia"/>
          <w:sz w:val="30"/>
          <w:szCs w:val="30"/>
        </w:rPr>
        <w:t>)</w:t>
      </w:r>
      <w:r>
        <w:rPr>
          <w:rFonts w:hint="eastAsia"/>
          <w:sz w:val="30"/>
          <w:szCs w:val="30"/>
        </w:rPr>
        <w:t>。</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日，邓伟军以上述股东会召集程序违反公司法及公司章程为由，请求人民法院撤销上述临时股东会决议。法院经审理后作出</w:t>
      </w:r>
      <w:r>
        <w:rPr>
          <w:rFonts w:hint="eastAsia"/>
          <w:sz w:val="30"/>
          <w:szCs w:val="30"/>
        </w:rPr>
        <w:t>(2014)</w:t>
      </w:r>
      <w:r>
        <w:rPr>
          <w:rFonts w:hint="eastAsia"/>
          <w:sz w:val="30"/>
          <w:szCs w:val="30"/>
        </w:rPr>
        <w:t>闵民二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667</w:t>
      </w:r>
      <w:r>
        <w:rPr>
          <w:rFonts w:hint="eastAsia"/>
          <w:sz w:val="30"/>
          <w:szCs w:val="30"/>
        </w:rPr>
        <w:t>号民事判决，驳回邓伟军的诉讼请求。邓伟军不服上诉至上海市第一中级人民法院。法院经审理后作出</w:t>
      </w:r>
      <w:r>
        <w:rPr>
          <w:rFonts w:hint="eastAsia"/>
          <w:sz w:val="30"/>
          <w:szCs w:val="30"/>
        </w:rPr>
        <w:t>(2014)</w:t>
      </w:r>
      <w:r>
        <w:rPr>
          <w:rFonts w:hint="eastAsia"/>
          <w:sz w:val="30"/>
          <w:szCs w:val="30"/>
        </w:rPr>
        <w:t>沪一中民四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终字第</w:t>
      </w:r>
      <w:r>
        <w:rPr>
          <w:rFonts w:hint="eastAsia"/>
          <w:sz w:val="30"/>
          <w:szCs w:val="30"/>
        </w:rPr>
        <w:t>1091</w:t>
      </w:r>
      <w:r>
        <w:rPr>
          <w:rFonts w:hint="eastAsia"/>
          <w:sz w:val="30"/>
          <w:szCs w:val="30"/>
        </w:rPr>
        <w:t>号民事判决</w:t>
      </w:r>
      <w:r>
        <w:rPr>
          <w:rFonts w:hint="eastAsia"/>
          <w:sz w:val="30"/>
          <w:szCs w:val="30"/>
        </w:rPr>
        <w:t>(</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日终审</w:t>
      </w:r>
      <w:r>
        <w:rPr>
          <w:rFonts w:hint="eastAsia"/>
          <w:sz w:val="30"/>
          <w:szCs w:val="30"/>
        </w:rPr>
        <w:t>)</w:t>
      </w:r>
      <w:r>
        <w:rPr>
          <w:rFonts w:hint="eastAsia"/>
          <w:sz w:val="30"/>
          <w:szCs w:val="30"/>
        </w:rPr>
        <w:t>，驳回上诉，维持原判。</w:t>
      </w:r>
      <w:r>
        <w:rPr>
          <w:rFonts w:hint="eastAsia"/>
          <w:sz w:val="30"/>
          <w:szCs w:val="30"/>
        </w:rPr>
        <w:t>(2014)</w:t>
      </w:r>
      <w:r>
        <w:rPr>
          <w:rFonts w:hint="eastAsia"/>
          <w:sz w:val="30"/>
          <w:szCs w:val="30"/>
        </w:rPr>
        <w:t>闵民二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461</w:t>
      </w:r>
      <w:r>
        <w:rPr>
          <w:rFonts w:hint="eastAsia"/>
          <w:sz w:val="30"/>
          <w:szCs w:val="30"/>
        </w:rPr>
        <w:t>号判决书判决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日二审终审</w:t>
      </w:r>
      <w:r>
        <w:rPr>
          <w:rFonts w:hint="eastAsia"/>
          <w:sz w:val="30"/>
          <w:szCs w:val="30"/>
        </w:rPr>
        <w:t>)</w:t>
      </w:r>
      <w:r>
        <w:rPr>
          <w:rFonts w:hint="eastAsia"/>
          <w:sz w:val="30"/>
          <w:szCs w:val="30"/>
        </w:rPr>
        <w:t>，德盾实业至上海市工商行政管理局闵行分局办理将公司法定代表人由邓伟军变更为王越的登记手续。</w:t>
      </w:r>
    </w:p>
    <w:p w:rsidR="00000000" w:rsidRDefault="0064438C">
      <w:pPr>
        <w:spacing w:line="500" w:lineRule="atLeast"/>
        <w:ind w:firstLine="600"/>
        <w:divId w:val="670913547"/>
        <w:rPr>
          <w:rFonts w:hint="eastAsia"/>
          <w:sz w:val="30"/>
          <w:szCs w:val="30"/>
        </w:rPr>
      </w:pPr>
      <w:r>
        <w:rPr>
          <w:rFonts w:hint="eastAsia"/>
          <w:sz w:val="30"/>
          <w:szCs w:val="30"/>
        </w:rPr>
        <w:t>又查明，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日，上海市公安局嘉定分局娄塘派出所对王越、王宗宏进行询问，王越承认拿走王越</w:t>
      </w:r>
      <w:r>
        <w:rPr>
          <w:rFonts w:hint="eastAsia"/>
          <w:sz w:val="30"/>
          <w:szCs w:val="30"/>
        </w:rPr>
        <w:t>IBM</w:t>
      </w:r>
      <w:r>
        <w:rPr>
          <w:rFonts w:hint="eastAsia"/>
          <w:sz w:val="30"/>
          <w:szCs w:val="30"/>
        </w:rPr>
        <w:t>牌</w:t>
      </w:r>
      <w:r>
        <w:rPr>
          <w:rFonts w:hint="eastAsia"/>
          <w:sz w:val="30"/>
          <w:szCs w:val="30"/>
        </w:rPr>
        <w:t>T410</w:t>
      </w:r>
      <w:r>
        <w:rPr>
          <w:rFonts w:hint="eastAsia"/>
          <w:sz w:val="30"/>
          <w:szCs w:val="30"/>
        </w:rPr>
        <w:t>型黑色笔记本电脑一台。庭审中，王越出示该电脑，电脑内存储了王宗宏的照片、《公司更名通知函》、德盾科技与案外人的多份销售合同等，其中《公司更名通知函》记载：尊敬的客户、供应商及相</w:t>
      </w:r>
      <w:r>
        <w:rPr>
          <w:rFonts w:hint="eastAsia"/>
          <w:sz w:val="30"/>
          <w:szCs w:val="30"/>
        </w:rPr>
        <w:t>关单位：由于公司发展需要，自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日起，本公司由“上海德盾实业有限公司”正式更名为“上海申盾消防设备有限公司”。在国家“公安部消防产品合格评定中心”的备案已于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日，正式由德盾实业更名为申盾公司，相关正式认证证书也已更名发放。届时以德盾实业名称签署的协议或合同，权利义务均不受影响，联络人、服务电话及通讯地址维持不变。</w:t>
      </w:r>
    </w:p>
    <w:p w:rsidR="00000000" w:rsidRDefault="0064438C">
      <w:pPr>
        <w:spacing w:line="500" w:lineRule="atLeast"/>
        <w:ind w:firstLine="600"/>
        <w:divId w:val="1136724573"/>
        <w:rPr>
          <w:rFonts w:hint="eastAsia"/>
          <w:sz w:val="30"/>
          <w:szCs w:val="30"/>
        </w:rPr>
      </w:pPr>
      <w:r>
        <w:rPr>
          <w:rFonts w:hint="eastAsia"/>
          <w:sz w:val="30"/>
          <w:szCs w:val="30"/>
        </w:rPr>
        <w:t>诉讼中，原告表示，本案请求权基础为公司法第</w:t>
      </w:r>
      <w:r>
        <w:rPr>
          <w:rFonts w:hint="eastAsia"/>
          <w:sz w:val="30"/>
          <w:szCs w:val="30"/>
        </w:rPr>
        <w:t>148</w:t>
      </w:r>
      <w:r>
        <w:rPr>
          <w:rFonts w:hint="eastAsia"/>
          <w:sz w:val="30"/>
          <w:szCs w:val="30"/>
        </w:rPr>
        <w:t>条第五项，二被告均为高级管理人员，邓伟军为法定代表人、王宗宏为生产厂长、技术经理；原告消防资质转移后的损失已转移到二被告</w:t>
      </w:r>
      <w:r>
        <w:rPr>
          <w:rFonts w:hint="eastAsia"/>
          <w:sz w:val="30"/>
          <w:szCs w:val="30"/>
        </w:rPr>
        <w:t>设立的公司中去了，故对于消防资质转移本身的侵权行为原告保留诉权，不在本案中主张；原告请求归入的被告收入为经营性、权益性收入，不包含个人工资性收入。</w:t>
      </w:r>
    </w:p>
    <w:p w:rsidR="00000000" w:rsidRDefault="0064438C">
      <w:pPr>
        <w:spacing w:line="500" w:lineRule="atLeast"/>
        <w:ind w:firstLine="600"/>
        <w:divId w:val="786779574"/>
        <w:rPr>
          <w:rFonts w:hint="eastAsia"/>
          <w:sz w:val="30"/>
          <w:szCs w:val="30"/>
        </w:rPr>
      </w:pPr>
      <w:r>
        <w:rPr>
          <w:rFonts w:hint="eastAsia"/>
          <w:sz w:val="30"/>
          <w:szCs w:val="30"/>
        </w:rPr>
        <w:t>被告陈述，邓伟军自</w:t>
      </w:r>
      <w:r>
        <w:rPr>
          <w:rFonts w:hint="eastAsia"/>
          <w:sz w:val="30"/>
          <w:szCs w:val="30"/>
        </w:rPr>
        <w:t>2012</w:t>
      </w:r>
      <w:r>
        <w:rPr>
          <w:rFonts w:hint="eastAsia"/>
          <w:sz w:val="30"/>
          <w:szCs w:val="30"/>
        </w:rPr>
        <w:t>年变更为原告的法定代表人，但是直至</w:t>
      </w:r>
      <w:r>
        <w:rPr>
          <w:rFonts w:hint="eastAsia"/>
          <w:sz w:val="30"/>
          <w:szCs w:val="30"/>
        </w:rPr>
        <w:t>2013</w:t>
      </w:r>
      <w:r>
        <w:rPr>
          <w:rFonts w:hint="eastAsia"/>
          <w:sz w:val="30"/>
          <w:szCs w:val="30"/>
        </w:rPr>
        <w:t>年</w:t>
      </w:r>
      <w:r>
        <w:rPr>
          <w:rFonts w:hint="eastAsia"/>
          <w:sz w:val="30"/>
          <w:szCs w:val="30"/>
        </w:rPr>
        <w:t>8</w:t>
      </w:r>
      <w:r>
        <w:rPr>
          <w:rFonts w:hint="eastAsia"/>
          <w:sz w:val="30"/>
          <w:szCs w:val="30"/>
        </w:rPr>
        <w:t>月，邓伟军才拿到公司印章，公司账册一直由王越控制；嗣后，股东之间矛盾不断，王越未参与公司经营，由邓伟军管理公司。</w:t>
      </w:r>
    </w:p>
    <w:p w:rsidR="00000000" w:rsidRDefault="0064438C">
      <w:pPr>
        <w:spacing w:line="500" w:lineRule="atLeast"/>
        <w:ind w:firstLine="600"/>
        <w:divId w:val="1469393642"/>
        <w:rPr>
          <w:rFonts w:hint="eastAsia"/>
          <w:sz w:val="30"/>
          <w:szCs w:val="30"/>
        </w:rPr>
      </w:pPr>
      <w:r>
        <w:rPr>
          <w:rFonts w:hint="eastAsia"/>
          <w:sz w:val="30"/>
          <w:szCs w:val="30"/>
        </w:rPr>
        <w:t>本院认为，董事、高级管理人员未经股东会或者股东大会同意，利用职务便利为自己或者他人谋取属于公司的商业机会，自营或者为他人经营与所任职公司同类的业务，所得的收入应当归公司所有。本案</w:t>
      </w:r>
      <w:r>
        <w:rPr>
          <w:rFonts w:hint="eastAsia"/>
          <w:sz w:val="30"/>
          <w:szCs w:val="30"/>
        </w:rPr>
        <w:t>有如下争议焦点：</w:t>
      </w:r>
    </w:p>
    <w:p w:rsidR="00000000" w:rsidRDefault="0064438C">
      <w:pPr>
        <w:spacing w:line="500" w:lineRule="atLeast"/>
        <w:ind w:firstLine="600"/>
        <w:divId w:val="1443576965"/>
        <w:rPr>
          <w:rFonts w:hint="eastAsia"/>
          <w:sz w:val="30"/>
          <w:szCs w:val="30"/>
        </w:rPr>
      </w:pPr>
      <w:r>
        <w:rPr>
          <w:rFonts w:hint="eastAsia"/>
          <w:sz w:val="30"/>
          <w:szCs w:val="30"/>
        </w:rPr>
        <w:t>一、二被告是否系原告的高级管理人员。原告认为，邓伟军原系原告的法定代表人，王宗宏系原告的生产厂长和经理，二被告均是原告的高级管理人员。被告认为，王宗宏是原告的技术人员，王宗宏负责原告技术生产中有关事项，并未行使过经理、董事等高级管理人员职权，并不是归入权行使对象。本院认为，根据法律规定，归入权行使的对象为董事、高级管理人员。本案中，原告的章程约定，法定代表人由执行董事担任，而邓伟军自</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日担任原告的法定代表人。被告也确认邓伟军决定了认证资质的转移，并且实际管理原告的经营。因</w:t>
      </w:r>
      <w:r>
        <w:rPr>
          <w:rFonts w:hint="eastAsia"/>
          <w:sz w:val="30"/>
          <w:szCs w:val="30"/>
        </w:rPr>
        <w:t>此，邓伟军为原告的高级管理人员，本院予以确认。至于王宗宏，原、被告陈述不一。本院认为，根据归入权相关规定的本质来看，系为了防止管理人员利用其掌握的公司相关财产、信息和在公司的职权，谋取私利损害公司利益。我国公司法中虽规定高级管理人员指公司的经理、副经理、财务负责人，但考虑到公司实际经营过程中，存在根据公司不同经营内容和需要，对于高级管理人员的名称存在不同称谓，故对高级管理人员的身份认定应当采取实质性认定的态度。考虑到本案中，虽然原告不能提供确实证据证明王宗宏担任原告高级管理人员的书面证据。但是，本院注意到，</w:t>
      </w:r>
      <w:r>
        <w:rPr>
          <w:rFonts w:hint="eastAsia"/>
          <w:sz w:val="30"/>
          <w:szCs w:val="30"/>
        </w:rPr>
        <w:t>王宗宏于</w:t>
      </w:r>
      <w:r>
        <w:rPr>
          <w:rFonts w:hint="eastAsia"/>
          <w:sz w:val="30"/>
          <w:szCs w:val="30"/>
        </w:rPr>
        <w:t>2012</w:t>
      </w:r>
      <w:r>
        <w:rPr>
          <w:rFonts w:hint="eastAsia"/>
          <w:sz w:val="30"/>
          <w:szCs w:val="30"/>
        </w:rPr>
        <w:t>年至</w:t>
      </w:r>
      <w:r>
        <w:rPr>
          <w:rFonts w:hint="eastAsia"/>
          <w:sz w:val="30"/>
          <w:szCs w:val="30"/>
        </w:rPr>
        <w:t>2013</w:t>
      </w:r>
      <w:r>
        <w:rPr>
          <w:rFonts w:hint="eastAsia"/>
          <w:sz w:val="30"/>
          <w:szCs w:val="30"/>
        </w:rPr>
        <w:t>年申请资质证书过程中，以及证后例行监督检查过程中，均作为负责人和代表签署了文件。并且，在王宗宏的电脑中也储存了告原告客户、供应商的《公司更名通知函》。根据原告的经营范围来看，原告属于生产经营性企业，该类企业的生产技术属于重要的经营要素。被告认可，王宗宏确实负责原告生产技术中的相关事项。与原告认为，王宗宏为原告的生产方面负责人的陈述也基本能够印证。因此，王宗宏在原告处掌握生产经营方面的重要商业信息，故担任重要管理职责，原告主张王宗宏为公司高级管理人员的身份，本院予以确认。</w:t>
      </w:r>
    </w:p>
    <w:p w:rsidR="00000000" w:rsidRDefault="0064438C">
      <w:pPr>
        <w:spacing w:line="500" w:lineRule="atLeast"/>
        <w:ind w:firstLine="600"/>
        <w:divId w:val="1201431358"/>
        <w:rPr>
          <w:rFonts w:hint="eastAsia"/>
          <w:sz w:val="30"/>
          <w:szCs w:val="30"/>
        </w:rPr>
      </w:pPr>
      <w:r>
        <w:rPr>
          <w:rFonts w:hint="eastAsia"/>
          <w:sz w:val="30"/>
          <w:szCs w:val="30"/>
        </w:rPr>
        <w:t>二、二被</w:t>
      </w:r>
      <w:r>
        <w:rPr>
          <w:rFonts w:hint="eastAsia"/>
          <w:sz w:val="30"/>
          <w:szCs w:val="30"/>
        </w:rPr>
        <w:t>告是否实施了侵权行为。原告认为，被告转移了原德盾实业的消防产品资质，并设立了申盾公司和德盾科技，谋取属于公司的商业机会，经营与原告同类的业务。被告认为，邓伟军确实决定转移资质，但王宗宏并未参与，且二被告设立申盾公司和德盾科技，系在原告停业之后，故并未实施侵权行为。本院认为，原告依据公司法第</w:t>
      </w:r>
      <w:r>
        <w:rPr>
          <w:rFonts w:hint="eastAsia"/>
          <w:sz w:val="30"/>
          <w:szCs w:val="30"/>
        </w:rPr>
        <w:t>148</w:t>
      </w:r>
      <w:r>
        <w:rPr>
          <w:rFonts w:hint="eastAsia"/>
          <w:sz w:val="30"/>
          <w:szCs w:val="30"/>
        </w:rPr>
        <w:t>条第五项行使归入权，根据法律规定，董事、高级管理人员应有忠实、勤勉义务，若在任职期内经营同类业务，即构成侵权，并推定公司存在损失，而无须公司对损害结果予以证明。本案中，虽然王越曾于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日向邓伟军、王宗宏</w:t>
      </w:r>
      <w:r>
        <w:rPr>
          <w:rFonts w:hint="eastAsia"/>
          <w:sz w:val="30"/>
          <w:szCs w:val="30"/>
        </w:rPr>
        <w:t>发送电子邮件，提出“分家”即解散原告。但王越也在电子邮件中表示“谈个分家的思路吧。”可见，原告股东也并未对解散公司达成一致。在</w:t>
      </w:r>
      <w:r>
        <w:rPr>
          <w:rFonts w:hint="eastAsia"/>
          <w:sz w:val="30"/>
          <w:szCs w:val="30"/>
        </w:rPr>
        <w:t>(2014)</w:t>
      </w:r>
      <w:r>
        <w:rPr>
          <w:rFonts w:hint="eastAsia"/>
          <w:sz w:val="30"/>
          <w:szCs w:val="30"/>
        </w:rPr>
        <w:t>闵民二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667</w:t>
      </w:r>
      <w:r>
        <w:rPr>
          <w:rFonts w:hint="eastAsia"/>
          <w:sz w:val="30"/>
          <w:szCs w:val="30"/>
        </w:rPr>
        <w:t>号案件中，邓伟军却陈述，</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日，王越向邓伟军致函提议于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日召开临时股东会，邓伟军于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日复函表示“因德盾实业正处于业务发展的关键时期，且时近跨年交接阶段，各方面的工作亟待处理和解决。”这与二被告在本案中的“</w:t>
      </w:r>
      <w:r>
        <w:rPr>
          <w:rFonts w:hint="eastAsia"/>
          <w:sz w:val="30"/>
          <w:szCs w:val="30"/>
        </w:rPr>
        <w:t>2014</w:t>
      </w:r>
      <w:r>
        <w:rPr>
          <w:rFonts w:hint="eastAsia"/>
          <w:sz w:val="30"/>
          <w:szCs w:val="30"/>
        </w:rPr>
        <w:t>年</w:t>
      </w:r>
      <w:r>
        <w:rPr>
          <w:rFonts w:hint="eastAsia"/>
          <w:sz w:val="30"/>
          <w:szCs w:val="30"/>
        </w:rPr>
        <w:t>1</w:t>
      </w:r>
      <w:r>
        <w:rPr>
          <w:rFonts w:hint="eastAsia"/>
          <w:sz w:val="30"/>
          <w:szCs w:val="30"/>
        </w:rPr>
        <w:t>月后，原告已不再经营”的陈述自相矛盾。考虑到，由于邓伟军于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月期间负责原告的经</w:t>
      </w:r>
      <w:r>
        <w:rPr>
          <w:rFonts w:hint="eastAsia"/>
          <w:sz w:val="30"/>
          <w:szCs w:val="30"/>
        </w:rPr>
        <w:t>营管理，即使原告</w:t>
      </w:r>
      <w:r>
        <w:rPr>
          <w:rFonts w:hint="eastAsia"/>
          <w:sz w:val="30"/>
          <w:szCs w:val="30"/>
        </w:rPr>
        <w:t>2014</w:t>
      </w:r>
      <w:r>
        <w:rPr>
          <w:rFonts w:hint="eastAsia"/>
          <w:sz w:val="30"/>
          <w:szCs w:val="30"/>
        </w:rPr>
        <w:t>年</w:t>
      </w:r>
      <w:r>
        <w:rPr>
          <w:rFonts w:hint="eastAsia"/>
          <w:sz w:val="30"/>
          <w:szCs w:val="30"/>
        </w:rPr>
        <w:t>1</w:t>
      </w:r>
      <w:r>
        <w:rPr>
          <w:rFonts w:hint="eastAsia"/>
          <w:sz w:val="30"/>
          <w:szCs w:val="30"/>
        </w:rPr>
        <w:t>月停止经营，也系邓伟军作为当时原告的法定代表人的擅自决定，系邓伟军实施侵权行为的方式，并非原告和全体股东的真实意思。结合邓伟军、王宗宏在</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月和</w:t>
      </w:r>
      <w:r>
        <w:rPr>
          <w:rFonts w:hint="eastAsia"/>
          <w:sz w:val="30"/>
          <w:szCs w:val="30"/>
        </w:rPr>
        <w:t>12</w:t>
      </w:r>
      <w:r>
        <w:rPr>
          <w:rFonts w:hint="eastAsia"/>
          <w:sz w:val="30"/>
          <w:szCs w:val="30"/>
        </w:rPr>
        <w:t>月分别设立申盾公司和德盾科技的行为，并且申盾公司、德盾科技的经营范围与原告基本一致，及随后二被告又将原告消防用品生产资质转移至申盾公司的行为。又结合，王宗宏的电脑中储存的向原告原客户的《公司更名通知函》，以及德盾科技向案外人销售《消防产品认证证书》项下产品的合同。足以证明，二被告设立的申盾公司和德盾科技后经营了与原告同类业务</w:t>
      </w:r>
      <w:r>
        <w:rPr>
          <w:rFonts w:hint="eastAsia"/>
          <w:sz w:val="30"/>
          <w:szCs w:val="30"/>
        </w:rPr>
        <w:t>，谋取原告的交易机会。而二被告设立公司时，也未告知原告，或经原告股东大会同意。虽然，邓伟军自认转移资质系由其一人决定，但王宗宏作为原告生产技术方面的负责人，之后又与邓伟军共同经营申盾公司和德盾科技，对于资质转移完全不知情，与常理不符。因此，本案的侵权行为系二被告基于共同故意和共同行为所形成，二被告行为亦构成共同侵权。</w:t>
      </w:r>
    </w:p>
    <w:p w:rsidR="00000000" w:rsidRDefault="0064438C">
      <w:pPr>
        <w:spacing w:line="500" w:lineRule="atLeast"/>
        <w:ind w:firstLine="600"/>
        <w:divId w:val="1817069360"/>
        <w:rPr>
          <w:rFonts w:hint="eastAsia"/>
          <w:sz w:val="30"/>
          <w:szCs w:val="30"/>
        </w:rPr>
      </w:pPr>
      <w:r>
        <w:rPr>
          <w:rFonts w:hint="eastAsia"/>
          <w:sz w:val="30"/>
          <w:szCs w:val="30"/>
        </w:rPr>
        <w:t>三、原告提起本案诉讼是否已过诉讼时效。二被告认为，本案属于侵权赔偿之诉，应符合法律关于诉讼时效的规定，应自原告知道或应当知道之日起计算诉讼时效。原告于</w:t>
      </w:r>
      <w:r>
        <w:rPr>
          <w:rFonts w:hint="eastAsia"/>
          <w:sz w:val="30"/>
          <w:szCs w:val="30"/>
        </w:rPr>
        <w:t>2014</w:t>
      </w:r>
      <w:r>
        <w:rPr>
          <w:rFonts w:hint="eastAsia"/>
          <w:sz w:val="30"/>
          <w:szCs w:val="30"/>
        </w:rPr>
        <w:t>年</w:t>
      </w:r>
      <w:r>
        <w:rPr>
          <w:rFonts w:hint="eastAsia"/>
          <w:sz w:val="30"/>
          <w:szCs w:val="30"/>
        </w:rPr>
        <w:t>2015</w:t>
      </w:r>
      <w:r>
        <w:rPr>
          <w:rFonts w:hint="eastAsia"/>
          <w:sz w:val="30"/>
          <w:szCs w:val="30"/>
        </w:rPr>
        <w:t>年就知悉二被告设立申盾公司和转移消防认证证书事宜，原告事隔三年之久才提起本案诉讼，已超过诉讼时效。原告认为，其对于二被告设立申盾公司并不知情，是从客户处获悉，被告设立的公司经营至今，侵权行为持续进行，不存在诉讼时效的问题。本院认为，本案的本质为侵权之诉，应受诉讼时效规制。根据我国关于诉讼时效的相关规定，向人民法院请求保护民事权利的诉讼时效期间</w:t>
      </w:r>
      <w:r>
        <w:rPr>
          <w:rFonts w:hint="eastAsia"/>
          <w:sz w:val="30"/>
          <w:szCs w:val="30"/>
        </w:rPr>
        <w:t>为三年。法律另有规定的，依照其规定。诉讼时效期间自权利人知道或者应当知道权利受到损害之日起计算。法律另有规定的，依照其规定。申盾公司和德盾科技于</w:t>
      </w:r>
      <w:r>
        <w:rPr>
          <w:rFonts w:hint="eastAsia"/>
          <w:sz w:val="30"/>
          <w:szCs w:val="30"/>
        </w:rPr>
        <w:t>2013</w:t>
      </w:r>
      <w:r>
        <w:rPr>
          <w:rFonts w:hint="eastAsia"/>
          <w:sz w:val="30"/>
          <w:szCs w:val="30"/>
        </w:rPr>
        <w:t>年年底时陆续设立，二被告未经原告股东大会同意设立公司，原告对于二被告设立公司的侵权行为不必然知晓。原告称，其对于二被告的侵权行为并不知情。本院注意到，原告向本院出示的王宗宏电脑中记录了大量被告实施侵权行为的证据，原告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日前已取得该电脑，电脑中的文件形成时间也在</w:t>
      </w:r>
      <w:r>
        <w:rPr>
          <w:rFonts w:hint="eastAsia"/>
          <w:sz w:val="30"/>
          <w:szCs w:val="30"/>
        </w:rPr>
        <w:t>2014</w:t>
      </w:r>
      <w:r>
        <w:rPr>
          <w:rFonts w:hint="eastAsia"/>
          <w:sz w:val="30"/>
          <w:szCs w:val="30"/>
        </w:rPr>
        <w:t>年。因此，原告于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月取得电脑后，对于二被告在外设立公司，并转移资</w:t>
      </w:r>
      <w:r>
        <w:rPr>
          <w:rFonts w:hint="eastAsia"/>
          <w:sz w:val="30"/>
          <w:szCs w:val="30"/>
        </w:rPr>
        <w:t>质的相关行为应予以知晓，并应当知道权利受到侵害。</w:t>
      </w:r>
    </w:p>
    <w:p w:rsidR="00000000" w:rsidRDefault="0064438C">
      <w:pPr>
        <w:spacing w:line="500" w:lineRule="atLeast"/>
        <w:ind w:firstLine="600"/>
        <w:divId w:val="416099583"/>
        <w:rPr>
          <w:rFonts w:hint="eastAsia"/>
          <w:sz w:val="30"/>
          <w:szCs w:val="30"/>
        </w:rPr>
      </w:pPr>
      <w:r>
        <w:rPr>
          <w:rFonts w:hint="eastAsia"/>
          <w:sz w:val="30"/>
          <w:szCs w:val="30"/>
        </w:rPr>
        <w:t>然而，关于侵权行为的诉讼时效，不仅应考虑权利人知道或应当知道权利受到损害的时间。根据侵权行为的性质，若为持续侵权行为，还应考虑侵权行为的结束时间。本案中，董事、高级管理人员损害公司设立同业竞争企业的侵权行为并非一次性行为，侵权行为应为持续性、连续性行为。对此，原告认为，二被告的侵权行为持续至今，不存在时效问题。被告认为，原告早已不实际经营，被告不存在侵权的可能。本院认为，虽然</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日原告召开股东会决议后，已罢免了邓伟军在原告处高级管理人员身份，之</w:t>
      </w:r>
      <w:r>
        <w:rPr>
          <w:rFonts w:hint="eastAsia"/>
          <w:sz w:val="30"/>
          <w:szCs w:val="30"/>
        </w:rPr>
        <w:t>后原告也并未实际经营，并于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日被吊销营业执照。但是，上文已论述，原告在</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变更法定代表人前由邓伟军、王宗宏具体负责经营管理和生产，掌握了重要的公司经营所需的信息和资源。法定代表人变更后，二被告并未向公司办理移交手续及变更登记等，并共同将原告的资质转移至申盾公司。本院注意到，早在</w:t>
      </w:r>
      <w:r>
        <w:rPr>
          <w:rFonts w:hint="eastAsia"/>
          <w:sz w:val="30"/>
          <w:szCs w:val="30"/>
        </w:rPr>
        <w:t>2014</w:t>
      </w:r>
      <w:r>
        <w:rPr>
          <w:rFonts w:hint="eastAsia"/>
          <w:sz w:val="30"/>
          <w:szCs w:val="30"/>
        </w:rPr>
        <w:t>年</w:t>
      </w:r>
      <w:r>
        <w:rPr>
          <w:rFonts w:hint="eastAsia"/>
          <w:sz w:val="30"/>
          <w:szCs w:val="30"/>
        </w:rPr>
        <w:t>1</w:t>
      </w:r>
      <w:r>
        <w:rPr>
          <w:rFonts w:hint="eastAsia"/>
          <w:sz w:val="30"/>
          <w:szCs w:val="30"/>
        </w:rPr>
        <w:t>月，在邓伟军控制之下的原告公司已对在职人员进行了清退；</w:t>
      </w:r>
      <w:r>
        <w:rPr>
          <w:rFonts w:hint="eastAsia"/>
          <w:sz w:val="30"/>
          <w:szCs w:val="30"/>
        </w:rPr>
        <w:t>2014</w:t>
      </w:r>
      <w:r>
        <w:rPr>
          <w:rFonts w:hint="eastAsia"/>
          <w:sz w:val="30"/>
          <w:szCs w:val="30"/>
        </w:rPr>
        <w:t>年</w:t>
      </w:r>
      <w:r>
        <w:rPr>
          <w:rFonts w:hint="eastAsia"/>
          <w:sz w:val="30"/>
          <w:szCs w:val="30"/>
        </w:rPr>
        <w:t>4</w:t>
      </w:r>
      <w:r>
        <w:rPr>
          <w:rFonts w:hint="eastAsia"/>
          <w:sz w:val="30"/>
          <w:szCs w:val="30"/>
        </w:rPr>
        <w:t>月王宗宏控制下的申盾公司就原告原经营的场地与出租人签订了新的租赁合同。可见，邓伟军、王宗宏离开原告前后，已将原告的各项重要资</w:t>
      </w:r>
      <w:r>
        <w:rPr>
          <w:rFonts w:hint="eastAsia"/>
          <w:sz w:val="30"/>
          <w:szCs w:val="30"/>
        </w:rPr>
        <w:t>源、人员、场地等转移、清理，故原告无法在合理期限内恢复生产和经营，直至</w:t>
      </w:r>
      <w:r>
        <w:rPr>
          <w:rFonts w:hint="eastAsia"/>
          <w:sz w:val="30"/>
          <w:szCs w:val="30"/>
        </w:rPr>
        <w:t>2019</w:t>
      </w:r>
      <w:r>
        <w:rPr>
          <w:rFonts w:hint="eastAsia"/>
          <w:sz w:val="30"/>
          <w:szCs w:val="30"/>
        </w:rPr>
        <w:t>年原告被吊销营业执照，也系因二被告的侵权行为直接导致。由于申盾公司和德盾科技目前仍持续经营，王宗宏仍为第三人的大股东，因此侵权行为持续至今。王越曾于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日以原告的股东名义向本院提起派生诉讼，虽法院驳回王越起诉。但王越作为原告的法定代表人，可见原告也一直在主张权利。因此，二被告的侵权行为持续至今，原告提起本案诉讼，并未超过诉讼时效。</w:t>
      </w:r>
    </w:p>
    <w:p w:rsidR="00000000" w:rsidRDefault="0064438C">
      <w:pPr>
        <w:spacing w:line="500" w:lineRule="atLeast"/>
        <w:ind w:firstLine="600"/>
        <w:divId w:val="1092554045"/>
        <w:rPr>
          <w:rFonts w:hint="eastAsia"/>
          <w:sz w:val="30"/>
          <w:szCs w:val="30"/>
        </w:rPr>
      </w:pPr>
      <w:r>
        <w:rPr>
          <w:rFonts w:hint="eastAsia"/>
          <w:sz w:val="30"/>
          <w:szCs w:val="30"/>
        </w:rPr>
        <w:t>四、关于二被告向原告赔偿损失的范围和责任形式。根据法律规定，违反忠实勤勉义务的董事、高级</w:t>
      </w:r>
      <w:r>
        <w:rPr>
          <w:rFonts w:hint="eastAsia"/>
          <w:sz w:val="30"/>
          <w:szCs w:val="30"/>
        </w:rPr>
        <w:t>管理人员，所得的收入应当归公司所有。诉讼中，原告认为，其主张的收入为经营性、权益性收入，不包含个人工资性收入。本院认为，根据归入权的相关规定，被告承担的责任范围应与其“利用职务便利为自己或者他人谋取属于公司的商业机会，自营或者为他人经营与所任职公司同类的业务”的侵权行为所对等。由于被告对原告实施侵权行为后，其获益转移至其在第三人处的收益中体现。因此，原告主张按照二被告在第三人处的经营性、权益性收入计算收益，并无不妥，本院予以确认。关于第三人的权益性、经营性收入的范围及二被告之间的责任形式需作如下说明：</w:t>
      </w:r>
    </w:p>
    <w:p w:rsidR="00000000" w:rsidRDefault="0064438C">
      <w:pPr>
        <w:spacing w:line="500" w:lineRule="atLeast"/>
        <w:ind w:firstLine="600"/>
        <w:divId w:val="1523519138"/>
        <w:rPr>
          <w:rFonts w:hint="eastAsia"/>
          <w:sz w:val="30"/>
          <w:szCs w:val="30"/>
        </w:rPr>
      </w:pPr>
      <w:r>
        <w:rPr>
          <w:rFonts w:hint="eastAsia"/>
          <w:sz w:val="30"/>
          <w:szCs w:val="30"/>
        </w:rPr>
        <w:t>1.</w:t>
      </w:r>
      <w:r>
        <w:rPr>
          <w:rFonts w:hint="eastAsia"/>
          <w:sz w:val="30"/>
          <w:szCs w:val="30"/>
        </w:rPr>
        <w:t>关于申盾公司、申盾公司宝鸡分公司、德盾科技是否存在收益。诉讼中，原告向本院申请对三名第三人的收入进行审计，本院亦委托了审计机构。但三名第三人未能向本院提供财务账簿，仅向本院提供了申盾公司、德盾科技在税务机关报备的报表。原告对该报表不予认可。本院认为，原告主张对二被告在第三人处的收入行使归入权，应对二被告在第三人处有收益负有证明责任。原告对此申请审计，但二被告不能提供账簿，故审计无法进行。但是，从二被告提供的第三人的财务报表来看，德盾科技和申盾公司自设立以来均存在一定的权益性收入，故原告请求对二被告的收入行使</w:t>
      </w:r>
      <w:r>
        <w:rPr>
          <w:rFonts w:hint="eastAsia"/>
          <w:sz w:val="30"/>
          <w:szCs w:val="30"/>
        </w:rPr>
        <w:t>归入权，具有相应的事实基础。根据法律规定，公司应当依照法律、行政法规和国务院财政部门的规定建立本公司的财务、会计制度。二被告称申盾公司、德盾科技的财务账簿遗失，但未能提供相应的依据，本院对该抗辩不予认可。考虑到，在税务机关报备的财务报表虽不能真实反映第三人的全部经营情况，但能真实反映第三人的营业收入情况。因此，二被告提供的第三人自设立以来的财务报表数据中的营业收入，应作为本院在确定二被告权益性收入时的重要参考依据。</w:t>
      </w:r>
    </w:p>
    <w:p w:rsidR="00000000" w:rsidRDefault="0064438C">
      <w:pPr>
        <w:spacing w:line="500" w:lineRule="atLeast"/>
        <w:ind w:firstLine="600"/>
        <w:divId w:val="1665939454"/>
        <w:rPr>
          <w:rFonts w:hint="eastAsia"/>
          <w:sz w:val="30"/>
          <w:szCs w:val="30"/>
        </w:rPr>
      </w:pPr>
      <w:r>
        <w:rPr>
          <w:rFonts w:hint="eastAsia"/>
          <w:sz w:val="30"/>
          <w:szCs w:val="30"/>
        </w:rPr>
        <w:t>2.</w:t>
      </w:r>
      <w:r>
        <w:rPr>
          <w:rFonts w:hint="eastAsia"/>
          <w:sz w:val="30"/>
          <w:szCs w:val="30"/>
        </w:rPr>
        <w:t>关于二被告在第三人处取得收入的计算期间。由于原告于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日前已知道或应当知道</w:t>
      </w:r>
      <w:r>
        <w:rPr>
          <w:rFonts w:hint="eastAsia"/>
          <w:sz w:val="30"/>
          <w:szCs w:val="30"/>
        </w:rPr>
        <w:t>权利受到侵害。原告于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日提起诉讼时，三年前持续的侵权行为已超过诉讼时效，故在确定二被告权益性收入时应参照自</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日以后至</w:t>
      </w:r>
      <w:r>
        <w:rPr>
          <w:rFonts w:hint="eastAsia"/>
          <w:sz w:val="30"/>
          <w:szCs w:val="30"/>
        </w:rPr>
        <w:t>2020</w:t>
      </w:r>
      <w:r>
        <w:rPr>
          <w:rFonts w:hint="eastAsia"/>
          <w:sz w:val="30"/>
          <w:szCs w:val="30"/>
        </w:rPr>
        <w:t>年</w:t>
      </w:r>
      <w:r>
        <w:rPr>
          <w:rFonts w:hint="eastAsia"/>
          <w:sz w:val="30"/>
          <w:szCs w:val="30"/>
        </w:rPr>
        <w:t>2</w:t>
      </w:r>
      <w:r>
        <w:rPr>
          <w:rFonts w:hint="eastAsia"/>
          <w:sz w:val="30"/>
          <w:szCs w:val="30"/>
        </w:rPr>
        <w:t>月止的相应收入数据。</w:t>
      </w:r>
    </w:p>
    <w:p w:rsidR="00000000" w:rsidRDefault="0064438C">
      <w:pPr>
        <w:spacing w:line="500" w:lineRule="atLeast"/>
        <w:ind w:firstLine="600"/>
        <w:divId w:val="645399920"/>
        <w:rPr>
          <w:rFonts w:hint="eastAsia"/>
          <w:sz w:val="30"/>
          <w:szCs w:val="30"/>
        </w:rPr>
      </w:pPr>
      <w:r>
        <w:rPr>
          <w:rFonts w:hint="eastAsia"/>
          <w:sz w:val="30"/>
          <w:szCs w:val="30"/>
        </w:rPr>
        <w:t>3.</w:t>
      </w:r>
      <w:r>
        <w:rPr>
          <w:rFonts w:hint="eastAsia"/>
          <w:sz w:val="30"/>
          <w:szCs w:val="30"/>
        </w:rPr>
        <w:t>关于邓伟军和王宗宏之间的责任形式。邓伟军认为，邓伟军自</w:t>
      </w:r>
      <w:r>
        <w:rPr>
          <w:rFonts w:hint="eastAsia"/>
          <w:sz w:val="30"/>
          <w:szCs w:val="30"/>
        </w:rPr>
        <w:t>2015</w:t>
      </w:r>
      <w:r>
        <w:rPr>
          <w:rFonts w:hint="eastAsia"/>
          <w:sz w:val="30"/>
          <w:szCs w:val="30"/>
        </w:rPr>
        <w:t>年初已从申盾公司、德盾科技公司退出，故自退出之日起不再实施侵权行为。本院认为，上文已论述，本案的侵权行为系二被告基于共同故意和共同行为所形成，二被告行为亦构成共同侵权。因此，二被告对侵权负有连带责任。但考虑到邓伟军于</w:t>
      </w:r>
      <w:r>
        <w:rPr>
          <w:rFonts w:hint="eastAsia"/>
          <w:sz w:val="30"/>
          <w:szCs w:val="30"/>
        </w:rPr>
        <w:t>2015</w:t>
      </w:r>
      <w:r>
        <w:rPr>
          <w:rFonts w:hint="eastAsia"/>
          <w:sz w:val="30"/>
          <w:szCs w:val="30"/>
        </w:rPr>
        <w:t>年年初将股权转让，故在计算收入时仅考虑王宗宏</w:t>
      </w:r>
      <w:r>
        <w:rPr>
          <w:rFonts w:hint="eastAsia"/>
          <w:sz w:val="30"/>
          <w:szCs w:val="30"/>
        </w:rPr>
        <w:t>名义持股比例部分的权益性收入。</w:t>
      </w:r>
    </w:p>
    <w:p w:rsidR="00000000" w:rsidRDefault="0064438C">
      <w:pPr>
        <w:spacing w:line="500" w:lineRule="atLeast"/>
        <w:ind w:firstLine="600"/>
        <w:divId w:val="740441736"/>
        <w:rPr>
          <w:rFonts w:hint="eastAsia"/>
          <w:sz w:val="30"/>
          <w:szCs w:val="30"/>
        </w:rPr>
      </w:pPr>
      <w:r>
        <w:rPr>
          <w:rFonts w:hint="eastAsia"/>
          <w:sz w:val="30"/>
          <w:szCs w:val="30"/>
        </w:rPr>
        <w:t>综上，综合考虑二被告侵权行为的性质、侵权的持续时间、三名第三人的经营情况、行业平均利润率等，本院酌情确定二被告向原告偿付的收入金额为</w:t>
      </w:r>
      <w:r>
        <w:rPr>
          <w:rFonts w:hint="eastAsia"/>
          <w:sz w:val="30"/>
          <w:szCs w:val="30"/>
        </w:rPr>
        <w:t>185</w:t>
      </w:r>
      <w:r>
        <w:rPr>
          <w:rFonts w:hint="eastAsia"/>
          <w:sz w:val="30"/>
          <w:szCs w:val="30"/>
        </w:rPr>
        <w:t>万元。</w:t>
      </w:r>
    </w:p>
    <w:p w:rsidR="00000000" w:rsidRDefault="0064438C">
      <w:pPr>
        <w:spacing w:line="500" w:lineRule="atLeast"/>
        <w:ind w:firstLine="600"/>
        <w:divId w:val="1898975859"/>
        <w:rPr>
          <w:rFonts w:hint="eastAsia"/>
          <w:sz w:val="30"/>
          <w:szCs w:val="30"/>
        </w:rPr>
      </w:pPr>
      <w:r>
        <w:rPr>
          <w:rFonts w:hint="eastAsia"/>
          <w:sz w:val="30"/>
          <w:szCs w:val="30"/>
        </w:rPr>
        <w:t>据此，根据《中华人民共和国公司法》第一百四十八条第一款第五项、第二款的规定，判决如下：</w:t>
      </w:r>
    </w:p>
    <w:p w:rsidR="00000000" w:rsidRDefault="0064438C">
      <w:pPr>
        <w:spacing w:line="500" w:lineRule="atLeast"/>
        <w:ind w:firstLine="600"/>
        <w:divId w:val="1415591202"/>
        <w:rPr>
          <w:rFonts w:hint="eastAsia"/>
          <w:sz w:val="30"/>
          <w:szCs w:val="30"/>
        </w:rPr>
      </w:pPr>
      <w:r>
        <w:rPr>
          <w:rFonts w:hint="eastAsia"/>
          <w:sz w:val="30"/>
          <w:szCs w:val="30"/>
        </w:rPr>
        <w:t>被告邓伟军、王宗宏于本判决生效之日起十日内向原告上海德盾实业有限公司偿付</w:t>
      </w:r>
      <w:r>
        <w:rPr>
          <w:rFonts w:hint="eastAsia"/>
          <w:sz w:val="30"/>
          <w:szCs w:val="30"/>
        </w:rPr>
        <w:t>185</w:t>
      </w:r>
      <w:r>
        <w:rPr>
          <w:rFonts w:hint="eastAsia"/>
          <w:sz w:val="30"/>
          <w:szCs w:val="30"/>
        </w:rPr>
        <w:t>万元。</w:t>
      </w:r>
    </w:p>
    <w:p w:rsidR="00000000" w:rsidRDefault="0064438C">
      <w:pPr>
        <w:spacing w:line="500" w:lineRule="atLeast"/>
        <w:ind w:firstLine="600"/>
        <w:divId w:val="2134396826"/>
        <w:rPr>
          <w:rFonts w:hint="eastAsia"/>
          <w:sz w:val="30"/>
          <w:szCs w:val="30"/>
        </w:rPr>
      </w:pPr>
      <w:r>
        <w:rPr>
          <w:rFonts w:hint="eastAsia"/>
          <w:sz w:val="30"/>
          <w:szCs w:val="30"/>
        </w:rPr>
        <w:t>负有金钱给付义务的当事人如果未按本判决指定的期间履行给付金钱义务</w:t>
      </w:r>
      <w:r>
        <w:rPr>
          <w:rFonts w:hint="eastAsia"/>
          <w:sz w:val="30"/>
          <w:szCs w:val="30"/>
        </w:rPr>
        <w:t>,</w:t>
      </w:r>
      <w:r>
        <w:rPr>
          <w:rFonts w:hint="eastAsia"/>
          <w:sz w:val="30"/>
          <w:szCs w:val="30"/>
        </w:rPr>
        <w:t>应当依照《中华人民共和国民事诉讼法》第二百五十三条之规定</w:t>
      </w:r>
      <w:r>
        <w:rPr>
          <w:rFonts w:hint="eastAsia"/>
          <w:sz w:val="30"/>
          <w:szCs w:val="30"/>
        </w:rPr>
        <w:t>,</w:t>
      </w:r>
      <w:r>
        <w:rPr>
          <w:rFonts w:hint="eastAsia"/>
          <w:sz w:val="30"/>
          <w:szCs w:val="30"/>
        </w:rPr>
        <w:t>加倍支付迟延履行期间的债务利息。</w:t>
      </w:r>
    </w:p>
    <w:p w:rsidR="00000000" w:rsidRDefault="0064438C">
      <w:pPr>
        <w:spacing w:line="500" w:lineRule="atLeast"/>
        <w:ind w:firstLine="600"/>
        <w:divId w:val="1996644377"/>
        <w:rPr>
          <w:rFonts w:hint="eastAsia"/>
          <w:sz w:val="30"/>
          <w:szCs w:val="30"/>
        </w:rPr>
      </w:pPr>
      <w:r>
        <w:rPr>
          <w:rFonts w:hint="eastAsia"/>
          <w:sz w:val="30"/>
          <w:szCs w:val="30"/>
        </w:rPr>
        <w:t>案</w:t>
      </w:r>
      <w:r>
        <w:rPr>
          <w:rFonts w:hint="eastAsia"/>
          <w:sz w:val="30"/>
          <w:szCs w:val="30"/>
        </w:rPr>
        <w:t>件受理费减半收取计</w:t>
      </w:r>
      <w:r>
        <w:rPr>
          <w:rFonts w:hint="eastAsia"/>
          <w:sz w:val="30"/>
          <w:szCs w:val="30"/>
        </w:rPr>
        <w:t>10,725</w:t>
      </w:r>
      <w:r>
        <w:rPr>
          <w:rFonts w:hint="eastAsia"/>
          <w:sz w:val="30"/>
          <w:szCs w:val="30"/>
        </w:rPr>
        <w:t>元，由被告邓伟军、王宗宏共同负担。</w:t>
      </w:r>
    </w:p>
    <w:p w:rsidR="00000000" w:rsidRDefault="0064438C">
      <w:pPr>
        <w:spacing w:line="500" w:lineRule="atLeast"/>
        <w:ind w:firstLine="600"/>
        <w:divId w:val="1441952336"/>
        <w:rPr>
          <w:rFonts w:hint="eastAsia"/>
          <w:sz w:val="30"/>
          <w:szCs w:val="30"/>
        </w:rPr>
      </w:pPr>
      <w:r>
        <w:rPr>
          <w:rFonts w:hint="eastAsia"/>
          <w:sz w:val="30"/>
          <w:szCs w:val="30"/>
        </w:rPr>
        <w:t>如不服本判决，可以在判决书送达之日起十五日内，向本院递交上诉状，并按对方当事人的人数或者代表人的人数提出副本，上诉于上海市第一中级人民法院。</w:t>
      </w:r>
    </w:p>
    <w:p w:rsidR="00000000" w:rsidRDefault="0064438C">
      <w:pPr>
        <w:spacing w:line="500" w:lineRule="atLeast"/>
        <w:jc w:val="right"/>
        <w:divId w:val="52514434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张文星</w:t>
      </w:r>
    </w:p>
    <w:p w:rsidR="00000000" w:rsidRDefault="0064438C">
      <w:pPr>
        <w:spacing w:line="500" w:lineRule="atLeast"/>
        <w:jc w:val="right"/>
        <w:divId w:val="1650016713"/>
        <w:rPr>
          <w:rFonts w:hint="eastAsia"/>
          <w:sz w:val="30"/>
          <w:szCs w:val="30"/>
        </w:rPr>
      </w:pPr>
      <w:r>
        <w:rPr>
          <w:rFonts w:hint="eastAsia"/>
          <w:sz w:val="30"/>
          <w:szCs w:val="30"/>
        </w:rPr>
        <w:t>二〇二〇年五月二十九日</w:t>
      </w:r>
    </w:p>
    <w:p w:rsidR="00000000" w:rsidRDefault="0064438C">
      <w:pPr>
        <w:spacing w:line="500" w:lineRule="atLeast"/>
        <w:jc w:val="right"/>
        <w:divId w:val="1347251665"/>
        <w:rPr>
          <w:rFonts w:hint="eastAsia"/>
          <w:sz w:val="30"/>
          <w:szCs w:val="30"/>
        </w:rPr>
      </w:pPr>
      <w:r>
        <w:rPr>
          <w:rFonts w:hint="eastAsia"/>
          <w:sz w:val="30"/>
          <w:szCs w:val="30"/>
        </w:rPr>
        <w:t>法官助理　朱　任</w:t>
      </w:r>
    </w:p>
    <w:p w:rsidR="00000000" w:rsidRDefault="0064438C">
      <w:pPr>
        <w:spacing w:line="500" w:lineRule="atLeast"/>
        <w:jc w:val="right"/>
        <w:divId w:val="314266367"/>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朱　任</w:t>
      </w:r>
    </w:p>
    <w:p w:rsidR="00000000" w:rsidRDefault="0064438C">
      <w:pPr>
        <w:spacing w:line="500" w:lineRule="atLeast"/>
        <w:ind w:firstLine="600"/>
        <w:divId w:val="665937743"/>
        <w:rPr>
          <w:rFonts w:hint="eastAsia"/>
          <w:sz w:val="30"/>
          <w:szCs w:val="30"/>
        </w:rPr>
      </w:pPr>
      <w:r>
        <w:rPr>
          <w:rFonts w:hint="eastAsia"/>
          <w:sz w:val="30"/>
          <w:szCs w:val="30"/>
        </w:rPr>
        <w:t>附：相关法律条文</w:t>
      </w:r>
    </w:p>
    <w:p w:rsidR="00000000" w:rsidRDefault="0064438C">
      <w:pPr>
        <w:spacing w:line="500" w:lineRule="atLeast"/>
        <w:ind w:firstLine="600"/>
        <w:divId w:val="1582715453"/>
        <w:rPr>
          <w:rFonts w:hint="eastAsia"/>
          <w:sz w:val="30"/>
          <w:szCs w:val="30"/>
        </w:rPr>
      </w:pPr>
      <w:r>
        <w:rPr>
          <w:rFonts w:hint="eastAsia"/>
          <w:sz w:val="30"/>
          <w:szCs w:val="30"/>
        </w:rPr>
        <w:t>《中华人民共和国公司法》</w:t>
      </w:r>
    </w:p>
    <w:p w:rsidR="00000000" w:rsidRDefault="0064438C">
      <w:pPr>
        <w:spacing w:line="500" w:lineRule="atLeast"/>
        <w:ind w:firstLine="600"/>
        <w:divId w:val="261766051"/>
        <w:rPr>
          <w:rFonts w:hint="eastAsia"/>
          <w:sz w:val="30"/>
          <w:szCs w:val="30"/>
        </w:rPr>
      </w:pPr>
      <w:r>
        <w:rPr>
          <w:rFonts w:hint="eastAsia"/>
          <w:sz w:val="30"/>
          <w:szCs w:val="30"/>
        </w:rPr>
        <w:t>第一百四十八条第一款董事、高级管理人员不得有下列行为：</w:t>
      </w:r>
    </w:p>
    <w:p w:rsidR="00000000" w:rsidRDefault="0064438C">
      <w:pPr>
        <w:spacing w:line="500" w:lineRule="atLeast"/>
        <w:ind w:firstLine="600"/>
        <w:divId w:val="1908151483"/>
        <w:rPr>
          <w:rFonts w:hint="eastAsia"/>
          <w:sz w:val="30"/>
          <w:szCs w:val="30"/>
        </w:rPr>
      </w:pPr>
      <w:r>
        <w:rPr>
          <w:rFonts w:hint="eastAsia"/>
          <w:sz w:val="30"/>
          <w:szCs w:val="30"/>
        </w:rPr>
        <w:t>……</w:t>
      </w:r>
    </w:p>
    <w:p w:rsidR="00000000" w:rsidRDefault="0064438C">
      <w:pPr>
        <w:spacing w:line="500" w:lineRule="atLeast"/>
        <w:ind w:firstLine="600"/>
        <w:divId w:val="1437140731"/>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w:t>
      </w:r>
      <w:r>
        <w:rPr>
          <w:rFonts w:hint="eastAsia"/>
          <w:sz w:val="30"/>
          <w:szCs w:val="30"/>
        </w:rPr>
        <w:t>类的业务；</w:t>
      </w:r>
    </w:p>
    <w:p w:rsidR="00000000" w:rsidRDefault="0064438C">
      <w:pPr>
        <w:spacing w:line="500" w:lineRule="atLeast"/>
        <w:ind w:firstLine="600"/>
        <w:divId w:val="1518226728"/>
        <w:rPr>
          <w:rFonts w:hint="eastAsia"/>
          <w:sz w:val="30"/>
          <w:szCs w:val="30"/>
        </w:rPr>
      </w:pPr>
      <w:r>
        <w:rPr>
          <w:rFonts w:hint="eastAsia"/>
          <w:sz w:val="30"/>
          <w:szCs w:val="30"/>
        </w:rPr>
        <w:t>……</w:t>
      </w:r>
    </w:p>
    <w:p w:rsidR="00000000" w:rsidRDefault="0064438C">
      <w:pPr>
        <w:spacing w:line="500" w:lineRule="atLeast"/>
        <w:ind w:firstLine="600"/>
        <w:divId w:val="208880272"/>
        <w:rPr>
          <w:rFonts w:hint="eastAsia"/>
          <w:sz w:val="30"/>
          <w:szCs w:val="30"/>
        </w:rPr>
      </w:pPr>
      <w:r>
        <w:rPr>
          <w:rFonts w:hint="eastAsia"/>
          <w:sz w:val="30"/>
          <w:szCs w:val="30"/>
        </w:rPr>
        <w:t>第二款董事、高级管理人员违反前款规定所得的收入应当归公司所有。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38C" w:rsidRDefault="0064438C" w:rsidP="0064438C">
      <w:r>
        <w:separator/>
      </w:r>
    </w:p>
  </w:endnote>
  <w:endnote w:type="continuationSeparator" w:id="0">
    <w:p w:rsidR="0064438C" w:rsidRDefault="0064438C" w:rsidP="0064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38C" w:rsidRDefault="0064438C" w:rsidP="0064438C">
      <w:r>
        <w:separator/>
      </w:r>
    </w:p>
  </w:footnote>
  <w:footnote w:type="continuationSeparator" w:id="0">
    <w:p w:rsidR="0064438C" w:rsidRDefault="0064438C" w:rsidP="006443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4438C"/>
    <w:rsid w:val="00644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443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438C"/>
    <w:rPr>
      <w:rFonts w:ascii="宋体" w:eastAsia="宋体" w:hAnsi="宋体" w:cs="宋体"/>
      <w:sz w:val="18"/>
      <w:szCs w:val="18"/>
    </w:rPr>
  </w:style>
  <w:style w:type="paragraph" w:styleId="a5">
    <w:name w:val="footer"/>
    <w:basedOn w:val="a"/>
    <w:link w:val="a6"/>
    <w:uiPriority w:val="99"/>
    <w:unhideWhenUsed/>
    <w:rsid w:val="0064438C"/>
    <w:pPr>
      <w:tabs>
        <w:tab w:val="center" w:pos="4153"/>
        <w:tab w:val="right" w:pos="8306"/>
      </w:tabs>
      <w:snapToGrid w:val="0"/>
    </w:pPr>
    <w:rPr>
      <w:sz w:val="18"/>
      <w:szCs w:val="18"/>
    </w:rPr>
  </w:style>
  <w:style w:type="character" w:customStyle="1" w:styleId="a6">
    <w:name w:val="页脚 字符"/>
    <w:basedOn w:val="a0"/>
    <w:link w:val="a5"/>
    <w:uiPriority w:val="99"/>
    <w:rsid w:val="0064438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0852">
      <w:marLeft w:val="0"/>
      <w:marRight w:val="0"/>
      <w:marTop w:val="10"/>
      <w:marBottom w:val="10"/>
      <w:divBdr>
        <w:top w:val="none" w:sz="0" w:space="0" w:color="auto"/>
        <w:left w:val="none" w:sz="0" w:space="0" w:color="auto"/>
        <w:bottom w:val="none" w:sz="0" w:space="0" w:color="auto"/>
        <w:right w:val="none" w:sz="0" w:space="0" w:color="auto"/>
      </w:divBdr>
    </w:div>
    <w:div w:id="98835211">
      <w:marLeft w:val="0"/>
      <w:marRight w:val="0"/>
      <w:marTop w:val="10"/>
      <w:marBottom w:val="10"/>
      <w:divBdr>
        <w:top w:val="none" w:sz="0" w:space="0" w:color="auto"/>
        <w:left w:val="none" w:sz="0" w:space="0" w:color="auto"/>
        <w:bottom w:val="none" w:sz="0" w:space="0" w:color="auto"/>
        <w:right w:val="none" w:sz="0" w:space="0" w:color="auto"/>
      </w:divBdr>
    </w:div>
    <w:div w:id="170797458">
      <w:marLeft w:val="0"/>
      <w:marRight w:val="0"/>
      <w:marTop w:val="10"/>
      <w:marBottom w:val="10"/>
      <w:divBdr>
        <w:top w:val="none" w:sz="0" w:space="0" w:color="auto"/>
        <w:left w:val="none" w:sz="0" w:space="0" w:color="auto"/>
        <w:bottom w:val="none" w:sz="0" w:space="0" w:color="auto"/>
        <w:right w:val="none" w:sz="0" w:space="0" w:color="auto"/>
      </w:divBdr>
    </w:div>
    <w:div w:id="208880272">
      <w:marLeft w:val="0"/>
      <w:marRight w:val="0"/>
      <w:marTop w:val="10"/>
      <w:marBottom w:val="10"/>
      <w:divBdr>
        <w:top w:val="none" w:sz="0" w:space="0" w:color="auto"/>
        <w:left w:val="none" w:sz="0" w:space="0" w:color="auto"/>
        <w:bottom w:val="none" w:sz="0" w:space="0" w:color="auto"/>
        <w:right w:val="none" w:sz="0" w:space="0" w:color="auto"/>
      </w:divBdr>
    </w:div>
    <w:div w:id="222567916">
      <w:marLeft w:val="0"/>
      <w:marRight w:val="0"/>
      <w:marTop w:val="10"/>
      <w:marBottom w:val="10"/>
      <w:divBdr>
        <w:top w:val="none" w:sz="0" w:space="0" w:color="auto"/>
        <w:left w:val="none" w:sz="0" w:space="0" w:color="auto"/>
        <w:bottom w:val="none" w:sz="0" w:space="0" w:color="auto"/>
        <w:right w:val="none" w:sz="0" w:space="0" w:color="auto"/>
      </w:divBdr>
    </w:div>
    <w:div w:id="244731128">
      <w:marLeft w:val="0"/>
      <w:marRight w:val="0"/>
      <w:marTop w:val="10"/>
      <w:marBottom w:val="10"/>
      <w:divBdr>
        <w:top w:val="none" w:sz="0" w:space="0" w:color="auto"/>
        <w:left w:val="none" w:sz="0" w:space="0" w:color="auto"/>
        <w:bottom w:val="none" w:sz="0" w:space="0" w:color="auto"/>
        <w:right w:val="none" w:sz="0" w:space="0" w:color="auto"/>
      </w:divBdr>
    </w:div>
    <w:div w:id="261766051">
      <w:marLeft w:val="0"/>
      <w:marRight w:val="0"/>
      <w:marTop w:val="10"/>
      <w:marBottom w:val="10"/>
      <w:divBdr>
        <w:top w:val="none" w:sz="0" w:space="0" w:color="auto"/>
        <w:left w:val="none" w:sz="0" w:space="0" w:color="auto"/>
        <w:bottom w:val="none" w:sz="0" w:space="0" w:color="auto"/>
        <w:right w:val="none" w:sz="0" w:space="0" w:color="auto"/>
      </w:divBdr>
    </w:div>
    <w:div w:id="314266367">
      <w:marLeft w:val="0"/>
      <w:marRight w:val="720"/>
      <w:marTop w:val="10"/>
      <w:marBottom w:val="10"/>
      <w:divBdr>
        <w:top w:val="none" w:sz="0" w:space="0" w:color="auto"/>
        <w:left w:val="none" w:sz="0" w:space="0" w:color="auto"/>
        <w:bottom w:val="none" w:sz="0" w:space="0" w:color="auto"/>
        <w:right w:val="none" w:sz="0" w:space="0" w:color="auto"/>
      </w:divBdr>
    </w:div>
    <w:div w:id="356086568">
      <w:marLeft w:val="0"/>
      <w:marRight w:val="0"/>
      <w:marTop w:val="10"/>
      <w:marBottom w:val="10"/>
      <w:divBdr>
        <w:top w:val="none" w:sz="0" w:space="0" w:color="auto"/>
        <w:left w:val="none" w:sz="0" w:space="0" w:color="auto"/>
        <w:bottom w:val="none" w:sz="0" w:space="0" w:color="auto"/>
        <w:right w:val="none" w:sz="0" w:space="0" w:color="auto"/>
      </w:divBdr>
    </w:div>
    <w:div w:id="416099583">
      <w:marLeft w:val="0"/>
      <w:marRight w:val="0"/>
      <w:marTop w:val="10"/>
      <w:marBottom w:val="10"/>
      <w:divBdr>
        <w:top w:val="none" w:sz="0" w:space="0" w:color="auto"/>
        <w:left w:val="none" w:sz="0" w:space="0" w:color="auto"/>
        <w:bottom w:val="none" w:sz="0" w:space="0" w:color="auto"/>
        <w:right w:val="none" w:sz="0" w:space="0" w:color="auto"/>
      </w:divBdr>
    </w:div>
    <w:div w:id="436679465">
      <w:marLeft w:val="0"/>
      <w:marRight w:val="0"/>
      <w:marTop w:val="10"/>
      <w:marBottom w:val="10"/>
      <w:divBdr>
        <w:top w:val="none" w:sz="0" w:space="0" w:color="auto"/>
        <w:left w:val="none" w:sz="0" w:space="0" w:color="auto"/>
        <w:bottom w:val="none" w:sz="0" w:space="0" w:color="auto"/>
        <w:right w:val="none" w:sz="0" w:space="0" w:color="auto"/>
      </w:divBdr>
    </w:div>
    <w:div w:id="442579157">
      <w:marLeft w:val="0"/>
      <w:marRight w:val="0"/>
      <w:marTop w:val="10"/>
      <w:marBottom w:val="10"/>
      <w:divBdr>
        <w:top w:val="none" w:sz="0" w:space="0" w:color="auto"/>
        <w:left w:val="none" w:sz="0" w:space="0" w:color="auto"/>
        <w:bottom w:val="none" w:sz="0" w:space="0" w:color="auto"/>
        <w:right w:val="none" w:sz="0" w:space="0" w:color="auto"/>
      </w:divBdr>
    </w:div>
    <w:div w:id="525144348">
      <w:marLeft w:val="0"/>
      <w:marRight w:val="720"/>
      <w:marTop w:val="10"/>
      <w:marBottom w:val="10"/>
      <w:divBdr>
        <w:top w:val="none" w:sz="0" w:space="0" w:color="auto"/>
        <w:left w:val="none" w:sz="0" w:space="0" w:color="auto"/>
        <w:bottom w:val="none" w:sz="0" w:space="0" w:color="auto"/>
        <w:right w:val="none" w:sz="0" w:space="0" w:color="auto"/>
      </w:divBdr>
    </w:div>
    <w:div w:id="539823112">
      <w:marLeft w:val="0"/>
      <w:marRight w:val="0"/>
      <w:marTop w:val="10"/>
      <w:marBottom w:val="10"/>
      <w:divBdr>
        <w:top w:val="none" w:sz="0" w:space="0" w:color="auto"/>
        <w:left w:val="none" w:sz="0" w:space="0" w:color="auto"/>
        <w:bottom w:val="none" w:sz="0" w:space="0" w:color="auto"/>
        <w:right w:val="none" w:sz="0" w:space="0" w:color="auto"/>
      </w:divBdr>
    </w:div>
    <w:div w:id="561329501">
      <w:marLeft w:val="0"/>
      <w:marRight w:val="0"/>
      <w:marTop w:val="10"/>
      <w:marBottom w:val="10"/>
      <w:divBdr>
        <w:top w:val="none" w:sz="0" w:space="0" w:color="auto"/>
        <w:left w:val="none" w:sz="0" w:space="0" w:color="auto"/>
        <w:bottom w:val="none" w:sz="0" w:space="0" w:color="auto"/>
        <w:right w:val="none" w:sz="0" w:space="0" w:color="auto"/>
      </w:divBdr>
    </w:div>
    <w:div w:id="576209895">
      <w:marLeft w:val="0"/>
      <w:marRight w:val="0"/>
      <w:marTop w:val="10"/>
      <w:marBottom w:val="10"/>
      <w:divBdr>
        <w:top w:val="none" w:sz="0" w:space="0" w:color="auto"/>
        <w:left w:val="none" w:sz="0" w:space="0" w:color="auto"/>
        <w:bottom w:val="none" w:sz="0" w:space="0" w:color="auto"/>
        <w:right w:val="none" w:sz="0" w:space="0" w:color="auto"/>
      </w:divBdr>
    </w:div>
    <w:div w:id="636646646">
      <w:marLeft w:val="0"/>
      <w:marRight w:val="0"/>
      <w:marTop w:val="10"/>
      <w:marBottom w:val="10"/>
      <w:divBdr>
        <w:top w:val="none" w:sz="0" w:space="0" w:color="auto"/>
        <w:left w:val="none" w:sz="0" w:space="0" w:color="auto"/>
        <w:bottom w:val="none" w:sz="0" w:space="0" w:color="auto"/>
        <w:right w:val="none" w:sz="0" w:space="0" w:color="auto"/>
      </w:divBdr>
    </w:div>
    <w:div w:id="645399920">
      <w:marLeft w:val="0"/>
      <w:marRight w:val="0"/>
      <w:marTop w:val="10"/>
      <w:marBottom w:val="10"/>
      <w:divBdr>
        <w:top w:val="none" w:sz="0" w:space="0" w:color="auto"/>
        <w:left w:val="none" w:sz="0" w:space="0" w:color="auto"/>
        <w:bottom w:val="none" w:sz="0" w:space="0" w:color="auto"/>
        <w:right w:val="none" w:sz="0" w:space="0" w:color="auto"/>
      </w:divBdr>
    </w:div>
    <w:div w:id="665937743">
      <w:marLeft w:val="0"/>
      <w:marRight w:val="0"/>
      <w:marTop w:val="10"/>
      <w:marBottom w:val="10"/>
      <w:divBdr>
        <w:top w:val="none" w:sz="0" w:space="0" w:color="auto"/>
        <w:left w:val="none" w:sz="0" w:space="0" w:color="auto"/>
        <w:bottom w:val="none" w:sz="0" w:space="0" w:color="auto"/>
        <w:right w:val="none" w:sz="0" w:space="0" w:color="auto"/>
      </w:divBdr>
    </w:div>
    <w:div w:id="670913547">
      <w:marLeft w:val="0"/>
      <w:marRight w:val="0"/>
      <w:marTop w:val="10"/>
      <w:marBottom w:val="10"/>
      <w:divBdr>
        <w:top w:val="none" w:sz="0" w:space="0" w:color="auto"/>
        <w:left w:val="none" w:sz="0" w:space="0" w:color="auto"/>
        <w:bottom w:val="none" w:sz="0" w:space="0" w:color="auto"/>
        <w:right w:val="none" w:sz="0" w:space="0" w:color="auto"/>
      </w:divBdr>
    </w:div>
    <w:div w:id="718044635">
      <w:marLeft w:val="0"/>
      <w:marRight w:val="0"/>
      <w:marTop w:val="10"/>
      <w:marBottom w:val="10"/>
      <w:divBdr>
        <w:top w:val="none" w:sz="0" w:space="0" w:color="auto"/>
        <w:left w:val="none" w:sz="0" w:space="0" w:color="auto"/>
        <w:bottom w:val="none" w:sz="0" w:space="0" w:color="auto"/>
        <w:right w:val="none" w:sz="0" w:space="0" w:color="auto"/>
      </w:divBdr>
    </w:div>
    <w:div w:id="726879665">
      <w:marLeft w:val="0"/>
      <w:marRight w:val="0"/>
      <w:marTop w:val="10"/>
      <w:marBottom w:val="10"/>
      <w:divBdr>
        <w:top w:val="none" w:sz="0" w:space="0" w:color="auto"/>
        <w:left w:val="none" w:sz="0" w:space="0" w:color="auto"/>
        <w:bottom w:val="none" w:sz="0" w:space="0" w:color="auto"/>
        <w:right w:val="none" w:sz="0" w:space="0" w:color="auto"/>
      </w:divBdr>
    </w:div>
    <w:div w:id="740441736">
      <w:marLeft w:val="0"/>
      <w:marRight w:val="0"/>
      <w:marTop w:val="10"/>
      <w:marBottom w:val="10"/>
      <w:divBdr>
        <w:top w:val="none" w:sz="0" w:space="0" w:color="auto"/>
        <w:left w:val="none" w:sz="0" w:space="0" w:color="auto"/>
        <w:bottom w:val="none" w:sz="0" w:space="0" w:color="auto"/>
        <w:right w:val="none" w:sz="0" w:space="0" w:color="auto"/>
      </w:divBdr>
    </w:div>
    <w:div w:id="752433204">
      <w:marLeft w:val="0"/>
      <w:marRight w:val="0"/>
      <w:marTop w:val="10"/>
      <w:marBottom w:val="10"/>
      <w:divBdr>
        <w:top w:val="none" w:sz="0" w:space="0" w:color="auto"/>
        <w:left w:val="none" w:sz="0" w:space="0" w:color="auto"/>
        <w:bottom w:val="none" w:sz="0" w:space="0" w:color="auto"/>
        <w:right w:val="none" w:sz="0" w:space="0" w:color="auto"/>
      </w:divBdr>
    </w:div>
    <w:div w:id="786779574">
      <w:marLeft w:val="0"/>
      <w:marRight w:val="0"/>
      <w:marTop w:val="10"/>
      <w:marBottom w:val="10"/>
      <w:divBdr>
        <w:top w:val="none" w:sz="0" w:space="0" w:color="auto"/>
        <w:left w:val="none" w:sz="0" w:space="0" w:color="auto"/>
        <w:bottom w:val="none" w:sz="0" w:space="0" w:color="auto"/>
        <w:right w:val="none" w:sz="0" w:space="0" w:color="auto"/>
      </w:divBdr>
    </w:div>
    <w:div w:id="809130706">
      <w:marLeft w:val="0"/>
      <w:marRight w:val="0"/>
      <w:marTop w:val="10"/>
      <w:marBottom w:val="10"/>
      <w:divBdr>
        <w:top w:val="none" w:sz="0" w:space="0" w:color="auto"/>
        <w:left w:val="none" w:sz="0" w:space="0" w:color="auto"/>
        <w:bottom w:val="none" w:sz="0" w:space="0" w:color="auto"/>
        <w:right w:val="none" w:sz="0" w:space="0" w:color="auto"/>
      </w:divBdr>
    </w:div>
    <w:div w:id="842862979">
      <w:marLeft w:val="0"/>
      <w:marRight w:val="0"/>
      <w:marTop w:val="10"/>
      <w:marBottom w:val="10"/>
      <w:divBdr>
        <w:top w:val="none" w:sz="0" w:space="0" w:color="auto"/>
        <w:left w:val="none" w:sz="0" w:space="0" w:color="auto"/>
        <w:bottom w:val="none" w:sz="0" w:space="0" w:color="auto"/>
        <w:right w:val="none" w:sz="0" w:space="0" w:color="auto"/>
      </w:divBdr>
    </w:div>
    <w:div w:id="955328616">
      <w:marLeft w:val="0"/>
      <w:marRight w:val="0"/>
      <w:marTop w:val="10"/>
      <w:marBottom w:val="10"/>
      <w:divBdr>
        <w:top w:val="none" w:sz="0" w:space="0" w:color="auto"/>
        <w:left w:val="none" w:sz="0" w:space="0" w:color="auto"/>
        <w:bottom w:val="none" w:sz="0" w:space="0" w:color="auto"/>
        <w:right w:val="none" w:sz="0" w:space="0" w:color="auto"/>
      </w:divBdr>
    </w:div>
    <w:div w:id="1049763305">
      <w:marLeft w:val="0"/>
      <w:marRight w:val="0"/>
      <w:marTop w:val="10"/>
      <w:marBottom w:val="10"/>
      <w:divBdr>
        <w:top w:val="none" w:sz="0" w:space="0" w:color="auto"/>
        <w:left w:val="none" w:sz="0" w:space="0" w:color="auto"/>
        <w:bottom w:val="none" w:sz="0" w:space="0" w:color="auto"/>
        <w:right w:val="none" w:sz="0" w:space="0" w:color="auto"/>
      </w:divBdr>
    </w:div>
    <w:div w:id="1052733600">
      <w:marLeft w:val="0"/>
      <w:marRight w:val="0"/>
      <w:marTop w:val="10"/>
      <w:marBottom w:val="10"/>
      <w:divBdr>
        <w:top w:val="none" w:sz="0" w:space="0" w:color="auto"/>
        <w:left w:val="none" w:sz="0" w:space="0" w:color="auto"/>
        <w:bottom w:val="none" w:sz="0" w:space="0" w:color="auto"/>
        <w:right w:val="none" w:sz="0" w:space="0" w:color="auto"/>
      </w:divBdr>
    </w:div>
    <w:div w:id="1073889663">
      <w:marLeft w:val="0"/>
      <w:marRight w:val="0"/>
      <w:marTop w:val="10"/>
      <w:marBottom w:val="10"/>
      <w:divBdr>
        <w:top w:val="none" w:sz="0" w:space="0" w:color="auto"/>
        <w:left w:val="none" w:sz="0" w:space="0" w:color="auto"/>
        <w:bottom w:val="none" w:sz="0" w:space="0" w:color="auto"/>
        <w:right w:val="none" w:sz="0" w:space="0" w:color="auto"/>
      </w:divBdr>
    </w:div>
    <w:div w:id="1087920824">
      <w:marLeft w:val="0"/>
      <w:marRight w:val="0"/>
      <w:marTop w:val="10"/>
      <w:marBottom w:val="10"/>
      <w:divBdr>
        <w:top w:val="none" w:sz="0" w:space="0" w:color="auto"/>
        <w:left w:val="none" w:sz="0" w:space="0" w:color="auto"/>
        <w:bottom w:val="none" w:sz="0" w:space="0" w:color="auto"/>
        <w:right w:val="none" w:sz="0" w:space="0" w:color="auto"/>
      </w:divBdr>
    </w:div>
    <w:div w:id="1092554045">
      <w:marLeft w:val="0"/>
      <w:marRight w:val="0"/>
      <w:marTop w:val="10"/>
      <w:marBottom w:val="10"/>
      <w:divBdr>
        <w:top w:val="none" w:sz="0" w:space="0" w:color="auto"/>
        <w:left w:val="none" w:sz="0" w:space="0" w:color="auto"/>
        <w:bottom w:val="none" w:sz="0" w:space="0" w:color="auto"/>
        <w:right w:val="none" w:sz="0" w:space="0" w:color="auto"/>
      </w:divBdr>
    </w:div>
    <w:div w:id="1136724573">
      <w:marLeft w:val="0"/>
      <w:marRight w:val="0"/>
      <w:marTop w:val="10"/>
      <w:marBottom w:val="10"/>
      <w:divBdr>
        <w:top w:val="none" w:sz="0" w:space="0" w:color="auto"/>
        <w:left w:val="none" w:sz="0" w:space="0" w:color="auto"/>
        <w:bottom w:val="none" w:sz="0" w:space="0" w:color="auto"/>
        <w:right w:val="none" w:sz="0" w:space="0" w:color="auto"/>
      </w:divBdr>
    </w:div>
    <w:div w:id="1200245678">
      <w:marLeft w:val="0"/>
      <w:marRight w:val="0"/>
      <w:marTop w:val="10"/>
      <w:marBottom w:val="10"/>
      <w:divBdr>
        <w:top w:val="none" w:sz="0" w:space="0" w:color="auto"/>
        <w:left w:val="none" w:sz="0" w:space="0" w:color="auto"/>
        <w:bottom w:val="none" w:sz="0" w:space="0" w:color="auto"/>
        <w:right w:val="none" w:sz="0" w:space="0" w:color="auto"/>
      </w:divBdr>
    </w:div>
    <w:div w:id="1201431358">
      <w:marLeft w:val="0"/>
      <w:marRight w:val="0"/>
      <w:marTop w:val="10"/>
      <w:marBottom w:val="10"/>
      <w:divBdr>
        <w:top w:val="none" w:sz="0" w:space="0" w:color="auto"/>
        <w:left w:val="none" w:sz="0" w:space="0" w:color="auto"/>
        <w:bottom w:val="none" w:sz="0" w:space="0" w:color="auto"/>
        <w:right w:val="none" w:sz="0" w:space="0" w:color="auto"/>
      </w:divBdr>
    </w:div>
    <w:div w:id="1230923269">
      <w:marLeft w:val="0"/>
      <w:marRight w:val="0"/>
      <w:marTop w:val="10"/>
      <w:marBottom w:val="10"/>
      <w:divBdr>
        <w:top w:val="none" w:sz="0" w:space="0" w:color="auto"/>
        <w:left w:val="none" w:sz="0" w:space="0" w:color="auto"/>
        <w:bottom w:val="none" w:sz="0" w:space="0" w:color="auto"/>
        <w:right w:val="none" w:sz="0" w:space="0" w:color="auto"/>
      </w:divBdr>
    </w:div>
    <w:div w:id="1278835235">
      <w:marLeft w:val="0"/>
      <w:marRight w:val="0"/>
      <w:marTop w:val="10"/>
      <w:marBottom w:val="10"/>
      <w:divBdr>
        <w:top w:val="none" w:sz="0" w:space="0" w:color="auto"/>
        <w:left w:val="none" w:sz="0" w:space="0" w:color="auto"/>
        <w:bottom w:val="none" w:sz="0" w:space="0" w:color="auto"/>
        <w:right w:val="none" w:sz="0" w:space="0" w:color="auto"/>
      </w:divBdr>
    </w:div>
    <w:div w:id="1299721873">
      <w:marLeft w:val="0"/>
      <w:marRight w:val="0"/>
      <w:marTop w:val="10"/>
      <w:marBottom w:val="10"/>
      <w:divBdr>
        <w:top w:val="none" w:sz="0" w:space="0" w:color="auto"/>
        <w:left w:val="none" w:sz="0" w:space="0" w:color="auto"/>
        <w:bottom w:val="none" w:sz="0" w:space="0" w:color="auto"/>
        <w:right w:val="none" w:sz="0" w:space="0" w:color="auto"/>
      </w:divBdr>
    </w:div>
    <w:div w:id="1301349564">
      <w:marLeft w:val="0"/>
      <w:marRight w:val="0"/>
      <w:marTop w:val="10"/>
      <w:marBottom w:val="10"/>
      <w:divBdr>
        <w:top w:val="none" w:sz="0" w:space="0" w:color="auto"/>
        <w:left w:val="none" w:sz="0" w:space="0" w:color="auto"/>
        <w:bottom w:val="none" w:sz="0" w:space="0" w:color="auto"/>
        <w:right w:val="none" w:sz="0" w:space="0" w:color="auto"/>
      </w:divBdr>
    </w:div>
    <w:div w:id="1339235751">
      <w:marLeft w:val="0"/>
      <w:marRight w:val="0"/>
      <w:marTop w:val="10"/>
      <w:marBottom w:val="10"/>
      <w:divBdr>
        <w:top w:val="none" w:sz="0" w:space="0" w:color="auto"/>
        <w:left w:val="none" w:sz="0" w:space="0" w:color="auto"/>
        <w:bottom w:val="none" w:sz="0" w:space="0" w:color="auto"/>
        <w:right w:val="none" w:sz="0" w:space="0" w:color="auto"/>
      </w:divBdr>
    </w:div>
    <w:div w:id="1347251665">
      <w:marLeft w:val="0"/>
      <w:marRight w:val="720"/>
      <w:marTop w:val="10"/>
      <w:marBottom w:val="10"/>
      <w:divBdr>
        <w:top w:val="none" w:sz="0" w:space="0" w:color="auto"/>
        <w:left w:val="none" w:sz="0" w:space="0" w:color="auto"/>
        <w:bottom w:val="none" w:sz="0" w:space="0" w:color="auto"/>
        <w:right w:val="none" w:sz="0" w:space="0" w:color="auto"/>
      </w:divBdr>
    </w:div>
    <w:div w:id="1395926608">
      <w:marLeft w:val="0"/>
      <w:marRight w:val="0"/>
      <w:marTop w:val="10"/>
      <w:marBottom w:val="10"/>
      <w:divBdr>
        <w:top w:val="none" w:sz="0" w:space="0" w:color="auto"/>
        <w:left w:val="none" w:sz="0" w:space="0" w:color="auto"/>
        <w:bottom w:val="none" w:sz="0" w:space="0" w:color="auto"/>
        <w:right w:val="none" w:sz="0" w:space="0" w:color="auto"/>
      </w:divBdr>
    </w:div>
    <w:div w:id="1415591202">
      <w:marLeft w:val="0"/>
      <w:marRight w:val="0"/>
      <w:marTop w:val="10"/>
      <w:marBottom w:val="10"/>
      <w:divBdr>
        <w:top w:val="none" w:sz="0" w:space="0" w:color="auto"/>
        <w:left w:val="none" w:sz="0" w:space="0" w:color="auto"/>
        <w:bottom w:val="none" w:sz="0" w:space="0" w:color="auto"/>
        <w:right w:val="none" w:sz="0" w:space="0" w:color="auto"/>
      </w:divBdr>
    </w:div>
    <w:div w:id="1437140731">
      <w:marLeft w:val="0"/>
      <w:marRight w:val="0"/>
      <w:marTop w:val="10"/>
      <w:marBottom w:val="10"/>
      <w:divBdr>
        <w:top w:val="none" w:sz="0" w:space="0" w:color="auto"/>
        <w:left w:val="none" w:sz="0" w:space="0" w:color="auto"/>
        <w:bottom w:val="none" w:sz="0" w:space="0" w:color="auto"/>
        <w:right w:val="none" w:sz="0" w:space="0" w:color="auto"/>
      </w:divBdr>
    </w:div>
    <w:div w:id="1441952336">
      <w:marLeft w:val="0"/>
      <w:marRight w:val="0"/>
      <w:marTop w:val="10"/>
      <w:marBottom w:val="10"/>
      <w:divBdr>
        <w:top w:val="none" w:sz="0" w:space="0" w:color="auto"/>
        <w:left w:val="none" w:sz="0" w:space="0" w:color="auto"/>
        <w:bottom w:val="none" w:sz="0" w:space="0" w:color="auto"/>
        <w:right w:val="none" w:sz="0" w:space="0" w:color="auto"/>
      </w:divBdr>
    </w:div>
    <w:div w:id="1443576965">
      <w:marLeft w:val="0"/>
      <w:marRight w:val="0"/>
      <w:marTop w:val="10"/>
      <w:marBottom w:val="10"/>
      <w:divBdr>
        <w:top w:val="none" w:sz="0" w:space="0" w:color="auto"/>
        <w:left w:val="none" w:sz="0" w:space="0" w:color="auto"/>
        <w:bottom w:val="none" w:sz="0" w:space="0" w:color="auto"/>
        <w:right w:val="none" w:sz="0" w:space="0" w:color="auto"/>
      </w:divBdr>
    </w:div>
    <w:div w:id="1444030022">
      <w:marLeft w:val="0"/>
      <w:marRight w:val="0"/>
      <w:marTop w:val="10"/>
      <w:marBottom w:val="10"/>
      <w:divBdr>
        <w:top w:val="none" w:sz="0" w:space="0" w:color="auto"/>
        <w:left w:val="none" w:sz="0" w:space="0" w:color="auto"/>
        <w:bottom w:val="none" w:sz="0" w:space="0" w:color="auto"/>
        <w:right w:val="none" w:sz="0" w:space="0" w:color="auto"/>
      </w:divBdr>
    </w:div>
    <w:div w:id="1469393642">
      <w:marLeft w:val="0"/>
      <w:marRight w:val="0"/>
      <w:marTop w:val="10"/>
      <w:marBottom w:val="10"/>
      <w:divBdr>
        <w:top w:val="none" w:sz="0" w:space="0" w:color="auto"/>
        <w:left w:val="none" w:sz="0" w:space="0" w:color="auto"/>
        <w:bottom w:val="none" w:sz="0" w:space="0" w:color="auto"/>
        <w:right w:val="none" w:sz="0" w:space="0" w:color="auto"/>
      </w:divBdr>
    </w:div>
    <w:div w:id="1504198989">
      <w:marLeft w:val="0"/>
      <w:marRight w:val="0"/>
      <w:marTop w:val="10"/>
      <w:marBottom w:val="10"/>
      <w:divBdr>
        <w:top w:val="none" w:sz="0" w:space="0" w:color="auto"/>
        <w:left w:val="none" w:sz="0" w:space="0" w:color="auto"/>
        <w:bottom w:val="none" w:sz="0" w:space="0" w:color="auto"/>
        <w:right w:val="none" w:sz="0" w:space="0" w:color="auto"/>
      </w:divBdr>
    </w:div>
    <w:div w:id="1504664934">
      <w:marLeft w:val="0"/>
      <w:marRight w:val="0"/>
      <w:marTop w:val="10"/>
      <w:marBottom w:val="10"/>
      <w:divBdr>
        <w:top w:val="none" w:sz="0" w:space="0" w:color="auto"/>
        <w:left w:val="none" w:sz="0" w:space="0" w:color="auto"/>
        <w:bottom w:val="none" w:sz="0" w:space="0" w:color="auto"/>
        <w:right w:val="none" w:sz="0" w:space="0" w:color="auto"/>
      </w:divBdr>
    </w:div>
    <w:div w:id="1506676579">
      <w:marLeft w:val="0"/>
      <w:marRight w:val="0"/>
      <w:marTop w:val="10"/>
      <w:marBottom w:val="10"/>
      <w:divBdr>
        <w:top w:val="none" w:sz="0" w:space="0" w:color="auto"/>
        <w:left w:val="none" w:sz="0" w:space="0" w:color="auto"/>
        <w:bottom w:val="none" w:sz="0" w:space="0" w:color="auto"/>
        <w:right w:val="none" w:sz="0" w:space="0" w:color="auto"/>
      </w:divBdr>
    </w:div>
    <w:div w:id="1518226728">
      <w:marLeft w:val="0"/>
      <w:marRight w:val="0"/>
      <w:marTop w:val="10"/>
      <w:marBottom w:val="10"/>
      <w:divBdr>
        <w:top w:val="none" w:sz="0" w:space="0" w:color="auto"/>
        <w:left w:val="none" w:sz="0" w:space="0" w:color="auto"/>
        <w:bottom w:val="none" w:sz="0" w:space="0" w:color="auto"/>
        <w:right w:val="none" w:sz="0" w:space="0" w:color="auto"/>
      </w:divBdr>
    </w:div>
    <w:div w:id="1523519138">
      <w:marLeft w:val="0"/>
      <w:marRight w:val="0"/>
      <w:marTop w:val="10"/>
      <w:marBottom w:val="10"/>
      <w:divBdr>
        <w:top w:val="none" w:sz="0" w:space="0" w:color="auto"/>
        <w:left w:val="none" w:sz="0" w:space="0" w:color="auto"/>
        <w:bottom w:val="none" w:sz="0" w:space="0" w:color="auto"/>
        <w:right w:val="none" w:sz="0" w:space="0" w:color="auto"/>
      </w:divBdr>
    </w:div>
    <w:div w:id="1552107389">
      <w:marLeft w:val="0"/>
      <w:marRight w:val="0"/>
      <w:marTop w:val="10"/>
      <w:marBottom w:val="10"/>
      <w:divBdr>
        <w:top w:val="none" w:sz="0" w:space="0" w:color="auto"/>
        <w:left w:val="none" w:sz="0" w:space="0" w:color="auto"/>
        <w:bottom w:val="none" w:sz="0" w:space="0" w:color="auto"/>
        <w:right w:val="none" w:sz="0" w:space="0" w:color="auto"/>
      </w:divBdr>
    </w:div>
    <w:div w:id="1582715453">
      <w:marLeft w:val="0"/>
      <w:marRight w:val="0"/>
      <w:marTop w:val="10"/>
      <w:marBottom w:val="10"/>
      <w:divBdr>
        <w:top w:val="none" w:sz="0" w:space="0" w:color="auto"/>
        <w:left w:val="none" w:sz="0" w:space="0" w:color="auto"/>
        <w:bottom w:val="none" w:sz="0" w:space="0" w:color="auto"/>
        <w:right w:val="none" w:sz="0" w:space="0" w:color="auto"/>
      </w:divBdr>
    </w:div>
    <w:div w:id="1613240479">
      <w:marLeft w:val="0"/>
      <w:marRight w:val="0"/>
      <w:marTop w:val="10"/>
      <w:marBottom w:val="10"/>
      <w:divBdr>
        <w:top w:val="none" w:sz="0" w:space="0" w:color="auto"/>
        <w:left w:val="none" w:sz="0" w:space="0" w:color="auto"/>
        <w:bottom w:val="none" w:sz="0" w:space="0" w:color="auto"/>
        <w:right w:val="none" w:sz="0" w:space="0" w:color="auto"/>
      </w:divBdr>
    </w:div>
    <w:div w:id="1650016713">
      <w:marLeft w:val="0"/>
      <w:marRight w:val="720"/>
      <w:marTop w:val="10"/>
      <w:marBottom w:val="10"/>
      <w:divBdr>
        <w:top w:val="none" w:sz="0" w:space="0" w:color="auto"/>
        <w:left w:val="none" w:sz="0" w:space="0" w:color="auto"/>
        <w:bottom w:val="none" w:sz="0" w:space="0" w:color="auto"/>
        <w:right w:val="none" w:sz="0" w:space="0" w:color="auto"/>
      </w:divBdr>
    </w:div>
    <w:div w:id="1665939454">
      <w:marLeft w:val="0"/>
      <w:marRight w:val="0"/>
      <w:marTop w:val="10"/>
      <w:marBottom w:val="10"/>
      <w:divBdr>
        <w:top w:val="none" w:sz="0" w:space="0" w:color="auto"/>
        <w:left w:val="none" w:sz="0" w:space="0" w:color="auto"/>
        <w:bottom w:val="none" w:sz="0" w:space="0" w:color="auto"/>
        <w:right w:val="none" w:sz="0" w:space="0" w:color="auto"/>
      </w:divBdr>
    </w:div>
    <w:div w:id="1689527867">
      <w:marLeft w:val="0"/>
      <w:marRight w:val="0"/>
      <w:marTop w:val="10"/>
      <w:marBottom w:val="10"/>
      <w:divBdr>
        <w:top w:val="none" w:sz="0" w:space="0" w:color="auto"/>
        <w:left w:val="none" w:sz="0" w:space="0" w:color="auto"/>
        <w:bottom w:val="none" w:sz="0" w:space="0" w:color="auto"/>
        <w:right w:val="none" w:sz="0" w:space="0" w:color="auto"/>
      </w:divBdr>
    </w:div>
    <w:div w:id="1716663000">
      <w:marLeft w:val="0"/>
      <w:marRight w:val="0"/>
      <w:marTop w:val="10"/>
      <w:marBottom w:val="10"/>
      <w:divBdr>
        <w:top w:val="none" w:sz="0" w:space="0" w:color="auto"/>
        <w:left w:val="none" w:sz="0" w:space="0" w:color="auto"/>
        <w:bottom w:val="none" w:sz="0" w:space="0" w:color="auto"/>
        <w:right w:val="none" w:sz="0" w:space="0" w:color="auto"/>
      </w:divBdr>
    </w:div>
    <w:div w:id="1721175290">
      <w:marLeft w:val="0"/>
      <w:marRight w:val="0"/>
      <w:marTop w:val="10"/>
      <w:marBottom w:val="10"/>
      <w:divBdr>
        <w:top w:val="none" w:sz="0" w:space="0" w:color="auto"/>
        <w:left w:val="none" w:sz="0" w:space="0" w:color="auto"/>
        <w:bottom w:val="none" w:sz="0" w:space="0" w:color="auto"/>
        <w:right w:val="none" w:sz="0" w:space="0" w:color="auto"/>
      </w:divBdr>
    </w:div>
    <w:div w:id="1757634140">
      <w:marLeft w:val="0"/>
      <w:marRight w:val="0"/>
      <w:marTop w:val="10"/>
      <w:marBottom w:val="10"/>
      <w:divBdr>
        <w:top w:val="none" w:sz="0" w:space="0" w:color="auto"/>
        <w:left w:val="none" w:sz="0" w:space="0" w:color="auto"/>
        <w:bottom w:val="none" w:sz="0" w:space="0" w:color="auto"/>
        <w:right w:val="none" w:sz="0" w:space="0" w:color="auto"/>
      </w:divBdr>
    </w:div>
    <w:div w:id="1762136856">
      <w:marLeft w:val="0"/>
      <w:marRight w:val="0"/>
      <w:marTop w:val="10"/>
      <w:marBottom w:val="10"/>
      <w:divBdr>
        <w:top w:val="none" w:sz="0" w:space="0" w:color="auto"/>
        <w:left w:val="none" w:sz="0" w:space="0" w:color="auto"/>
        <w:bottom w:val="none" w:sz="0" w:space="0" w:color="auto"/>
        <w:right w:val="none" w:sz="0" w:space="0" w:color="auto"/>
      </w:divBdr>
    </w:div>
    <w:div w:id="1793210368">
      <w:marLeft w:val="0"/>
      <w:marRight w:val="0"/>
      <w:marTop w:val="10"/>
      <w:marBottom w:val="10"/>
      <w:divBdr>
        <w:top w:val="none" w:sz="0" w:space="0" w:color="auto"/>
        <w:left w:val="none" w:sz="0" w:space="0" w:color="auto"/>
        <w:bottom w:val="none" w:sz="0" w:space="0" w:color="auto"/>
        <w:right w:val="none" w:sz="0" w:space="0" w:color="auto"/>
      </w:divBdr>
    </w:div>
    <w:div w:id="1798335891">
      <w:marLeft w:val="0"/>
      <w:marRight w:val="0"/>
      <w:marTop w:val="10"/>
      <w:marBottom w:val="10"/>
      <w:divBdr>
        <w:top w:val="none" w:sz="0" w:space="0" w:color="auto"/>
        <w:left w:val="none" w:sz="0" w:space="0" w:color="auto"/>
        <w:bottom w:val="none" w:sz="0" w:space="0" w:color="auto"/>
        <w:right w:val="none" w:sz="0" w:space="0" w:color="auto"/>
      </w:divBdr>
    </w:div>
    <w:div w:id="1804541631">
      <w:marLeft w:val="0"/>
      <w:marRight w:val="0"/>
      <w:marTop w:val="10"/>
      <w:marBottom w:val="10"/>
      <w:divBdr>
        <w:top w:val="none" w:sz="0" w:space="0" w:color="auto"/>
        <w:left w:val="none" w:sz="0" w:space="0" w:color="auto"/>
        <w:bottom w:val="none" w:sz="0" w:space="0" w:color="auto"/>
        <w:right w:val="none" w:sz="0" w:space="0" w:color="auto"/>
      </w:divBdr>
    </w:div>
    <w:div w:id="1817069360">
      <w:marLeft w:val="0"/>
      <w:marRight w:val="0"/>
      <w:marTop w:val="10"/>
      <w:marBottom w:val="10"/>
      <w:divBdr>
        <w:top w:val="none" w:sz="0" w:space="0" w:color="auto"/>
        <w:left w:val="none" w:sz="0" w:space="0" w:color="auto"/>
        <w:bottom w:val="none" w:sz="0" w:space="0" w:color="auto"/>
        <w:right w:val="none" w:sz="0" w:space="0" w:color="auto"/>
      </w:divBdr>
    </w:div>
    <w:div w:id="1898975859">
      <w:marLeft w:val="0"/>
      <w:marRight w:val="0"/>
      <w:marTop w:val="10"/>
      <w:marBottom w:val="10"/>
      <w:divBdr>
        <w:top w:val="none" w:sz="0" w:space="0" w:color="auto"/>
        <w:left w:val="none" w:sz="0" w:space="0" w:color="auto"/>
        <w:bottom w:val="none" w:sz="0" w:space="0" w:color="auto"/>
        <w:right w:val="none" w:sz="0" w:space="0" w:color="auto"/>
      </w:divBdr>
    </w:div>
    <w:div w:id="1906258922">
      <w:marLeft w:val="0"/>
      <w:marRight w:val="0"/>
      <w:marTop w:val="10"/>
      <w:marBottom w:val="10"/>
      <w:divBdr>
        <w:top w:val="none" w:sz="0" w:space="0" w:color="auto"/>
        <w:left w:val="none" w:sz="0" w:space="0" w:color="auto"/>
        <w:bottom w:val="none" w:sz="0" w:space="0" w:color="auto"/>
        <w:right w:val="none" w:sz="0" w:space="0" w:color="auto"/>
      </w:divBdr>
    </w:div>
    <w:div w:id="1907450416">
      <w:marLeft w:val="0"/>
      <w:marRight w:val="0"/>
      <w:marTop w:val="10"/>
      <w:marBottom w:val="10"/>
      <w:divBdr>
        <w:top w:val="none" w:sz="0" w:space="0" w:color="auto"/>
        <w:left w:val="none" w:sz="0" w:space="0" w:color="auto"/>
        <w:bottom w:val="none" w:sz="0" w:space="0" w:color="auto"/>
        <w:right w:val="none" w:sz="0" w:space="0" w:color="auto"/>
      </w:divBdr>
    </w:div>
    <w:div w:id="1908151483">
      <w:marLeft w:val="0"/>
      <w:marRight w:val="0"/>
      <w:marTop w:val="10"/>
      <w:marBottom w:val="10"/>
      <w:divBdr>
        <w:top w:val="none" w:sz="0" w:space="0" w:color="auto"/>
        <w:left w:val="none" w:sz="0" w:space="0" w:color="auto"/>
        <w:bottom w:val="none" w:sz="0" w:space="0" w:color="auto"/>
        <w:right w:val="none" w:sz="0" w:space="0" w:color="auto"/>
      </w:divBdr>
    </w:div>
    <w:div w:id="1959529658">
      <w:marLeft w:val="0"/>
      <w:marRight w:val="0"/>
      <w:marTop w:val="10"/>
      <w:marBottom w:val="10"/>
      <w:divBdr>
        <w:top w:val="none" w:sz="0" w:space="0" w:color="auto"/>
        <w:left w:val="none" w:sz="0" w:space="0" w:color="auto"/>
        <w:bottom w:val="none" w:sz="0" w:space="0" w:color="auto"/>
        <w:right w:val="none" w:sz="0" w:space="0" w:color="auto"/>
      </w:divBdr>
    </w:div>
    <w:div w:id="1977638886">
      <w:marLeft w:val="0"/>
      <w:marRight w:val="0"/>
      <w:marTop w:val="10"/>
      <w:marBottom w:val="10"/>
      <w:divBdr>
        <w:top w:val="none" w:sz="0" w:space="0" w:color="auto"/>
        <w:left w:val="none" w:sz="0" w:space="0" w:color="auto"/>
        <w:bottom w:val="none" w:sz="0" w:space="0" w:color="auto"/>
        <w:right w:val="none" w:sz="0" w:space="0" w:color="auto"/>
      </w:divBdr>
    </w:div>
    <w:div w:id="1996644377">
      <w:marLeft w:val="0"/>
      <w:marRight w:val="0"/>
      <w:marTop w:val="10"/>
      <w:marBottom w:val="10"/>
      <w:divBdr>
        <w:top w:val="none" w:sz="0" w:space="0" w:color="auto"/>
        <w:left w:val="none" w:sz="0" w:space="0" w:color="auto"/>
        <w:bottom w:val="none" w:sz="0" w:space="0" w:color="auto"/>
        <w:right w:val="none" w:sz="0" w:space="0" w:color="auto"/>
      </w:divBdr>
    </w:div>
    <w:div w:id="2134396826">
      <w:marLeft w:val="0"/>
      <w:marRight w:val="0"/>
      <w:marTop w:val="10"/>
      <w:marBottom w:val="10"/>
      <w:divBdr>
        <w:top w:val="none" w:sz="0" w:space="0" w:color="auto"/>
        <w:left w:val="none" w:sz="0" w:space="0" w:color="auto"/>
        <w:bottom w:val="none" w:sz="0" w:space="0" w:color="auto"/>
        <w:right w:val="none" w:sz="0" w:space="0" w:color="auto"/>
      </w:divBdr>
    </w:div>
    <w:div w:id="214283882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1852</Words>
  <Characters>10558</Characters>
  <Application>Microsoft Office Word</Application>
  <DocSecurity>0</DocSecurity>
  <Lines>87</Lines>
  <Paragraphs>24</Paragraphs>
  <ScaleCrop>false</ScaleCrop>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