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F24D5">
      <w:pPr>
        <w:spacing w:line="500" w:lineRule="atLeast"/>
        <w:jc w:val="center"/>
        <w:divId w:val="283538741"/>
        <w:rPr>
          <w:rFonts w:ascii="黑体" w:eastAsia="黑体" w:hAnsi="黑体"/>
          <w:sz w:val="36"/>
          <w:szCs w:val="36"/>
        </w:rPr>
      </w:pPr>
      <w:bookmarkStart w:id="0" w:name="_GoBack"/>
      <w:bookmarkEnd w:id="0"/>
      <w:r>
        <w:rPr>
          <w:rFonts w:ascii="黑体" w:eastAsia="黑体" w:hAnsi="黑体" w:hint="eastAsia"/>
          <w:sz w:val="36"/>
          <w:szCs w:val="36"/>
        </w:rPr>
        <w:t>山东省济南市中级人民法院</w:t>
      </w:r>
    </w:p>
    <w:p w:rsidR="00000000" w:rsidRDefault="006F24D5">
      <w:pPr>
        <w:spacing w:line="500" w:lineRule="atLeast"/>
        <w:jc w:val="center"/>
        <w:divId w:val="21312964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F24D5">
      <w:pPr>
        <w:spacing w:line="500" w:lineRule="atLeast"/>
        <w:jc w:val="right"/>
        <w:divId w:val="1972127628"/>
        <w:rPr>
          <w:rFonts w:hint="eastAsia"/>
          <w:sz w:val="30"/>
          <w:szCs w:val="30"/>
        </w:rPr>
      </w:pPr>
      <w:r>
        <w:rPr>
          <w:rFonts w:hint="eastAsia"/>
          <w:sz w:val="30"/>
          <w:szCs w:val="30"/>
        </w:rPr>
        <w:t>（</w:t>
      </w:r>
      <w:r>
        <w:rPr>
          <w:rFonts w:hint="eastAsia"/>
          <w:sz w:val="30"/>
          <w:szCs w:val="30"/>
        </w:rPr>
        <w:t>2020</w:t>
      </w:r>
      <w:r>
        <w:rPr>
          <w:rFonts w:hint="eastAsia"/>
          <w:sz w:val="30"/>
          <w:szCs w:val="30"/>
        </w:rPr>
        <w:t>）鲁</w:t>
      </w:r>
      <w:r>
        <w:rPr>
          <w:rFonts w:hint="eastAsia"/>
          <w:sz w:val="30"/>
          <w:szCs w:val="30"/>
        </w:rPr>
        <w:t>01</w:t>
      </w:r>
      <w:r>
        <w:rPr>
          <w:rFonts w:hint="eastAsia"/>
          <w:sz w:val="30"/>
          <w:szCs w:val="30"/>
        </w:rPr>
        <w:t>民终</w:t>
      </w:r>
      <w:r>
        <w:rPr>
          <w:rFonts w:hint="eastAsia"/>
          <w:sz w:val="30"/>
          <w:szCs w:val="30"/>
        </w:rPr>
        <w:t>6580</w:t>
      </w:r>
      <w:r>
        <w:rPr>
          <w:rFonts w:hint="eastAsia"/>
          <w:sz w:val="30"/>
          <w:szCs w:val="30"/>
        </w:rPr>
        <w:t>号</w:t>
      </w:r>
    </w:p>
    <w:p w:rsidR="00000000" w:rsidRDefault="006F24D5">
      <w:pPr>
        <w:spacing w:line="500" w:lineRule="atLeast"/>
        <w:ind w:firstLine="600"/>
        <w:divId w:val="1343970630"/>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：山东山大新元易通信息科技有限公司，住所地济南市。</w:t>
      </w:r>
    </w:p>
    <w:p w:rsidR="00000000" w:rsidRDefault="006F24D5">
      <w:pPr>
        <w:spacing w:line="500" w:lineRule="atLeast"/>
        <w:ind w:firstLine="600"/>
        <w:divId w:val="2032100540"/>
        <w:rPr>
          <w:rFonts w:hint="eastAsia"/>
          <w:sz w:val="30"/>
          <w:szCs w:val="30"/>
        </w:rPr>
      </w:pPr>
      <w:r>
        <w:rPr>
          <w:rFonts w:hint="eastAsia"/>
          <w:sz w:val="30"/>
          <w:szCs w:val="30"/>
        </w:rPr>
        <w:t>法定代表人：傅传德，董事长。</w:t>
      </w:r>
    </w:p>
    <w:p w:rsidR="00000000" w:rsidRDefault="006F24D5">
      <w:pPr>
        <w:spacing w:line="500" w:lineRule="atLeast"/>
        <w:ind w:firstLine="600"/>
        <w:divId w:val="462430386"/>
        <w:rPr>
          <w:rFonts w:hint="eastAsia"/>
          <w:sz w:val="30"/>
          <w:szCs w:val="30"/>
        </w:rPr>
      </w:pPr>
      <w:r>
        <w:rPr>
          <w:rFonts w:hint="eastAsia"/>
          <w:sz w:val="30"/>
          <w:szCs w:val="30"/>
        </w:rPr>
        <w:t>委托诉讼代理人：刘修东，男，系该公司工作人员。</w:t>
      </w:r>
    </w:p>
    <w:p w:rsidR="00000000" w:rsidRDefault="006F24D5">
      <w:pPr>
        <w:spacing w:line="500" w:lineRule="atLeast"/>
        <w:ind w:firstLine="600"/>
        <w:divId w:val="1829128516"/>
        <w:rPr>
          <w:rFonts w:hint="eastAsia"/>
          <w:sz w:val="30"/>
          <w:szCs w:val="30"/>
        </w:rPr>
      </w:pPr>
      <w:r>
        <w:rPr>
          <w:rFonts w:hint="eastAsia"/>
          <w:sz w:val="30"/>
          <w:szCs w:val="30"/>
        </w:rPr>
        <w:t>委托诉讼代理人：吴立珂，山东天航律师事务所律师。</w:t>
      </w:r>
    </w:p>
    <w:p w:rsidR="00000000" w:rsidRDefault="006F24D5">
      <w:pPr>
        <w:spacing w:line="500" w:lineRule="atLeast"/>
        <w:ind w:firstLine="600"/>
        <w:divId w:val="1109663238"/>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：李东泉，男，</w:t>
      </w:r>
      <w:r>
        <w:rPr>
          <w:rFonts w:hint="eastAsia"/>
          <w:sz w:val="30"/>
          <w:szCs w:val="30"/>
        </w:rPr>
        <w:t>1972</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日出生，汉族，住济南市。</w:t>
      </w:r>
    </w:p>
    <w:p w:rsidR="00000000" w:rsidRDefault="006F24D5">
      <w:pPr>
        <w:spacing w:line="500" w:lineRule="atLeast"/>
        <w:ind w:firstLine="600"/>
        <w:divId w:val="1375621816"/>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：孙绍峰，男，</w:t>
      </w:r>
      <w:r>
        <w:rPr>
          <w:rFonts w:hint="eastAsia"/>
          <w:sz w:val="30"/>
          <w:szCs w:val="30"/>
        </w:rPr>
        <w:t>1977</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日出生，汉族，住济南市。</w:t>
      </w:r>
    </w:p>
    <w:p w:rsidR="00000000" w:rsidRDefault="006F24D5">
      <w:pPr>
        <w:spacing w:line="500" w:lineRule="atLeast"/>
        <w:ind w:firstLine="600"/>
        <w:divId w:val="167837931"/>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：鲍硕俊，男，</w:t>
      </w:r>
      <w:r>
        <w:rPr>
          <w:rFonts w:hint="eastAsia"/>
          <w:sz w:val="30"/>
          <w:szCs w:val="30"/>
        </w:rPr>
        <w:t>1963</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日出生，住济南市。</w:t>
      </w:r>
    </w:p>
    <w:p w:rsidR="00000000" w:rsidRDefault="006F24D5">
      <w:pPr>
        <w:spacing w:line="500" w:lineRule="atLeast"/>
        <w:ind w:firstLine="600"/>
        <w:divId w:val="1106844939"/>
        <w:rPr>
          <w:rFonts w:hint="eastAsia"/>
          <w:sz w:val="30"/>
          <w:szCs w:val="30"/>
        </w:rPr>
      </w:pPr>
      <w:r>
        <w:rPr>
          <w:rFonts w:hint="eastAsia"/>
          <w:sz w:val="30"/>
          <w:szCs w:val="30"/>
        </w:rPr>
        <w:t>以上三被上诉人共同委托诉讼代理人：尹德存，山东德存律师事务所律师。</w:t>
      </w:r>
    </w:p>
    <w:p w:rsidR="00000000" w:rsidRDefault="006F24D5">
      <w:pPr>
        <w:spacing w:line="500" w:lineRule="atLeast"/>
        <w:ind w:firstLine="600"/>
        <w:divId w:val="988247893"/>
        <w:rPr>
          <w:rFonts w:hint="eastAsia"/>
          <w:sz w:val="30"/>
          <w:szCs w:val="30"/>
        </w:rPr>
      </w:pPr>
      <w:r>
        <w:rPr>
          <w:rFonts w:hint="eastAsia"/>
          <w:sz w:val="30"/>
          <w:szCs w:val="30"/>
        </w:rPr>
        <w:t>以上三被上诉人共同委托诉讼代理人：李永强，山东德存律师事务所实习律师。</w:t>
      </w:r>
    </w:p>
    <w:p w:rsidR="00000000" w:rsidRDefault="006F24D5">
      <w:pPr>
        <w:spacing w:line="500" w:lineRule="atLeast"/>
        <w:ind w:firstLine="600"/>
        <w:divId w:val="752433986"/>
        <w:rPr>
          <w:rFonts w:hint="eastAsia"/>
          <w:sz w:val="30"/>
          <w:szCs w:val="30"/>
        </w:rPr>
      </w:pPr>
      <w:r>
        <w:rPr>
          <w:rFonts w:hint="eastAsia"/>
          <w:sz w:val="30"/>
          <w:szCs w:val="30"/>
        </w:rPr>
        <w:t>被上诉人</w:t>
      </w:r>
      <w:r>
        <w:rPr>
          <w:rFonts w:hint="eastAsia"/>
          <w:sz w:val="30"/>
          <w:szCs w:val="30"/>
        </w:rPr>
        <w:t>(</w:t>
      </w:r>
      <w:r>
        <w:rPr>
          <w:rFonts w:hint="eastAsia"/>
          <w:sz w:val="30"/>
          <w:szCs w:val="30"/>
        </w:rPr>
        <w:t>原审第三人</w:t>
      </w:r>
      <w:r>
        <w:rPr>
          <w:rFonts w:hint="eastAsia"/>
          <w:sz w:val="30"/>
          <w:szCs w:val="30"/>
        </w:rPr>
        <w:t>)</w:t>
      </w:r>
      <w:r>
        <w:rPr>
          <w:rFonts w:hint="eastAsia"/>
          <w:sz w:val="30"/>
          <w:szCs w:val="30"/>
        </w:rPr>
        <w:t>：山东树煌人信息科技有限公司，住所地济南市。</w:t>
      </w:r>
    </w:p>
    <w:p w:rsidR="00000000" w:rsidRDefault="006F24D5">
      <w:pPr>
        <w:spacing w:line="500" w:lineRule="atLeast"/>
        <w:ind w:firstLine="600"/>
        <w:divId w:val="2069767666"/>
        <w:rPr>
          <w:rFonts w:hint="eastAsia"/>
          <w:sz w:val="30"/>
          <w:szCs w:val="30"/>
        </w:rPr>
      </w:pPr>
      <w:r>
        <w:rPr>
          <w:rFonts w:hint="eastAsia"/>
          <w:sz w:val="30"/>
          <w:szCs w:val="30"/>
        </w:rPr>
        <w:t>法定代表人：陈海苏，执行董事。</w:t>
      </w:r>
    </w:p>
    <w:p w:rsidR="00000000" w:rsidRDefault="006F24D5">
      <w:pPr>
        <w:spacing w:line="500" w:lineRule="atLeast"/>
        <w:ind w:firstLine="600"/>
        <w:divId w:val="1229535128"/>
        <w:rPr>
          <w:rFonts w:hint="eastAsia"/>
          <w:sz w:val="30"/>
          <w:szCs w:val="30"/>
        </w:rPr>
      </w:pPr>
      <w:r>
        <w:rPr>
          <w:rFonts w:hint="eastAsia"/>
          <w:sz w:val="30"/>
          <w:szCs w:val="30"/>
        </w:rPr>
        <w:t>上诉人山东山大新元易通信息科技有限公司（以下简称新元公司）因与被上诉人李东泉、孙绍峰、鲍硕俊、山东树煌人信息科技有限公司（以下简称树煌人公司）损害公司利益责任纠纷一案，不服济南市历城区人民法院（</w:t>
      </w:r>
      <w:r>
        <w:rPr>
          <w:rFonts w:hint="eastAsia"/>
          <w:sz w:val="30"/>
          <w:szCs w:val="30"/>
        </w:rPr>
        <w:t>2019</w:t>
      </w:r>
      <w:r>
        <w:rPr>
          <w:rFonts w:hint="eastAsia"/>
          <w:sz w:val="30"/>
          <w:szCs w:val="30"/>
        </w:rPr>
        <w:t>）鲁</w:t>
      </w:r>
      <w:r>
        <w:rPr>
          <w:rFonts w:hint="eastAsia"/>
          <w:sz w:val="30"/>
          <w:szCs w:val="30"/>
        </w:rPr>
        <w:t>0112</w:t>
      </w:r>
      <w:r>
        <w:rPr>
          <w:rFonts w:hint="eastAsia"/>
          <w:sz w:val="30"/>
          <w:szCs w:val="30"/>
        </w:rPr>
        <w:t>民初</w:t>
      </w:r>
      <w:r>
        <w:rPr>
          <w:rFonts w:hint="eastAsia"/>
          <w:sz w:val="30"/>
          <w:szCs w:val="30"/>
        </w:rPr>
        <w:t>54</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6</w:t>
      </w:r>
      <w:r>
        <w:rPr>
          <w:rFonts w:hint="eastAsia"/>
          <w:sz w:val="30"/>
          <w:szCs w:val="30"/>
        </w:rPr>
        <w:t>日立案后，依法组成合议庭进行了审理。本案现已审理终结。</w:t>
      </w:r>
    </w:p>
    <w:p w:rsidR="00000000" w:rsidRDefault="006F24D5">
      <w:pPr>
        <w:spacing w:line="500" w:lineRule="atLeast"/>
        <w:ind w:firstLine="600"/>
        <w:divId w:val="1281037768"/>
        <w:rPr>
          <w:rFonts w:hint="eastAsia"/>
          <w:sz w:val="30"/>
          <w:szCs w:val="30"/>
        </w:rPr>
      </w:pPr>
      <w:r>
        <w:rPr>
          <w:rFonts w:hint="eastAsia"/>
          <w:sz w:val="30"/>
          <w:szCs w:val="30"/>
        </w:rPr>
        <w:lastRenderedPageBreak/>
        <w:t>新元公司上诉请求：撤销一审判决，改判支持新元公司的一审诉讼请求。事实和理由：李东泉、孙绍峰、鲍硕俊系新元公司的总经理、销售副总、总工程师，于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日开始为树煌人公司经营同类业务，营业额高达</w:t>
      </w:r>
      <w:r>
        <w:rPr>
          <w:rFonts w:hint="eastAsia"/>
          <w:sz w:val="30"/>
          <w:szCs w:val="30"/>
        </w:rPr>
        <w:t>1598</w:t>
      </w:r>
      <w:r>
        <w:rPr>
          <w:rFonts w:hint="eastAsia"/>
          <w:sz w:val="30"/>
          <w:szCs w:val="30"/>
        </w:rPr>
        <w:t>万元，给新元公司造成了巨大的经济损失。根据《中华人民共和国公司法》（以下简称《公司法》）的规定，李东泉、孙绍峰、鲍硕俊在树煌人公司处的收入应当归新元公司所有，李东泉、孙绍峰、鲍硕俊应当承担赔偿责任。一审判决驳回新元公司的诉讼请求，认定事实和适用法律</w:t>
      </w:r>
      <w:r>
        <w:rPr>
          <w:rFonts w:hint="eastAsia"/>
          <w:sz w:val="30"/>
          <w:szCs w:val="30"/>
        </w:rPr>
        <w:t>错误。</w:t>
      </w:r>
    </w:p>
    <w:p w:rsidR="00000000" w:rsidRDefault="006F24D5">
      <w:pPr>
        <w:spacing w:line="500" w:lineRule="atLeast"/>
        <w:ind w:firstLine="600"/>
        <w:divId w:val="554704182"/>
        <w:rPr>
          <w:rFonts w:hint="eastAsia"/>
          <w:sz w:val="30"/>
          <w:szCs w:val="30"/>
        </w:rPr>
      </w:pPr>
      <w:r>
        <w:rPr>
          <w:rFonts w:hint="eastAsia"/>
          <w:sz w:val="30"/>
          <w:szCs w:val="30"/>
        </w:rPr>
        <w:t>一、一审法院对证据的审查判断出现错误，导致认定事实错误。对于李东泉、孙绍峰、鲍硕俊自</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日参与树煌人公司的经营，造成新元公司巨大经济损失的事实，一审判决认定：“原告</w:t>
      </w:r>
      <w:r>
        <w:rPr>
          <w:rFonts w:hint="eastAsia"/>
          <w:sz w:val="30"/>
          <w:szCs w:val="30"/>
        </w:rPr>
        <w:t>(</w:t>
      </w:r>
      <w:r>
        <w:rPr>
          <w:rFonts w:hint="eastAsia"/>
          <w:sz w:val="30"/>
          <w:szCs w:val="30"/>
        </w:rPr>
        <w:t>新元公司</w:t>
      </w:r>
      <w:r>
        <w:rPr>
          <w:rFonts w:hint="eastAsia"/>
          <w:sz w:val="30"/>
          <w:szCs w:val="30"/>
        </w:rPr>
        <w:t>)</w:t>
      </w:r>
      <w:r>
        <w:rPr>
          <w:rFonts w:hint="eastAsia"/>
          <w:sz w:val="30"/>
          <w:szCs w:val="30"/>
        </w:rPr>
        <w:t>提交的其他证据因为在当庭勘验电脑时无法搜索到，因此本院不予采信。本院认为，原告</w:t>
      </w:r>
      <w:r>
        <w:rPr>
          <w:rFonts w:hint="eastAsia"/>
          <w:sz w:val="30"/>
          <w:szCs w:val="30"/>
        </w:rPr>
        <w:t>(</w:t>
      </w:r>
      <w:r>
        <w:rPr>
          <w:rFonts w:hint="eastAsia"/>
          <w:sz w:val="30"/>
          <w:szCs w:val="30"/>
        </w:rPr>
        <w:t>新元公司</w:t>
      </w:r>
      <w:r>
        <w:rPr>
          <w:rFonts w:hint="eastAsia"/>
          <w:sz w:val="30"/>
          <w:szCs w:val="30"/>
        </w:rPr>
        <w:t>)</w:t>
      </w:r>
      <w:r>
        <w:rPr>
          <w:rFonts w:hint="eastAsia"/>
          <w:sz w:val="30"/>
          <w:szCs w:val="30"/>
        </w:rPr>
        <w:t>提供的证据不足以证实自己的主张，对原告</w:t>
      </w:r>
      <w:r>
        <w:rPr>
          <w:rFonts w:hint="eastAsia"/>
          <w:sz w:val="30"/>
          <w:szCs w:val="30"/>
        </w:rPr>
        <w:t>(</w:t>
      </w:r>
      <w:r>
        <w:rPr>
          <w:rFonts w:hint="eastAsia"/>
          <w:sz w:val="30"/>
          <w:szCs w:val="30"/>
        </w:rPr>
        <w:t>新元公司</w:t>
      </w:r>
      <w:r>
        <w:rPr>
          <w:rFonts w:hint="eastAsia"/>
          <w:sz w:val="30"/>
          <w:szCs w:val="30"/>
        </w:rPr>
        <w:t>)</w:t>
      </w:r>
      <w:r>
        <w:rPr>
          <w:rFonts w:hint="eastAsia"/>
          <w:sz w:val="30"/>
          <w:szCs w:val="30"/>
        </w:rPr>
        <w:t>的诉讼请求，本院不予支持。”在证据的审查判断方面出现了错误，其一，在当庭勘验电脑时不是无法搜索到而是根本没有进行搜索；其二，“其他证据”即记载李东泉、孙绍峰、鲍硕俊工作时间，入</w:t>
      </w:r>
      <w:r>
        <w:rPr>
          <w:rFonts w:hint="eastAsia"/>
          <w:sz w:val="30"/>
          <w:szCs w:val="30"/>
        </w:rPr>
        <w:t>职时间及工作性质的表格</w:t>
      </w:r>
      <w:r>
        <w:rPr>
          <w:rFonts w:hint="eastAsia"/>
          <w:sz w:val="30"/>
          <w:szCs w:val="30"/>
        </w:rPr>
        <w:t>1</w:t>
      </w:r>
      <w:r>
        <w:rPr>
          <w:rFonts w:hint="eastAsia"/>
          <w:sz w:val="30"/>
          <w:szCs w:val="30"/>
        </w:rPr>
        <w:t>份、工资发放表</w:t>
      </w:r>
      <w:r>
        <w:rPr>
          <w:rFonts w:hint="eastAsia"/>
          <w:sz w:val="30"/>
          <w:szCs w:val="30"/>
        </w:rPr>
        <w:t>3</w:t>
      </w:r>
      <w:r>
        <w:rPr>
          <w:rFonts w:hint="eastAsia"/>
          <w:sz w:val="30"/>
          <w:szCs w:val="30"/>
        </w:rPr>
        <w:t>份、树煌人公司报价单</w:t>
      </w:r>
      <w:r>
        <w:rPr>
          <w:rFonts w:hint="eastAsia"/>
          <w:sz w:val="30"/>
          <w:szCs w:val="30"/>
        </w:rPr>
        <w:t>11</w:t>
      </w:r>
      <w:r>
        <w:rPr>
          <w:rFonts w:hint="eastAsia"/>
          <w:sz w:val="30"/>
          <w:szCs w:val="30"/>
        </w:rPr>
        <w:t>份、厦门中软海晟信息技术有限公司</w:t>
      </w:r>
      <w:r>
        <w:rPr>
          <w:rFonts w:hint="eastAsia"/>
          <w:sz w:val="30"/>
          <w:szCs w:val="30"/>
        </w:rPr>
        <w:t>2017</w:t>
      </w:r>
      <w:r>
        <w:rPr>
          <w:rFonts w:hint="eastAsia"/>
          <w:sz w:val="30"/>
          <w:szCs w:val="30"/>
        </w:rPr>
        <w:t>年供应商服务质量评价表</w:t>
      </w:r>
      <w:r>
        <w:rPr>
          <w:rFonts w:hint="eastAsia"/>
          <w:sz w:val="30"/>
          <w:szCs w:val="30"/>
        </w:rPr>
        <w:t>1</w:t>
      </w:r>
      <w:r>
        <w:rPr>
          <w:rFonts w:hint="eastAsia"/>
          <w:sz w:val="30"/>
          <w:szCs w:val="30"/>
        </w:rPr>
        <w:t>份、聊天截图</w:t>
      </w:r>
      <w:r>
        <w:rPr>
          <w:rFonts w:hint="eastAsia"/>
          <w:sz w:val="30"/>
          <w:szCs w:val="30"/>
        </w:rPr>
        <w:t>2</w:t>
      </w:r>
      <w:r>
        <w:rPr>
          <w:rFonts w:hint="eastAsia"/>
          <w:sz w:val="30"/>
          <w:szCs w:val="30"/>
        </w:rPr>
        <w:t>份、</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月份其他应收款明细表</w:t>
      </w:r>
      <w:r>
        <w:rPr>
          <w:rFonts w:hint="eastAsia"/>
          <w:sz w:val="30"/>
          <w:szCs w:val="30"/>
        </w:rPr>
        <w:t>1</w:t>
      </w:r>
      <w:r>
        <w:rPr>
          <w:rFonts w:hint="eastAsia"/>
          <w:sz w:val="30"/>
          <w:szCs w:val="30"/>
        </w:rPr>
        <w:t>份，这些原始直接证据确实储存于涉案笔记本电脑中，这是无法改变的事实。上述证据充分证明了李东泉、孙绍峰、鲍硕俊参与树煌人公司经营的时间、内容及营业额。一审认定的事实与证据所证明的内容不符。</w:t>
      </w:r>
    </w:p>
    <w:p w:rsidR="00000000" w:rsidRDefault="006F24D5">
      <w:pPr>
        <w:spacing w:line="500" w:lineRule="atLeast"/>
        <w:ind w:firstLine="600"/>
        <w:divId w:val="990060507"/>
        <w:rPr>
          <w:rFonts w:hint="eastAsia"/>
          <w:sz w:val="30"/>
          <w:szCs w:val="30"/>
        </w:rPr>
      </w:pPr>
      <w:r>
        <w:rPr>
          <w:rFonts w:hint="eastAsia"/>
          <w:sz w:val="30"/>
          <w:szCs w:val="30"/>
        </w:rPr>
        <w:t>二、李东泉、孙绍峰、鲍硕俊的行为造成了新元公司巨大经济损失，一审判决驳回新元公司诉讼请求适用法律错误。李</w:t>
      </w:r>
      <w:r>
        <w:rPr>
          <w:rFonts w:hint="eastAsia"/>
          <w:sz w:val="30"/>
          <w:szCs w:val="30"/>
        </w:rPr>
        <w:lastRenderedPageBreak/>
        <w:t>东泉、孙绍峰、鲍硕俊系新元公司的总经理、</w:t>
      </w:r>
      <w:r>
        <w:rPr>
          <w:rFonts w:hint="eastAsia"/>
          <w:sz w:val="30"/>
          <w:szCs w:val="30"/>
        </w:rPr>
        <w:t>销售副总和总工程师，为树煌人公司经营同类业务，</w:t>
      </w:r>
      <w:r>
        <w:rPr>
          <w:rFonts w:hint="eastAsia"/>
          <w:sz w:val="30"/>
          <w:szCs w:val="30"/>
        </w:rPr>
        <w:t>2017</w:t>
      </w:r>
      <w:r>
        <w:rPr>
          <w:rFonts w:hint="eastAsia"/>
          <w:sz w:val="30"/>
          <w:szCs w:val="30"/>
        </w:rPr>
        <w:t>年营业额达</w:t>
      </w:r>
      <w:r>
        <w:rPr>
          <w:rFonts w:hint="eastAsia"/>
          <w:sz w:val="30"/>
          <w:szCs w:val="30"/>
        </w:rPr>
        <w:t>1598</w:t>
      </w:r>
      <w:r>
        <w:rPr>
          <w:rFonts w:hint="eastAsia"/>
          <w:sz w:val="30"/>
          <w:szCs w:val="30"/>
        </w:rPr>
        <w:t>万元，为树煌人公司赚取了巨额利润，自己也赚取了明暗两份收入，可谓盆满钵满，导致新元公司营业额减少，由盈利到亏损，给新元公司造成了巨大的经济损失。根据《公司法》第一百四十八条、第一百四十九条的规定，李东泉、孙绍峰、鲍硕俊所得收入应当归新元公司所有，对于新元公司的经济损失李东泉、孙绍峰、鲍硕俊应当承担赔偿责任。新元公司的诉讼请求于法有据，一审判决适用法律错误。</w:t>
      </w:r>
    </w:p>
    <w:p w:rsidR="00000000" w:rsidRDefault="006F24D5">
      <w:pPr>
        <w:spacing w:line="500" w:lineRule="atLeast"/>
        <w:ind w:firstLine="600"/>
        <w:divId w:val="488713967"/>
        <w:rPr>
          <w:rFonts w:hint="eastAsia"/>
          <w:sz w:val="30"/>
          <w:szCs w:val="30"/>
        </w:rPr>
      </w:pPr>
      <w:r>
        <w:rPr>
          <w:rFonts w:hint="eastAsia"/>
          <w:sz w:val="30"/>
          <w:szCs w:val="30"/>
        </w:rPr>
        <w:t>综上，一审判决认定事实错误、适用法律错误，请求二审法院查明事实，依法改判，维护新</w:t>
      </w:r>
      <w:r>
        <w:rPr>
          <w:rFonts w:hint="eastAsia"/>
          <w:sz w:val="30"/>
          <w:szCs w:val="30"/>
        </w:rPr>
        <w:t>元公司的合法权益。</w:t>
      </w:r>
    </w:p>
    <w:p w:rsidR="00000000" w:rsidRDefault="006F24D5">
      <w:pPr>
        <w:spacing w:line="500" w:lineRule="atLeast"/>
        <w:ind w:firstLine="600"/>
        <w:divId w:val="199365467"/>
        <w:rPr>
          <w:rFonts w:hint="eastAsia"/>
          <w:sz w:val="30"/>
          <w:szCs w:val="30"/>
        </w:rPr>
      </w:pPr>
      <w:r>
        <w:rPr>
          <w:rFonts w:hint="eastAsia"/>
          <w:sz w:val="30"/>
          <w:szCs w:val="30"/>
        </w:rPr>
        <w:t>李东泉、孙绍峰、鲍硕俊共同辩称，一、新元公司认为李东泉、孙绍峰、鲍硕俊将本属于新元公司的商业机会给予了树煌人公司，造成新元公司利益受损，纯属无稽之谈。</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厦门中软海晟信息技术有限公司出具证明，说明是因为新元公司在合作期间未能完全履行相关义务，无法满足该公司对合作伙伴的相关要求，才终止了和新元公司的合作，新元公司所称的李东泉、孙绍峰、鲍硕俊跳槽到树煌人公司并实际控制树煌人公司，还声称树煌人公司取代了新元公司，占有了新元公司的商业机会，完全是编造事实，欺骗法庭。</w:t>
      </w:r>
    </w:p>
    <w:p w:rsidR="00000000" w:rsidRDefault="006F24D5">
      <w:pPr>
        <w:spacing w:line="500" w:lineRule="atLeast"/>
        <w:ind w:firstLine="600"/>
        <w:divId w:val="456919164"/>
        <w:rPr>
          <w:rFonts w:hint="eastAsia"/>
          <w:sz w:val="30"/>
          <w:szCs w:val="30"/>
        </w:rPr>
      </w:pPr>
      <w:r>
        <w:rPr>
          <w:rFonts w:hint="eastAsia"/>
          <w:sz w:val="30"/>
          <w:szCs w:val="30"/>
        </w:rPr>
        <w:t>二、本案的新</w:t>
      </w:r>
      <w:r>
        <w:rPr>
          <w:rFonts w:hint="eastAsia"/>
          <w:sz w:val="30"/>
          <w:szCs w:val="30"/>
        </w:rPr>
        <w:t>元公司的法定代表人傅传德和李东泉，在之前一个是新元公司的董事长，一个是新元公司的总经理，向来矛盾很深。本案完全是傅传德为了达到自己不可告人的目的，假公济私，恶意报复，提起诉讼。新元公司在本案一审败诉后，法定代表人傅传德又以自己名义提起诉讼，起诉李东泉返还股份，明明不是自己的股份还起诉别人返还，企图以诉讼的手段诈骗钱财，最终一审二审法院均驳回其诉讼请求，其图谋没有得逞。</w:t>
      </w:r>
    </w:p>
    <w:p w:rsidR="00000000" w:rsidRDefault="006F24D5">
      <w:pPr>
        <w:spacing w:line="500" w:lineRule="atLeast"/>
        <w:ind w:firstLine="600"/>
        <w:divId w:val="2043748768"/>
        <w:rPr>
          <w:rFonts w:hint="eastAsia"/>
          <w:sz w:val="30"/>
          <w:szCs w:val="30"/>
        </w:rPr>
      </w:pPr>
      <w:r>
        <w:rPr>
          <w:rFonts w:hint="eastAsia"/>
          <w:sz w:val="30"/>
          <w:szCs w:val="30"/>
        </w:rPr>
        <w:t>三、孙绍峰否认涉案电脑是孙绍峰使用，新元公司也没有充分的证据能够证明涉案电脑是孙绍峰使用，新元公司编写假的材料来陷害孙绍峰，其目的是不可能得</w:t>
      </w:r>
      <w:r>
        <w:rPr>
          <w:rFonts w:hint="eastAsia"/>
          <w:sz w:val="30"/>
          <w:szCs w:val="30"/>
        </w:rPr>
        <w:t>逞的。</w:t>
      </w:r>
    </w:p>
    <w:p w:rsidR="00000000" w:rsidRDefault="006F24D5">
      <w:pPr>
        <w:spacing w:line="500" w:lineRule="atLeast"/>
        <w:ind w:firstLine="600"/>
        <w:divId w:val="411052856"/>
        <w:rPr>
          <w:rFonts w:hint="eastAsia"/>
          <w:sz w:val="30"/>
          <w:szCs w:val="30"/>
        </w:rPr>
      </w:pPr>
      <w:r>
        <w:rPr>
          <w:rFonts w:hint="eastAsia"/>
          <w:sz w:val="30"/>
          <w:szCs w:val="30"/>
        </w:rPr>
        <w:t>综上，李东泉、孙绍峰、鲍硕俊认为，一审判决除了认定涉案电脑是孙绍峰使用这一点属于认定事实错误，其他认定事实清楚，适用法律正确，依法应当予以维持。</w:t>
      </w:r>
    </w:p>
    <w:p w:rsidR="00000000" w:rsidRDefault="006F24D5">
      <w:pPr>
        <w:spacing w:line="500" w:lineRule="atLeast"/>
        <w:ind w:firstLine="600"/>
        <w:divId w:val="92820420"/>
        <w:rPr>
          <w:rFonts w:hint="eastAsia"/>
          <w:sz w:val="30"/>
          <w:szCs w:val="30"/>
        </w:rPr>
      </w:pPr>
      <w:r>
        <w:rPr>
          <w:rFonts w:hint="eastAsia"/>
          <w:sz w:val="30"/>
          <w:szCs w:val="30"/>
        </w:rPr>
        <w:t>树煌人公司未作答辩。</w:t>
      </w:r>
    </w:p>
    <w:p w:rsidR="00000000" w:rsidRDefault="006F24D5">
      <w:pPr>
        <w:spacing w:line="500" w:lineRule="atLeast"/>
        <w:ind w:firstLine="600"/>
        <w:divId w:val="583145554"/>
        <w:rPr>
          <w:rFonts w:hint="eastAsia"/>
          <w:sz w:val="30"/>
          <w:szCs w:val="30"/>
        </w:rPr>
      </w:pPr>
      <w:r>
        <w:rPr>
          <w:rFonts w:hint="eastAsia"/>
          <w:sz w:val="30"/>
          <w:szCs w:val="30"/>
        </w:rPr>
        <w:t>新元公司向一审法院起诉请求：</w:t>
      </w:r>
      <w:r>
        <w:rPr>
          <w:rFonts w:hint="eastAsia"/>
          <w:sz w:val="30"/>
          <w:szCs w:val="30"/>
        </w:rPr>
        <w:t>1.</w:t>
      </w:r>
      <w:r>
        <w:rPr>
          <w:rFonts w:hint="eastAsia"/>
          <w:sz w:val="30"/>
          <w:szCs w:val="30"/>
        </w:rPr>
        <w:t>判令李东泉自</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日至今在树煌人公司处的收入</w:t>
      </w:r>
      <w:r>
        <w:rPr>
          <w:rFonts w:hint="eastAsia"/>
          <w:sz w:val="30"/>
          <w:szCs w:val="30"/>
        </w:rPr>
        <w:t>19</w:t>
      </w:r>
      <w:r>
        <w:rPr>
          <w:rFonts w:hint="eastAsia"/>
          <w:sz w:val="30"/>
          <w:szCs w:val="30"/>
        </w:rPr>
        <w:t>万元归新元公司所有；判令孙绍峰自</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日至</w:t>
      </w:r>
      <w:r>
        <w:rPr>
          <w:rFonts w:hint="eastAsia"/>
          <w:sz w:val="30"/>
          <w:szCs w:val="30"/>
        </w:rPr>
        <w:t>12</w:t>
      </w:r>
      <w:r>
        <w:rPr>
          <w:rFonts w:hint="eastAsia"/>
          <w:sz w:val="30"/>
          <w:szCs w:val="30"/>
        </w:rPr>
        <w:t>月</w:t>
      </w:r>
      <w:r>
        <w:rPr>
          <w:rFonts w:hint="eastAsia"/>
          <w:sz w:val="30"/>
          <w:szCs w:val="30"/>
        </w:rPr>
        <w:t>31</w:t>
      </w:r>
      <w:r>
        <w:rPr>
          <w:rFonts w:hint="eastAsia"/>
          <w:sz w:val="30"/>
          <w:szCs w:val="30"/>
        </w:rPr>
        <w:t>日在树煌人公司处的收入</w:t>
      </w:r>
      <w:r>
        <w:rPr>
          <w:rFonts w:hint="eastAsia"/>
          <w:sz w:val="30"/>
          <w:szCs w:val="30"/>
        </w:rPr>
        <w:t>8.75</w:t>
      </w:r>
      <w:r>
        <w:rPr>
          <w:rFonts w:hint="eastAsia"/>
          <w:sz w:val="30"/>
          <w:szCs w:val="30"/>
        </w:rPr>
        <w:t>万元归新元公司所有；判令鲍硕俊自</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2</w:t>
      </w:r>
      <w:r>
        <w:rPr>
          <w:rFonts w:hint="eastAsia"/>
          <w:sz w:val="30"/>
          <w:szCs w:val="30"/>
        </w:rPr>
        <w:t>月在树煌人公司处的收入</w:t>
      </w:r>
      <w:r>
        <w:rPr>
          <w:rFonts w:hint="eastAsia"/>
          <w:sz w:val="30"/>
          <w:szCs w:val="30"/>
        </w:rPr>
        <w:t>4</w:t>
      </w:r>
      <w:r>
        <w:rPr>
          <w:rFonts w:hint="eastAsia"/>
          <w:sz w:val="30"/>
          <w:szCs w:val="30"/>
        </w:rPr>
        <w:t>万元归新元公司所有；</w:t>
      </w:r>
      <w:r>
        <w:rPr>
          <w:rFonts w:hint="eastAsia"/>
          <w:sz w:val="30"/>
          <w:szCs w:val="30"/>
        </w:rPr>
        <w:t>2.</w:t>
      </w:r>
      <w:r>
        <w:rPr>
          <w:rFonts w:hint="eastAsia"/>
          <w:sz w:val="30"/>
          <w:szCs w:val="30"/>
        </w:rPr>
        <w:t>判令李东泉、孙绍峰、鲍硕俊赔偿新元公司经济</w:t>
      </w:r>
      <w:r>
        <w:rPr>
          <w:rFonts w:hint="eastAsia"/>
          <w:sz w:val="30"/>
          <w:szCs w:val="30"/>
        </w:rPr>
        <w:t>损失</w:t>
      </w:r>
      <w:r>
        <w:rPr>
          <w:rFonts w:hint="eastAsia"/>
          <w:sz w:val="30"/>
          <w:szCs w:val="30"/>
        </w:rPr>
        <w:t>7438807.4</w:t>
      </w:r>
      <w:r>
        <w:rPr>
          <w:rFonts w:hint="eastAsia"/>
          <w:sz w:val="30"/>
          <w:szCs w:val="30"/>
        </w:rPr>
        <w:t>元；</w:t>
      </w:r>
      <w:r>
        <w:rPr>
          <w:rFonts w:hint="eastAsia"/>
          <w:sz w:val="30"/>
          <w:szCs w:val="30"/>
        </w:rPr>
        <w:t>3.</w:t>
      </w:r>
      <w:r>
        <w:rPr>
          <w:rFonts w:hint="eastAsia"/>
          <w:sz w:val="30"/>
          <w:szCs w:val="30"/>
        </w:rPr>
        <w:t>李东泉、孙绍峰、鲍硕俊承担诉讼费。</w:t>
      </w:r>
    </w:p>
    <w:p w:rsidR="00000000" w:rsidRDefault="006F24D5">
      <w:pPr>
        <w:spacing w:line="500" w:lineRule="atLeast"/>
        <w:ind w:firstLine="600"/>
        <w:divId w:val="386731265"/>
        <w:rPr>
          <w:rFonts w:hint="eastAsia"/>
          <w:sz w:val="30"/>
          <w:szCs w:val="30"/>
        </w:rPr>
      </w:pPr>
      <w:r>
        <w:rPr>
          <w:rFonts w:hint="eastAsia"/>
          <w:sz w:val="30"/>
          <w:szCs w:val="30"/>
        </w:rPr>
        <w:t>一审法院认定事实：新元公司是</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注册登记的其他有限责任公司，公司的经营范围是：普通机械设备、农业机械设备（不含特种设备）、电子产品、计算机软、硬件产品的研发、生产和销售及技术咨询服务；电子、机械工程的设计及施工。（依法须经批准的项目，经相关部门批准后方可开展经营活动）。树煌人公司是</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日注册登记的有限责任公司，公司的经营范围是：计算机软件、电子产品、机械设备、电力设备的研发、生产、销售、技术咨询、技术服务；计算</w:t>
      </w:r>
      <w:r>
        <w:rPr>
          <w:rFonts w:hint="eastAsia"/>
          <w:sz w:val="30"/>
          <w:szCs w:val="30"/>
        </w:rPr>
        <w:t>机系统集成、电子与智能化工程专业承包（凭资质证经营）；安防产品、电线电缆、烟叶打包机、装卸机、输送机的批发、零售；塑料制品的设计、批发、零售；标签技术开发、技术服务以及其他按法律、法规、国务院决定等规定未禁止和不需要许可的项目。（依法须经批准的项目，经相关部门批准后方可开展经营活动）。李东泉、孙绍峰、鲍硕俊曾均是新元公司的员工。</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日新元公司召开股东会，该股东会决议选举孙绍峰为公司董事。</w:t>
      </w:r>
      <w:r>
        <w:rPr>
          <w:rFonts w:hint="eastAsia"/>
          <w:sz w:val="30"/>
          <w:szCs w:val="30"/>
        </w:rPr>
        <w:t>2017</w:t>
      </w:r>
      <w:r>
        <w:rPr>
          <w:rFonts w:hint="eastAsia"/>
          <w:sz w:val="30"/>
          <w:szCs w:val="30"/>
        </w:rPr>
        <w:t>年</w:t>
      </w:r>
      <w:r>
        <w:rPr>
          <w:rFonts w:hint="eastAsia"/>
          <w:sz w:val="30"/>
          <w:szCs w:val="30"/>
        </w:rPr>
        <w:t>2</w:t>
      </w:r>
      <w:r>
        <w:rPr>
          <w:rFonts w:hint="eastAsia"/>
          <w:sz w:val="30"/>
          <w:szCs w:val="30"/>
        </w:rPr>
        <w:t>月新元公司召开的董事会作出决议，决议包括：聘任李东泉为该公司的总经理，负责公司全面管理工作。聘任</w:t>
      </w:r>
      <w:r>
        <w:rPr>
          <w:rFonts w:hint="eastAsia"/>
          <w:sz w:val="30"/>
          <w:szCs w:val="30"/>
        </w:rPr>
        <w:t>孙绍峰为公司的副总经理，负责公司市场经营、产品销售等管理工作。聘任鲍硕俊为公司总工程师，负责公司产品定型、样机设计改造、工艺制定、工装设计制作等管理工作。</w:t>
      </w:r>
    </w:p>
    <w:p w:rsidR="00000000" w:rsidRDefault="006F24D5">
      <w:pPr>
        <w:spacing w:line="500" w:lineRule="atLeast"/>
        <w:ind w:firstLine="600"/>
        <w:divId w:val="1511797355"/>
        <w:rPr>
          <w:rFonts w:hint="eastAsia"/>
          <w:sz w:val="30"/>
          <w:szCs w:val="30"/>
        </w:rPr>
      </w:pP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日新元公司员工从孙绍峰使用的电脑中发现了其他公司的业务材料向新元公司举报。新元公司的内控人员和孙绍峰一起把电脑交到新元公司的上级单位山东鲁能公司进行封存，孙绍峰未在封存袋上签字。</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日新元公司进行了公证，公证时对封存的电脑拆封后，重新封存。</w:t>
      </w:r>
    </w:p>
    <w:p w:rsidR="00000000" w:rsidRDefault="006F24D5">
      <w:pPr>
        <w:spacing w:line="500" w:lineRule="atLeast"/>
        <w:ind w:firstLine="600"/>
        <w:divId w:val="1494444347"/>
        <w:rPr>
          <w:rFonts w:hint="eastAsia"/>
          <w:sz w:val="30"/>
          <w:szCs w:val="30"/>
        </w:rPr>
      </w:pPr>
      <w:r>
        <w:rPr>
          <w:rFonts w:hint="eastAsia"/>
          <w:sz w:val="30"/>
          <w:szCs w:val="30"/>
        </w:rPr>
        <w:t>关于当事人提供的相关证据，一审法院作出如下认定：</w:t>
      </w:r>
    </w:p>
    <w:p w:rsidR="00000000" w:rsidRDefault="006F24D5">
      <w:pPr>
        <w:spacing w:line="500" w:lineRule="atLeast"/>
        <w:ind w:firstLine="600"/>
        <w:divId w:val="518857232"/>
        <w:rPr>
          <w:rFonts w:hint="eastAsia"/>
          <w:sz w:val="30"/>
          <w:szCs w:val="30"/>
        </w:rPr>
      </w:pPr>
      <w:r>
        <w:rPr>
          <w:rFonts w:hint="eastAsia"/>
          <w:sz w:val="30"/>
          <w:szCs w:val="30"/>
        </w:rPr>
        <w:t>新元公司从孙绍峰交回的电脑里拷贝了以下材料。</w:t>
      </w:r>
      <w:r>
        <w:rPr>
          <w:rFonts w:hint="eastAsia"/>
          <w:sz w:val="30"/>
          <w:szCs w:val="30"/>
        </w:rPr>
        <w:t>1</w:t>
      </w:r>
      <w:r>
        <w:rPr>
          <w:rFonts w:hint="eastAsia"/>
          <w:sz w:val="30"/>
          <w:szCs w:val="30"/>
        </w:rPr>
        <w:t>、</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w:t>
      </w:r>
      <w:r>
        <w:rPr>
          <w:rFonts w:hint="eastAsia"/>
          <w:sz w:val="30"/>
          <w:szCs w:val="30"/>
        </w:rPr>
        <w:t>10</w:t>
      </w:r>
      <w:r>
        <w:rPr>
          <w:rFonts w:hint="eastAsia"/>
          <w:sz w:val="30"/>
          <w:szCs w:val="30"/>
        </w:rPr>
        <w:t>月</w:t>
      </w:r>
      <w:r>
        <w:rPr>
          <w:rFonts w:hint="eastAsia"/>
          <w:sz w:val="30"/>
          <w:szCs w:val="30"/>
        </w:rPr>
        <w:t>29</w:t>
      </w:r>
      <w:r>
        <w:rPr>
          <w:rFonts w:hint="eastAsia"/>
          <w:sz w:val="30"/>
          <w:szCs w:val="30"/>
        </w:rPr>
        <w:t>日两次会议纪要证明李东泉、孙绍峰、鲍硕俊为树煌人公司经营同类营业，销售额近</w:t>
      </w:r>
      <w:r>
        <w:rPr>
          <w:rFonts w:hint="eastAsia"/>
          <w:sz w:val="30"/>
          <w:szCs w:val="30"/>
        </w:rPr>
        <w:t>1700</w:t>
      </w:r>
      <w:r>
        <w:rPr>
          <w:rFonts w:hint="eastAsia"/>
          <w:sz w:val="30"/>
          <w:szCs w:val="30"/>
        </w:rPr>
        <w:t>万元。上述纪要中载明：李东泉是总负责，鲍硕俊（顾问）负责研发技术，孙绍峰是综合业务，李东泉、孙绍峰、鲍硕俊均参加了两次会议。</w:t>
      </w:r>
      <w:r>
        <w:rPr>
          <w:rFonts w:hint="eastAsia"/>
          <w:sz w:val="30"/>
          <w:szCs w:val="30"/>
        </w:rPr>
        <w:t>2</w:t>
      </w:r>
      <w:r>
        <w:rPr>
          <w:rFonts w:hint="eastAsia"/>
          <w:sz w:val="30"/>
          <w:szCs w:val="30"/>
        </w:rPr>
        <w:t>、经营情况统计表格</w:t>
      </w:r>
      <w:r>
        <w:rPr>
          <w:rFonts w:hint="eastAsia"/>
          <w:sz w:val="30"/>
          <w:szCs w:val="30"/>
        </w:rPr>
        <w:t>1</w:t>
      </w:r>
      <w:r>
        <w:rPr>
          <w:rFonts w:hint="eastAsia"/>
          <w:sz w:val="30"/>
          <w:szCs w:val="30"/>
        </w:rPr>
        <w:t>份，拟证明树煌人公司与新元公司经营同类业务以及李东泉、孙绍峰、鲍硕俊为树煌人公司经营同类营业的合同额当时为</w:t>
      </w:r>
      <w:r>
        <w:rPr>
          <w:rFonts w:hint="eastAsia"/>
          <w:sz w:val="30"/>
          <w:szCs w:val="30"/>
        </w:rPr>
        <w:t>15987121.18</w:t>
      </w:r>
      <w:r>
        <w:rPr>
          <w:rFonts w:hint="eastAsia"/>
          <w:sz w:val="30"/>
          <w:szCs w:val="30"/>
        </w:rPr>
        <w:t>元。</w:t>
      </w:r>
      <w:r>
        <w:rPr>
          <w:rFonts w:hint="eastAsia"/>
          <w:sz w:val="30"/>
          <w:szCs w:val="30"/>
        </w:rPr>
        <w:t>3</w:t>
      </w:r>
      <w:r>
        <w:rPr>
          <w:rFonts w:hint="eastAsia"/>
          <w:sz w:val="30"/>
          <w:szCs w:val="30"/>
        </w:rPr>
        <w:t>、记载工作时间、入职时间及工作性质的表格</w:t>
      </w:r>
      <w:r>
        <w:rPr>
          <w:rFonts w:hint="eastAsia"/>
          <w:sz w:val="30"/>
          <w:szCs w:val="30"/>
        </w:rPr>
        <w:t>1</w:t>
      </w:r>
      <w:r>
        <w:rPr>
          <w:rFonts w:hint="eastAsia"/>
          <w:sz w:val="30"/>
          <w:szCs w:val="30"/>
        </w:rPr>
        <w:t>份，该表格记载：李东泉、孙绍</w:t>
      </w:r>
      <w:r>
        <w:rPr>
          <w:rFonts w:hint="eastAsia"/>
          <w:sz w:val="30"/>
          <w:szCs w:val="30"/>
        </w:rPr>
        <w:t>峰、鲍硕俊入职时间均为</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日，孙绍峰、鲍硕俊均为兼职。证明李东泉、孙绍峰、鲍硕俊于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日入职树煌人公司，为树煌人公司经营同类业务。</w:t>
      </w:r>
      <w:r>
        <w:rPr>
          <w:rFonts w:hint="eastAsia"/>
          <w:sz w:val="30"/>
          <w:szCs w:val="30"/>
        </w:rPr>
        <w:t>4</w:t>
      </w:r>
      <w:r>
        <w:rPr>
          <w:rFonts w:hint="eastAsia"/>
          <w:sz w:val="30"/>
          <w:szCs w:val="30"/>
        </w:rPr>
        <w:t>、工资发放表</w:t>
      </w:r>
      <w:r>
        <w:rPr>
          <w:rFonts w:hint="eastAsia"/>
          <w:sz w:val="30"/>
          <w:szCs w:val="30"/>
        </w:rPr>
        <w:t>3</w:t>
      </w:r>
      <w:r>
        <w:rPr>
          <w:rFonts w:hint="eastAsia"/>
          <w:sz w:val="30"/>
          <w:szCs w:val="30"/>
        </w:rPr>
        <w:t>份，证明孙绍峰每月实发工资</w:t>
      </w:r>
      <w:r>
        <w:rPr>
          <w:rFonts w:hint="eastAsia"/>
          <w:sz w:val="30"/>
          <w:szCs w:val="30"/>
        </w:rPr>
        <w:t>12500</w:t>
      </w:r>
      <w:r>
        <w:rPr>
          <w:rFonts w:hint="eastAsia"/>
          <w:sz w:val="30"/>
          <w:szCs w:val="30"/>
        </w:rPr>
        <w:t>元、鲍硕俊实发金额</w:t>
      </w:r>
      <w:r>
        <w:rPr>
          <w:rFonts w:hint="eastAsia"/>
          <w:sz w:val="30"/>
          <w:szCs w:val="30"/>
        </w:rPr>
        <w:t>5000</w:t>
      </w:r>
      <w:r>
        <w:rPr>
          <w:rFonts w:hint="eastAsia"/>
          <w:sz w:val="30"/>
          <w:szCs w:val="30"/>
        </w:rPr>
        <w:t>元。月人均支出</w:t>
      </w:r>
      <w:r>
        <w:rPr>
          <w:rFonts w:hint="eastAsia"/>
          <w:sz w:val="30"/>
          <w:szCs w:val="30"/>
        </w:rPr>
        <w:t>9569.23</w:t>
      </w:r>
      <w:r>
        <w:rPr>
          <w:rFonts w:hint="eastAsia"/>
          <w:sz w:val="30"/>
          <w:szCs w:val="30"/>
        </w:rPr>
        <w:t>元，以此推算李东泉月工资为</w:t>
      </w:r>
      <w:r>
        <w:rPr>
          <w:rFonts w:hint="eastAsia"/>
          <w:sz w:val="30"/>
          <w:szCs w:val="30"/>
        </w:rPr>
        <w:t>1</w:t>
      </w:r>
      <w:r>
        <w:rPr>
          <w:rFonts w:hint="eastAsia"/>
          <w:sz w:val="30"/>
          <w:szCs w:val="30"/>
        </w:rPr>
        <w:t>万元。</w:t>
      </w:r>
      <w:r>
        <w:rPr>
          <w:rFonts w:hint="eastAsia"/>
          <w:sz w:val="30"/>
          <w:szCs w:val="30"/>
        </w:rPr>
        <w:t>5</w:t>
      </w:r>
      <w:r>
        <w:rPr>
          <w:rFonts w:hint="eastAsia"/>
          <w:sz w:val="30"/>
          <w:szCs w:val="30"/>
        </w:rPr>
        <w:t>、树煌人公司报价单</w:t>
      </w:r>
      <w:r>
        <w:rPr>
          <w:rFonts w:hint="eastAsia"/>
          <w:sz w:val="30"/>
          <w:szCs w:val="30"/>
        </w:rPr>
        <w:t>11</w:t>
      </w:r>
      <w:r>
        <w:rPr>
          <w:rFonts w:hint="eastAsia"/>
          <w:sz w:val="30"/>
          <w:szCs w:val="30"/>
        </w:rPr>
        <w:t>份、厦门中软海晟信息技术有限公司</w:t>
      </w:r>
      <w:r>
        <w:rPr>
          <w:rFonts w:hint="eastAsia"/>
          <w:sz w:val="30"/>
          <w:szCs w:val="30"/>
        </w:rPr>
        <w:t>2017</w:t>
      </w:r>
      <w:r>
        <w:rPr>
          <w:rFonts w:hint="eastAsia"/>
          <w:sz w:val="30"/>
          <w:szCs w:val="30"/>
        </w:rPr>
        <w:t>年供应商服务质量评价表</w:t>
      </w:r>
      <w:r>
        <w:rPr>
          <w:rFonts w:hint="eastAsia"/>
          <w:sz w:val="30"/>
          <w:szCs w:val="30"/>
        </w:rPr>
        <w:t>1</w:t>
      </w:r>
      <w:r>
        <w:rPr>
          <w:rFonts w:hint="eastAsia"/>
          <w:sz w:val="30"/>
          <w:szCs w:val="30"/>
        </w:rPr>
        <w:t>份、聊天截图</w:t>
      </w:r>
      <w:r>
        <w:rPr>
          <w:rFonts w:hint="eastAsia"/>
          <w:sz w:val="30"/>
          <w:szCs w:val="30"/>
        </w:rPr>
        <w:t>2</w:t>
      </w:r>
      <w:r>
        <w:rPr>
          <w:rFonts w:hint="eastAsia"/>
          <w:sz w:val="30"/>
          <w:szCs w:val="30"/>
        </w:rPr>
        <w:t>份、</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月份其他应收款明细表</w:t>
      </w:r>
      <w:r>
        <w:rPr>
          <w:rFonts w:hint="eastAsia"/>
          <w:sz w:val="30"/>
          <w:szCs w:val="30"/>
        </w:rPr>
        <w:t>1</w:t>
      </w:r>
      <w:r>
        <w:rPr>
          <w:rFonts w:hint="eastAsia"/>
          <w:sz w:val="30"/>
          <w:szCs w:val="30"/>
        </w:rPr>
        <w:t>份，证明李东泉、孙绍峰为树煌人公司经营同类营业。</w:t>
      </w:r>
    </w:p>
    <w:p w:rsidR="00000000" w:rsidRDefault="006F24D5">
      <w:pPr>
        <w:spacing w:line="500" w:lineRule="atLeast"/>
        <w:ind w:firstLine="600"/>
        <w:divId w:val="1389842000"/>
        <w:rPr>
          <w:rFonts w:hint="eastAsia"/>
          <w:sz w:val="30"/>
          <w:szCs w:val="30"/>
        </w:rPr>
      </w:pPr>
      <w:r>
        <w:rPr>
          <w:rFonts w:hint="eastAsia"/>
          <w:sz w:val="30"/>
          <w:szCs w:val="30"/>
        </w:rPr>
        <w:t>新元公司认为该公司从事烟草行</w:t>
      </w:r>
      <w:r>
        <w:rPr>
          <w:rFonts w:hint="eastAsia"/>
          <w:sz w:val="30"/>
          <w:szCs w:val="30"/>
        </w:rPr>
        <w:t>业的收购设备的相关软件和硬件的开发。树煌人公司经营的业务与新元公司一致，从孙绍峰的电脑里材料可以看出，李东泉、孙绍峰、鲍硕俊是树煌人公司的实际控制人，李东泉、孙绍峰、鲍硕俊作为新元公司的总经理和销售副总、总工程师，利用职务便利为树煌人公司谋取新元公司的商业机会，并直接为树煌人公司经营与所任公司相同类业务。违反了《公司法》第一百四十八条、第一百四十九条的规定。李东泉、孙绍峰、鲍硕俊违反竞业禁止的行为，给新元公司造成经济损失达</w:t>
      </w:r>
      <w:r>
        <w:rPr>
          <w:rFonts w:hint="eastAsia"/>
          <w:sz w:val="30"/>
          <w:szCs w:val="30"/>
        </w:rPr>
        <w:t>600</w:t>
      </w:r>
      <w:r>
        <w:rPr>
          <w:rFonts w:hint="eastAsia"/>
          <w:sz w:val="30"/>
          <w:szCs w:val="30"/>
        </w:rPr>
        <w:t>万元以上。李东泉、孙绍峰、鲍硕俊在树煌人公司处的工资所得共计</w:t>
      </w:r>
      <w:r>
        <w:rPr>
          <w:rFonts w:hint="eastAsia"/>
          <w:sz w:val="30"/>
          <w:szCs w:val="30"/>
        </w:rPr>
        <w:t>31.75</w:t>
      </w:r>
      <w:r>
        <w:rPr>
          <w:rFonts w:hint="eastAsia"/>
          <w:sz w:val="30"/>
          <w:szCs w:val="30"/>
        </w:rPr>
        <w:t>万元应当归</w:t>
      </w:r>
      <w:r>
        <w:rPr>
          <w:rFonts w:hint="eastAsia"/>
          <w:sz w:val="30"/>
          <w:szCs w:val="30"/>
        </w:rPr>
        <w:t>新元公司所有，对给新元公司造成的损失应当承担赔偿责任。为此提起诉讼。审理中，李东泉、孙绍峰、鲍硕俊均否认与树煌人公司有过业务往来，也不认识该公司的人员，没有在该公司工作。关于李东泉、孙绍峰、鲍硕俊在新元公司的身份问题，李东泉承认其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月开始至</w:t>
      </w:r>
      <w:r>
        <w:rPr>
          <w:rFonts w:hint="eastAsia"/>
          <w:sz w:val="30"/>
          <w:szCs w:val="30"/>
        </w:rPr>
        <w:t>2018</w:t>
      </w:r>
      <w:r>
        <w:rPr>
          <w:rFonts w:hint="eastAsia"/>
          <w:sz w:val="30"/>
          <w:szCs w:val="30"/>
        </w:rPr>
        <w:t>年期间担任新元公司的总经理职务。孙绍峰承认其在新元公司工作的经历，认可</w:t>
      </w:r>
      <w:r>
        <w:rPr>
          <w:rFonts w:hint="eastAsia"/>
          <w:sz w:val="30"/>
          <w:szCs w:val="30"/>
        </w:rPr>
        <w:t>2017</w:t>
      </w:r>
      <w:r>
        <w:rPr>
          <w:rFonts w:hint="eastAsia"/>
          <w:sz w:val="30"/>
          <w:szCs w:val="30"/>
        </w:rPr>
        <w:t>年年底合同到期后离开新元公司，但其认为是新元公司的副总经理，只负责销售工作不是高级管理人员只是一般干部。不知道自己是公司的董事。鲍硕俊承认自</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2</w:t>
      </w:r>
      <w:r>
        <w:rPr>
          <w:rFonts w:hint="eastAsia"/>
          <w:sz w:val="30"/>
          <w:szCs w:val="30"/>
        </w:rPr>
        <w:t>月在新元公司担任总工程师职务，但不承认是高级管理人员。</w:t>
      </w:r>
    </w:p>
    <w:p w:rsidR="00000000" w:rsidRDefault="006F24D5">
      <w:pPr>
        <w:spacing w:line="500" w:lineRule="atLeast"/>
        <w:ind w:firstLine="600"/>
        <w:divId w:val="1748064937"/>
        <w:rPr>
          <w:rFonts w:hint="eastAsia"/>
          <w:sz w:val="30"/>
          <w:szCs w:val="30"/>
        </w:rPr>
      </w:pPr>
      <w:r>
        <w:rPr>
          <w:rFonts w:hint="eastAsia"/>
          <w:sz w:val="30"/>
          <w:szCs w:val="30"/>
        </w:rPr>
        <w:t>关于孙绍峰使用的电脑，新元公司提供了</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日孙绍峰出具的领用单一张，该领用单记载：孙绍峰领用了</w:t>
      </w:r>
      <w:r>
        <w:rPr>
          <w:rFonts w:hint="eastAsia"/>
          <w:sz w:val="30"/>
          <w:szCs w:val="30"/>
        </w:rPr>
        <w:t>Thinkpad.T440</w:t>
      </w:r>
      <w:r>
        <w:rPr>
          <w:rFonts w:hint="eastAsia"/>
          <w:sz w:val="30"/>
          <w:szCs w:val="30"/>
        </w:rPr>
        <w:t>，编号</w:t>
      </w:r>
      <w:r>
        <w:rPr>
          <w:rFonts w:hint="eastAsia"/>
          <w:sz w:val="30"/>
          <w:szCs w:val="30"/>
        </w:rPr>
        <w:t>140012</w:t>
      </w:r>
      <w:r>
        <w:rPr>
          <w:rFonts w:hint="eastAsia"/>
          <w:sz w:val="30"/>
          <w:szCs w:val="30"/>
        </w:rPr>
        <w:t>，笔记本电脑一台。</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孙绍峰将上述电脑交回，董玲签字接受。在一审庭审中，新元公司提交了封存电脑的视频和封存的电脑，并在合议庭成员及李东泉、孙绍峰、鲍硕俊委托诉讼代理人在场的情况下当庭打开新元公司公证封存的电脑，该电脑显示的编号，与孙绍峰领用的电脑编号一致，经过当场演示，在打开该电脑后，经</w:t>
      </w:r>
      <w:r>
        <w:rPr>
          <w:rFonts w:hint="eastAsia"/>
          <w:sz w:val="30"/>
          <w:szCs w:val="30"/>
        </w:rPr>
        <w:t>过搜索，在该电脑</w:t>
      </w:r>
      <w:r>
        <w:rPr>
          <w:rFonts w:hint="eastAsia"/>
          <w:sz w:val="30"/>
          <w:szCs w:val="30"/>
        </w:rPr>
        <w:t>C</w:t>
      </w:r>
      <w:r>
        <w:rPr>
          <w:rFonts w:hint="eastAsia"/>
          <w:sz w:val="30"/>
          <w:szCs w:val="30"/>
        </w:rPr>
        <w:t>盘我的文档中，搜索到新元公司提交的证据</w:t>
      </w:r>
      <w:r>
        <w:rPr>
          <w:rFonts w:hint="eastAsia"/>
          <w:sz w:val="30"/>
          <w:szCs w:val="30"/>
        </w:rPr>
        <w:t>6</w:t>
      </w:r>
      <w:r>
        <w:rPr>
          <w:rFonts w:hint="eastAsia"/>
          <w:sz w:val="30"/>
          <w:szCs w:val="30"/>
        </w:rPr>
        <w:t>即两份会议纪要的文档，电脑显示：</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日会议纪要的创建时间为</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w:t>
      </w:r>
      <w:r>
        <w:rPr>
          <w:rFonts w:hint="eastAsia"/>
          <w:sz w:val="30"/>
          <w:szCs w:val="30"/>
        </w:rPr>
        <w:t>11</w:t>
      </w:r>
      <w:r>
        <w:rPr>
          <w:rFonts w:hint="eastAsia"/>
          <w:sz w:val="30"/>
          <w:szCs w:val="30"/>
        </w:rPr>
        <w:t>点，最后修改时间是</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w:t>
      </w:r>
      <w:r>
        <w:rPr>
          <w:rFonts w:hint="eastAsia"/>
          <w:sz w:val="30"/>
          <w:szCs w:val="30"/>
        </w:rPr>
        <w:t>11</w:t>
      </w:r>
      <w:r>
        <w:rPr>
          <w:rFonts w:hint="eastAsia"/>
          <w:sz w:val="30"/>
          <w:szCs w:val="30"/>
        </w:rPr>
        <w:t>点</w:t>
      </w:r>
      <w:r>
        <w:rPr>
          <w:rFonts w:hint="eastAsia"/>
          <w:sz w:val="30"/>
          <w:szCs w:val="30"/>
        </w:rPr>
        <w:t>10</w:t>
      </w:r>
      <w:r>
        <w:rPr>
          <w:rFonts w:hint="eastAsia"/>
          <w:sz w:val="30"/>
          <w:szCs w:val="30"/>
        </w:rPr>
        <w:t>分，</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日会议纪要的创建时间为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w:t>
      </w:r>
      <w:r>
        <w:rPr>
          <w:rFonts w:hint="eastAsia"/>
          <w:sz w:val="30"/>
          <w:szCs w:val="30"/>
        </w:rPr>
        <w:t>13</w:t>
      </w:r>
      <w:r>
        <w:rPr>
          <w:rFonts w:hint="eastAsia"/>
          <w:sz w:val="30"/>
          <w:szCs w:val="30"/>
        </w:rPr>
        <w:t>点</w:t>
      </w:r>
      <w:r>
        <w:rPr>
          <w:rFonts w:hint="eastAsia"/>
          <w:sz w:val="30"/>
          <w:szCs w:val="30"/>
        </w:rPr>
        <w:t>15</w:t>
      </w:r>
      <w:r>
        <w:rPr>
          <w:rFonts w:hint="eastAsia"/>
          <w:sz w:val="30"/>
          <w:szCs w:val="30"/>
        </w:rPr>
        <w:t>分，最后修改时间为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w:t>
      </w:r>
      <w:r>
        <w:rPr>
          <w:rFonts w:hint="eastAsia"/>
          <w:sz w:val="30"/>
          <w:szCs w:val="30"/>
        </w:rPr>
        <w:t>13</w:t>
      </w:r>
      <w:r>
        <w:rPr>
          <w:rFonts w:hint="eastAsia"/>
          <w:sz w:val="30"/>
          <w:szCs w:val="30"/>
        </w:rPr>
        <w:t>点</w:t>
      </w:r>
      <w:r>
        <w:rPr>
          <w:rFonts w:hint="eastAsia"/>
          <w:sz w:val="30"/>
          <w:szCs w:val="30"/>
        </w:rPr>
        <w:t>50</w:t>
      </w:r>
      <w:r>
        <w:rPr>
          <w:rFonts w:hint="eastAsia"/>
          <w:sz w:val="30"/>
          <w:szCs w:val="30"/>
        </w:rPr>
        <w:t>分。同时搜索到新元公司提供的证据</w:t>
      </w:r>
      <w:r>
        <w:rPr>
          <w:rFonts w:hint="eastAsia"/>
          <w:sz w:val="30"/>
          <w:szCs w:val="30"/>
        </w:rPr>
        <w:t>7</w:t>
      </w:r>
      <w:r>
        <w:rPr>
          <w:rFonts w:hint="eastAsia"/>
          <w:sz w:val="30"/>
          <w:szCs w:val="30"/>
        </w:rPr>
        <w:t>，显示的文档是树煌人公司销售回款，创建时间</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w:t>
      </w:r>
      <w:r>
        <w:rPr>
          <w:rFonts w:hint="eastAsia"/>
          <w:sz w:val="30"/>
          <w:szCs w:val="30"/>
        </w:rPr>
        <w:t>9</w:t>
      </w:r>
      <w:r>
        <w:rPr>
          <w:rFonts w:hint="eastAsia"/>
          <w:sz w:val="30"/>
          <w:szCs w:val="30"/>
        </w:rPr>
        <w:t>点</w:t>
      </w:r>
      <w:r>
        <w:rPr>
          <w:rFonts w:hint="eastAsia"/>
          <w:sz w:val="30"/>
          <w:szCs w:val="30"/>
        </w:rPr>
        <w:t>50</w:t>
      </w:r>
      <w:r>
        <w:rPr>
          <w:rFonts w:hint="eastAsia"/>
          <w:sz w:val="30"/>
          <w:szCs w:val="30"/>
        </w:rPr>
        <w:t>分。新元公司提交的其它证据未能搜索到。对此，孙绍峰辩解新元公司提供的封存电脑</w:t>
      </w:r>
      <w:r>
        <w:rPr>
          <w:rFonts w:hint="eastAsia"/>
          <w:sz w:val="30"/>
          <w:szCs w:val="30"/>
        </w:rPr>
        <w:t>视频不是连续的，视频无法证明视频中拆封后拿出的电脑就是孙绍峰使用的电脑，视频无法证明拆封的电脑就是从第一、二段视频及第三段视频五分五秒前的袋子中拆封的，视频更无法证明第四、五段的电脑中的内容是视频第三段中拆封的电脑中的内容。再结合公证时间与视频拍摄时间间隔非常久，公证书也并未对启封前电脑封装的过程做详细描述，新元公司有条件也有时间对电脑中的数据进行篡改。新元公司提供的电脑不是孙绍峰使用的电脑，新元公司提供的资产编号是虚假的，不能证明是孙绍峰使用，孙绍峰从来没有见过证据中显示的会议，该电脑里的材料，孙绍峰也不</w:t>
      </w:r>
      <w:r>
        <w:rPr>
          <w:rFonts w:hint="eastAsia"/>
          <w:sz w:val="30"/>
          <w:szCs w:val="30"/>
        </w:rPr>
        <w:t>知道，是新元公司伪造的。</w:t>
      </w:r>
    </w:p>
    <w:p w:rsidR="00000000" w:rsidRDefault="006F24D5">
      <w:pPr>
        <w:spacing w:line="500" w:lineRule="atLeast"/>
        <w:ind w:firstLine="600"/>
        <w:divId w:val="409621756"/>
        <w:rPr>
          <w:rFonts w:hint="eastAsia"/>
          <w:sz w:val="30"/>
          <w:szCs w:val="30"/>
        </w:rPr>
      </w:pPr>
      <w:r>
        <w:rPr>
          <w:rFonts w:hint="eastAsia"/>
          <w:sz w:val="30"/>
          <w:szCs w:val="30"/>
        </w:rPr>
        <w:t>孙绍峰为证明电脑不是其使用的问题，提交了新元公司的固定资产管理制度，证实：根据管理制度的规定，对固定资产进行分类登记，设立固定资产管理台账、固定资产卡片，做到一物一卡，使账、卡、物相符，办理固定资产卡片由综合部统一保管，固定资产使用人在卡片保管人一栏签字，不得代签。孙绍峰使用的电脑并不是新元公司公证的电脑。新元公司对该管理制度没有异议，但表示并不能证明孙绍峰没有使用该电脑。</w:t>
      </w:r>
    </w:p>
    <w:p w:rsidR="00000000" w:rsidRDefault="006F24D5">
      <w:pPr>
        <w:spacing w:line="500" w:lineRule="atLeast"/>
        <w:ind w:firstLine="600"/>
        <w:divId w:val="2037268214"/>
        <w:rPr>
          <w:rFonts w:hint="eastAsia"/>
          <w:sz w:val="30"/>
          <w:szCs w:val="30"/>
        </w:rPr>
      </w:pPr>
      <w:r>
        <w:rPr>
          <w:rFonts w:hint="eastAsia"/>
          <w:sz w:val="30"/>
          <w:szCs w:val="30"/>
        </w:rPr>
        <w:t>关于李东泉、孙绍峰、鲍硕俊是否将属于新元公司的商业机会给了树煌人公司的问题，新元公司向法院提交了树煌人公司的</w:t>
      </w:r>
      <w:r>
        <w:rPr>
          <w:rFonts w:hint="eastAsia"/>
          <w:sz w:val="30"/>
          <w:szCs w:val="30"/>
        </w:rPr>
        <w:t>报价单</w:t>
      </w:r>
      <w:r>
        <w:rPr>
          <w:rFonts w:hint="eastAsia"/>
          <w:sz w:val="30"/>
          <w:szCs w:val="30"/>
        </w:rPr>
        <w:t>11</w:t>
      </w:r>
      <w:r>
        <w:rPr>
          <w:rFonts w:hint="eastAsia"/>
          <w:sz w:val="30"/>
          <w:szCs w:val="30"/>
        </w:rPr>
        <w:t>份、厦门中软海晟信息技术有限公司</w:t>
      </w:r>
      <w:r>
        <w:rPr>
          <w:rFonts w:hint="eastAsia"/>
          <w:sz w:val="30"/>
          <w:szCs w:val="30"/>
        </w:rPr>
        <w:t>2017</w:t>
      </w:r>
      <w:r>
        <w:rPr>
          <w:rFonts w:hint="eastAsia"/>
          <w:sz w:val="30"/>
          <w:szCs w:val="30"/>
        </w:rPr>
        <w:t>年供应商服务质量评价表</w:t>
      </w:r>
      <w:r>
        <w:rPr>
          <w:rFonts w:hint="eastAsia"/>
          <w:sz w:val="30"/>
          <w:szCs w:val="30"/>
        </w:rPr>
        <w:t>1</w:t>
      </w:r>
      <w:r>
        <w:rPr>
          <w:rFonts w:hint="eastAsia"/>
          <w:sz w:val="30"/>
          <w:szCs w:val="30"/>
        </w:rPr>
        <w:t>份、聊天截图</w:t>
      </w:r>
      <w:r>
        <w:rPr>
          <w:rFonts w:hint="eastAsia"/>
          <w:sz w:val="30"/>
          <w:szCs w:val="30"/>
        </w:rPr>
        <w:t>2</w:t>
      </w:r>
      <w:r>
        <w:rPr>
          <w:rFonts w:hint="eastAsia"/>
          <w:sz w:val="30"/>
          <w:szCs w:val="30"/>
        </w:rPr>
        <w:t>份、</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月份其他应收款明细表</w:t>
      </w:r>
      <w:r>
        <w:rPr>
          <w:rFonts w:hint="eastAsia"/>
          <w:sz w:val="30"/>
          <w:szCs w:val="30"/>
        </w:rPr>
        <w:t>1</w:t>
      </w:r>
      <w:r>
        <w:rPr>
          <w:rFonts w:hint="eastAsia"/>
          <w:sz w:val="30"/>
          <w:szCs w:val="30"/>
        </w:rPr>
        <w:t>份，证明李东泉、孙绍峰为树煌人公司经营同类营业。厦门中软海晟信息技术有限公司与新元公司的合作协议，厦门中软海晟信息技术有限公司与树煌人公司的合作协议（复印件）各</w:t>
      </w:r>
      <w:r>
        <w:rPr>
          <w:rFonts w:hint="eastAsia"/>
          <w:sz w:val="30"/>
          <w:szCs w:val="30"/>
        </w:rPr>
        <w:t>1</w:t>
      </w:r>
      <w:r>
        <w:rPr>
          <w:rFonts w:hint="eastAsia"/>
          <w:sz w:val="30"/>
          <w:szCs w:val="30"/>
        </w:rPr>
        <w:t>份。证明树煌人公司与新元公司经营同类业务，业务完全相同。新元公司与客户签订的合同</w:t>
      </w:r>
      <w:r>
        <w:rPr>
          <w:rFonts w:hint="eastAsia"/>
          <w:sz w:val="30"/>
          <w:szCs w:val="30"/>
        </w:rPr>
        <w:t>5</w:t>
      </w:r>
      <w:r>
        <w:rPr>
          <w:rFonts w:hint="eastAsia"/>
          <w:sz w:val="30"/>
          <w:szCs w:val="30"/>
        </w:rPr>
        <w:t>份，与树煌人公司报价单的内容比较，证明树煌人公司经营的业务与新元公司完全相同。对此孙绍峰不予认可，认为是新元公司伪造的证据，李东泉、鲍硕俊对证</w:t>
      </w:r>
      <w:r>
        <w:rPr>
          <w:rFonts w:hint="eastAsia"/>
          <w:sz w:val="30"/>
          <w:szCs w:val="30"/>
        </w:rPr>
        <w:t>据的真实性不予认可。</w:t>
      </w:r>
    </w:p>
    <w:p w:rsidR="00000000" w:rsidRDefault="006F24D5">
      <w:pPr>
        <w:spacing w:line="500" w:lineRule="atLeast"/>
        <w:ind w:firstLine="600"/>
        <w:divId w:val="216673205"/>
        <w:rPr>
          <w:rFonts w:hint="eastAsia"/>
          <w:sz w:val="30"/>
          <w:szCs w:val="30"/>
        </w:rPr>
      </w:pPr>
      <w:r>
        <w:rPr>
          <w:rFonts w:hint="eastAsia"/>
          <w:sz w:val="30"/>
          <w:szCs w:val="30"/>
        </w:rPr>
        <w:t>对新元公司主张的损失问题，新元公司提交了新联谊会计师事务所有限公司出具的专项审计报告</w:t>
      </w:r>
      <w:r>
        <w:rPr>
          <w:rFonts w:hint="eastAsia"/>
          <w:sz w:val="30"/>
          <w:szCs w:val="30"/>
        </w:rPr>
        <w:t>1</w:t>
      </w:r>
      <w:r>
        <w:rPr>
          <w:rFonts w:hint="eastAsia"/>
          <w:sz w:val="30"/>
          <w:szCs w:val="30"/>
        </w:rPr>
        <w:t>份，该审计报告对新元公司提供的四份采购合同进行专项审计，认为合同总额为</w:t>
      </w:r>
      <w:r>
        <w:rPr>
          <w:rFonts w:hint="eastAsia"/>
          <w:sz w:val="30"/>
          <w:szCs w:val="30"/>
        </w:rPr>
        <w:t>651.9</w:t>
      </w:r>
      <w:r>
        <w:rPr>
          <w:rFonts w:hint="eastAsia"/>
          <w:sz w:val="30"/>
          <w:szCs w:val="30"/>
        </w:rPr>
        <w:t>万元，利润为</w:t>
      </w:r>
      <w:r>
        <w:rPr>
          <w:rFonts w:hint="eastAsia"/>
          <w:sz w:val="30"/>
          <w:szCs w:val="30"/>
        </w:rPr>
        <w:t>2093270.27</w:t>
      </w:r>
      <w:r>
        <w:rPr>
          <w:rFonts w:hint="eastAsia"/>
          <w:sz w:val="30"/>
          <w:szCs w:val="30"/>
        </w:rPr>
        <w:t>元，利润率为</w:t>
      </w:r>
      <w:r>
        <w:rPr>
          <w:rFonts w:hint="eastAsia"/>
          <w:sz w:val="30"/>
          <w:szCs w:val="30"/>
        </w:rPr>
        <w:t>46.53%</w:t>
      </w:r>
      <w:r>
        <w:rPr>
          <w:rFonts w:hint="eastAsia"/>
          <w:sz w:val="30"/>
          <w:szCs w:val="30"/>
        </w:rPr>
        <w:t>。新元公司按照该审计的利润率计算树煌人公司营业额</w:t>
      </w:r>
      <w:r>
        <w:rPr>
          <w:rFonts w:hint="eastAsia"/>
          <w:sz w:val="30"/>
          <w:szCs w:val="30"/>
        </w:rPr>
        <w:t>15987121.18</w:t>
      </w:r>
      <w:r>
        <w:rPr>
          <w:rFonts w:hint="eastAsia"/>
          <w:sz w:val="30"/>
          <w:szCs w:val="30"/>
        </w:rPr>
        <w:t>元，得出利润为</w:t>
      </w:r>
      <w:r>
        <w:rPr>
          <w:rFonts w:hint="eastAsia"/>
          <w:sz w:val="30"/>
          <w:szCs w:val="30"/>
        </w:rPr>
        <w:t>7438807.4</w:t>
      </w:r>
      <w:r>
        <w:rPr>
          <w:rFonts w:hint="eastAsia"/>
          <w:sz w:val="30"/>
          <w:szCs w:val="30"/>
        </w:rPr>
        <w:t>元，要求李东泉、孙绍峰、鲍硕俊共同赔偿上述损失。要求将李东泉的收入</w:t>
      </w:r>
      <w:r>
        <w:rPr>
          <w:rFonts w:hint="eastAsia"/>
          <w:sz w:val="30"/>
          <w:szCs w:val="30"/>
        </w:rPr>
        <w:t>19</w:t>
      </w:r>
      <w:r>
        <w:rPr>
          <w:rFonts w:hint="eastAsia"/>
          <w:sz w:val="30"/>
          <w:szCs w:val="30"/>
        </w:rPr>
        <w:t>万元（</w:t>
      </w:r>
      <w:r>
        <w:rPr>
          <w:rFonts w:hint="eastAsia"/>
          <w:sz w:val="30"/>
          <w:szCs w:val="30"/>
        </w:rPr>
        <w:t>1</w:t>
      </w:r>
      <w:r>
        <w:rPr>
          <w:rFonts w:hint="eastAsia"/>
          <w:sz w:val="30"/>
          <w:szCs w:val="30"/>
        </w:rPr>
        <w:t>万元×</w:t>
      </w:r>
      <w:r>
        <w:rPr>
          <w:rFonts w:hint="eastAsia"/>
          <w:sz w:val="30"/>
          <w:szCs w:val="30"/>
        </w:rPr>
        <w:t>19</w:t>
      </w:r>
      <w:r>
        <w:rPr>
          <w:rFonts w:hint="eastAsia"/>
          <w:sz w:val="30"/>
          <w:szCs w:val="30"/>
        </w:rPr>
        <w:t>个月），孙绍峰的收入</w:t>
      </w:r>
      <w:r>
        <w:rPr>
          <w:rFonts w:hint="eastAsia"/>
          <w:sz w:val="30"/>
          <w:szCs w:val="30"/>
        </w:rPr>
        <w:t>8.75</w:t>
      </w:r>
      <w:r>
        <w:rPr>
          <w:rFonts w:hint="eastAsia"/>
          <w:sz w:val="30"/>
          <w:szCs w:val="30"/>
        </w:rPr>
        <w:t>万元（</w:t>
      </w:r>
      <w:r>
        <w:rPr>
          <w:rFonts w:hint="eastAsia"/>
          <w:sz w:val="30"/>
          <w:szCs w:val="30"/>
        </w:rPr>
        <w:t>12500</w:t>
      </w:r>
      <w:r>
        <w:rPr>
          <w:rFonts w:hint="eastAsia"/>
          <w:sz w:val="30"/>
          <w:szCs w:val="30"/>
        </w:rPr>
        <w:t>元×</w:t>
      </w:r>
      <w:r>
        <w:rPr>
          <w:rFonts w:hint="eastAsia"/>
          <w:sz w:val="30"/>
          <w:szCs w:val="30"/>
        </w:rPr>
        <w:t>7</w:t>
      </w:r>
      <w:r>
        <w:rPr>
          <w:rFonts w:hint="eastAsia"/>
          <w:sz w:val="30"/>
          <w:szCs w:val="30"/>
        </w:rPr>
        <w:t>个月），鲍硕俊的收入</w:t>
      </w:r>
      <w:r>
        <w:rPr>
          <w:rFonts w:hint="eastAsia"/>
          <w:sz w:val="30"/>
          <w:szCs w:val="30"/>
        </w:rPr>
        <w:t>4</w:t>
      </w:r>
      <w:r>
        <w:rPr>
          <w:rFonts w:hint="eastAsia"/>
          <w:sz w:val="30"/>
          <w:szCs w:val="30"/>
        </w:rPr>
        <w:t>万元（</w:t>
      </w:r>
      <w:r>
        <w:rPr>
          <w:rFonts w:hint="eastAsia"/>
          <w:sz w:val="30"/>
          <w:szCs w:val="30"/>
        </w:rPr>
        <w:t>5000</w:t>
      </w:r>
      <w:r>
        <w:rPr>
          <w:rFonts w:hint="eastAsia"/>
          <w:sz w:val="30"/>
          <w:szCs w:val="30"/>
        </w:rPr>
        <w:t>元×</w:t>
      </w:r>
      <w:r>
        <w:rPr>
          <w:rFonts w:hint="eastAsia"/>
          <w:sz w:val="30"/>
          <w:szCs w:val="30"/>
        </w:rPr>
        <w:t>8</w:t>
      </w:r>
      <w:r>
        <w:rPr>
          <w:rFonts w:hint="eastAsia"/>
          <w:sz w:val="30"/>
          <w:szCs w:val="30"/>
        </w:rPr>
        <w:t>个月）归新元公司所有。李东泉、孙绍峰、鲍硕俊认为新元公司提供的审计报告系其单方提供合同后，由审计单位作出的审计，不能真实反映情况。新元公司提出的归入权并没有提出证据证实。孙绍峰向法院提交了新元公司</w:t>
      </w:r>
      <w:r>
        <w:rPr>
          <w:rFonts w:hint="eastAsia"/>
          <w:sz w:val="30"/>
          <w:szCs w:val="30"/>
        </w:rPr>
        <w:t>2013</w:t>
      </w:r>
      <w:r>
        <w:rPr>
          <w:rFonts w:hint="eastAsia"/>
          <w:sz w:val="30"/>
          <w:szCs w:val="30"/>
        </w:rPr>
        <w:t>年度至</w:t>
      </w:r>
      <w:r>
        <w:rPr>
          <w:rFonts w:hint="eastAsia"/>
          <w:sz w:val="30"/>
          <w:szCs w:val="30"/>
        </w:rPr>
        <w:t>2016</w:t>
      </w:r>
      <w:r>
        <w:rPr>
          <w:rFonts w:hint="eastAsia"/>
          <w:sz w:val="30"/>
          <w:szCs w:val="30"/>
        </w:rPr>
        <w:t>年度的利润表和资产负债表，均是从新元公司每年的审计报告书中复印的。证明新元公司利润率最高的年份也没有超过</w:t>
      </w:r>
      <w:r>
        <w:rPr>
          <w:rFonts w:hint="eastAsia"/>
          <w:sz w:val="30"/>
          <w:szCs w:val="30"/>
        </w:rPr>
        <w:t>10%</w:t>
      </w:r>
      <w:r>
        <w:rPr>
          <w:rFonts w:hint="eastAsia"/>
          <w:sz w:val="30"/>
          <w:szCs w:val="30"/>
        </w:rPr>
        <w:t>，</w:t>
      </w:r>
      <w:r>
        <w:rPr>
          <w:rFonts w:hint="eastAsia"/>
          <w:sz w:val="30"/>
          <w:szCs w:val="30"/>
        </w:rPr>
        <w:t>2016</w:t>
      </w:r>
      <w:r>
        <w:rPr>
          <w:rFonts w:hint="eastAsia"/>
          <w:sz w:val="30"/>
          <w:szCs w:val="30"/>
        </w:rPr>
        <w:t>年度才</w:t>
      </w:r>
      <w:r>
        <w:rPr>
          <w:rFonts w:hint="eastAsia"/>
          <w:sz w:val="30"/>
          <w:szCs w:val="30"/>
        </w:rPr>
        <w:t>3.81%</w:t>
      </w:r>
      <w:r>
        <w:rPr>
          <w:rFonts w:hint="eastAsia"/>
          <w:sz w:val="30"/>
          <w:szCs w:val="30"/>
        </w:rPr>
        <w:t>，与新元公司向法庭提交的专项审计的利润率严重不符，新元公司</w:t>
      </w:r>
      <w:r>
        <w:rPr>
          <w:rFonts w:hint="eastAsia"/>
          <w:sz w:val="30"/>
          <w:szCs w:val="30"/>
        </w:rPr>
        <w:t>2016</w:t>
      </w:r>
      <w:r>
        <w:rPr>
          <w:rFonts w:hint="eastAsia"/>
          <w:sz w:val="30"/>
          <w:szCs w:val="30"/>
        </w:rPr>
        <w:t>年资产项目利润表。该利润表来源于新元公司高管张伟，新元公司自己计算的该项目的利</w:t>
      </w:r>
      <w:r>
        <w:rPr>
          <w:rFonts w:hint="eastAsia"/>
          <w:sz w:val="30"/>
          <w:szCs w:val="30"/>
        </w:rPr>
        <w:t>润率只有</w:t>
      </w:r>
      <w:r>
        <w:rPr>
          <w:rFonts w:hint="eastAsia"/>
          <w:sz w:val="30"/>
          <w:szCs w:val="30"/>
        </w:rPr>
        <w:t>6.2%</w:t>
      </w:r>
      <w:r>
        <w:rPr>
          <w:rFonts w:hint="eastAsia"/>
          <w:sz w:val="30"/>
          <w:szCs w:val="30"/>
        </w:rPr>
        <w:t>，却在专项审计报告中计算出</w:t>
      </w:r>
      <w:r>
        <w:rPr>
          <w:rFonts w:hint="eastAsia"/>
          <w:sz w:val="30"/>
          <w:szCs w:val="30"/>
        </w:rPr>
        <w:t>46.82%</w:t>
      </w:r>
      <w:r>
        <w:rPr>
          <w:rFonts w:hint="eastAsia"/>
          <w:sz w:val="30"/>
          <w:szCs w:val="30"/>
        </w:rPr>
        <w:t>的利润率，足以证明新元公司为了此次诉讼伪造虚假证据。新元公司对此辩解称，孙绍峰提交的是全年的纯利润。专项审计计算的是毛利润，不能因为以前的报告否定</w:t>
      </w:r>
      <w:r>
        <w:rPr>
          <w:rFonts w:hint="eastAsia"/>
          <w:sz w:val="30"/>
          <w:szCs w:val="30"/>
        </w:rPr>
        <w:t>2017</w:t>
      </w:r>
      <w:r>
        <w:rPr>
          <w:rFonts w:hint="eastAsia"/>
          <w:sz w:val="30"/>
          <w:szCs w:val="30"/>
        </w:rPr>
        <w:t>年的实际利润。</w:t>
      </w:r>
    </w:p>
    <w:p w:rsidR="00000000" w:rsidRDefault="006F24D5">
      <w:pPr>
        <w:spacing w:line="500" w:lineRule="atLeast"/>
        <w:ind w:firstLine="600"/>
        <w:divId w:val="1403944625"/>
        <w:rPr>
          <w:rFonts w:hint="eastAsia"/>
          <w:sz w:val="30"/>
          <w:szCs w:val="30"/>
        </w:rPr>
      </w:pPr>
      <w:r>
        <w:rPr>
          <w:rFonts w:hint="eastAsia"/>
          <w:sz w:val="30"/>
          <w:szCs w:val="30"/>
        </w:rPr>
        <w:t>一审法院认为，公司董事、监事、高级管理人员损害公司利益责任纠纷是指董事、监事、高级管理人员执行公司职务时违反法律、行政法规或者公司章程的规定，给公司造成损失而发生的纠纷。《公司法》规定公司的高级管理人员是指公司的经理、副经理、财务负责人，上市公司董事会秘书和公司章程规定的其它人员。就本案</w:t>
      </w:r>
      <w:r>
        <w:rPr>
          <w:rFonts w:hint="eastAsia"/>
          <w:sz w:val="30"/>
          <w:szCs w:val="30"/>
        </w:rPr>
        <w:t>而言，李东泉是新元公司的总经理，孙绍峰是新元公司的副总经理，属于新元公司的高级管理人员，鲍硕俊不属于法律规定的高级管理人员，因此，新元公司要求其承担损害公司利益的责任，没有法律依据，不予支持。关于李东泉、孙绍峰执行公司职务时是否违反法律、行政法规或者公司章程的规定，给公司造成损失，新元公司主张李东泉、孙绍峰在任职期间，参与树煌人公司的经营，将属于新元公司的商业机会带给树煌人公司。其提供的证据为从孙绍峰使用的电脑中下载的书证两份。一审法院认为，虽然孙绍峰否认该电脑是其使用，但从其出具的收到条、新元公司提供的交</w:t>
      </w:r>
      <w:r>
        <w:rPr>
          <w:rFonts w:hint="eastAsia"/>
          <w:sz w:val="30"/>
          <w:szCs w:val="30"/>
        </w:rPr>
        <w:t>出条、新元公司提供的录像资料和公证书综合判定，可以认定该电脑就是孙绍峰使用，但新元公司提供的从该电脑上下载的两份书证即会议记录和经济情况统计表，不能足以证实李东泉、孙绍峰、鲍硕俊参与树煌人公司经营，并将属于新元公司的商业机会，给予树煌人公司使其获得本属于新元公司的利益，造成新元公司利益受损的事实。新元公司提交的其他证据，因为在当庭勘验电脑时，无法搜索到，因此不予采信。新元公司提供的证据不足以证实自己的主张，对新元公司的诉讼请求，不予支持。综上所述，一审法院依照《中华人民共和国公司法》第一百四十八条、第一百四</w:t>
      </w:r>
      <w:r>
        <w:rPr>
          <w:rFonts w:hint="eastAsia"/>
          <w:sz w:val="30"/>
          <w:szCs w:val="30"/>
        </w:rPr>
        <w:t>十九条、第二百一十六条，《中华人民共和国民事诉讼法》第六十四条之规定，判决：驳回山东山大新元易通信息科技有限公司的诉讼请求。案件受理费</w:t>
      </w:r>
      <w:r>
        <w:rPr>
          <w:rFonts w:hint="eastAsia"/>
          <w:sz w:val="30"/>
          <w:szCs w:val="30"/>
        </w:rPr>
        <w:t>66094</w:t>
      </w:r>
      <w:r>
        <w:rPr>
          <w:rFonts w:hint="eastAsia"/>
          <w:sz w:val="30"/>
          <w:szCs w:val="30"/>
        </w:rPr>
        <w:t>元，由山东山大新元易通信息科技有限公司负担。</w:t>
      </w:r>
    </w:p>
    <w:p w:rsidR="00000000" w:rsidRDefault="006F24D5">
      <w:pPr>
        <w:spacing w:line="500" w:lineRule="atLeast"/>
        <w:ind w:firstLine="600"/>
        <w:divId w:val="139617225"/>
        <w:rPr>
          <w:rFonts w:hint="eastAsia"/>
          <w:sz w:val="30"/>
          <w:szCs w:val="30"/>
        </w:rPr>
      </w:pPr>
      <w:r>
        <w:rPr>
          <w:rFonts w:hint="eastAsia"/>
          <w:sz w:val="30"/>
          <w:szCs w:val="30"/>
        </w:rPr>
        <w:t>本院二审中，当事人围绕诉讼请求提交了证据，本院组织当事人进行了证据交换与质证。</w:t>
      </w:r>
    </w:p>
    <w:p w:rsidR="00000000" w:rsidRDefault="006F24D5">
      <w:pPr>
        <w:spacing w:line="500" w:lineRule="atLeast"/>
        <w:ind w:firstLine="600"/>
        <w:divId w:val="1261062517"/>
        <w:rPr>
          <w:rFonts w:hint="eastAsia"/>
          <w:sz w:val="30"/>
          <w:szCs w:val="30"/>
        </w:rPr>
      </w:pPr>
      <w:r>
        <w:rPr>
          <w:rFonts w:hint="eastAsia"/>
          <w:sz w:val="30"/>
          <w:szCs w:val="30"/>
        </w:rPr>
        <w:t>新元公司提交</w:t>
      </w:r>
      <w:r>
        <w:rPr>
          <w:rFonts w:hint="eastAsia"/>
          <w:sz w:val="30"/>
          <w:szCs w:val="30"/>
        </w:rPr>
        <w:t>2016</w:t>
      </w:r>
      <w:r>
        <w:rPr>
          <w:rFonts w:hint="eastAsia"/>
          <w:sz w:val="30"/>
          <w:szCs w:val="30"/>
        </w:rPr>
        <w:t>年、</w:t>
      </w:r>
      <w:r>
        <w:rPr>
          <w:rFonts w:hint="eastAsia"/>
          <w:sz w:val="30"/>
          <w:szCs w:val="30"/>
        </w:rPr>
        <w:t>2017</w:t>
      </w:r>
      <w:r>
        <w:rPr>
          <w:rFonts w:hint="eastAsia"/>
          <w:sz w:val="30"/>
          <w:szCs w:val="30"/>
        </w:rPr>
        <w:t>年新元公司的经营情况审计报告，该报告显示新元公司</w:t>
      </w:r>
      <w:r>
        <w:rPr>
          <w:rFonts w:hint="eastAsia"/>
          <w:sz w:val="30"/>
          <w:szCs w:val="30"/>
        </w:rPr>
        <w:t>2016</w:t>
      </w:r>
      <w:r>
        <w:rPr>
          <w:rFonts w:hint="eastAsia"/>
          <w:sz w:val="30"/>
          <w:szCs w:val="30"/>
        </w:rPr>
        <w:t>年营业收入为</w:t>
      </w:r>
      <w:r>
        <w:rPr>
          <w:rFonts w:hint="eastAsia"/>
          <w:sz w:val="30"/>
          <w:szCs w:val="30"/>
        </w:rPr>
        <w:t>19885706.6</w:t>
      </w:r>
      <w:r>
        <w:rPr>
          <w:rFonts w:hint="eastAsia"/>
          <w:sz w:val="30"/>
          <w:szCs w:val="30"/>
        </w:rPr>
        <w:t>元，</w:t>
      </w:r>
      <w:r>
        <w:rPr>
          <w:rFonts w:hint="eastAsia"/>
          <w:sz w:val="30"/>
          <w:szCs w:val="30"/>
        </w:rPr>
        <w:t>2017</w:t>
      </w:r>
      <w:r>
        <w:rPr>
          <w:rFonts w:hint="eastAsia"/>
          <w:sz w:val="30"/>
          <w:szCs w:val="30"/>
        </w:rPr>
        <w:t>年营业收入为</w:t>
      </w:r>
      <w:r>
        <w:rPr>
          <w:rFonts w:hint="eastAsia"/>
          <w:sz w:val="30"/>
          <w:szCs w:val="30"/>
        </w:rPr>
        <w:t>9211526.65</w:t>
      </w:r>
      <w:r>
        <w:rPr>
          <w:rFonts w:hint="eastAsia"/>
          <w:sz w:val="30"/>
          <w:szCs w:val="30"/>
        </w:rPr>
        <w:t>元，营业收入减少</w:t>
      </w:r>
      <w:r>
        <w:rPr>
          <w:rFonts w:hint="eastAsia"/>
          <w:sz w:val="30"/>
          <w:szCs w:val="30"/>
        </w:rPr>
        <w:t>1067</w:t>
      </w:r>
      <w:r>
        <w:rPr>
          <w:rFonts w:hint="eastAsia"/>
          <w:sz w:val="30"/>
          <w:szCs w:val="30"/>
        </w:rPr>
        <w:t>万元，</w:t>
      </w:r>
      <w:r>
        <w:rPr>
          <w:rFonts w:hint="eastAsia"/>
          <w:sz w:val="30"/>
          <w:szCs w:val="30"/>
        </w:rPr>
        <w:t>2016</w:t>
      </w:r>
      <w:r>
        <w:rPr>
          <w:rFonts w:hint="eastAsia"/>
          <w:sz w:val="30"/>
          <w:szCs w:val="30"/>
        </w:rPr>
        <w:t>年净利润是</w:t>
      </w:r>
      <w:r>
        <w:rPr>
          <w:rFonts w:hint="eastAsia"/>
          <w:sz w:val="30"/>
          <w:szCs w:val="30"/>
        </w:rPr>
        <w:t>757838.12</w:t>
      </w:r>
      <w:r>
        <w:rPr>
          <w:rFonts w:hint="eastAsia"/>
          <w:sz w:val="30"/>
          <w:szCs w:val="30"/>
        </w:rPr>
        <w:t>元，</w:t>
      </w:r>
      <w:r>
        <w:rPr>
          <w:rFonts w:hint="eastAsia"/>
          <w:sz w:val="30"/>
          <w:szCs w:val="30"/>
        </w:rPr>
        <w:t>2017</w:t>
      </w:r>
      <w:r>
        <w:rPr>
          <w:rFonts w:hint="eastAsia"/>
          <w:sz w:val="30"/>
          <w:szCs w:val="30"/>
        </w:rPr>
        <w:t>年净利润为负</w:t>
      </w:r>
      <w:r>
        <w:rPr>
          <w:rFonts w:hint="eastAsia"/>
          <w:sz w:val="30"/>
          <w:szCs w:val="30"/>
        </w:rPr>
        <w:t>2038686.96</w:t>
      </w:r>
      <w:r>
        <w:rPr>
          <w:rFonts w:hint="eastAsia"/>
          <w:sz w:val="30"/>
          <w:szCs w:val="30"/>
        </w:rPr>
        <w:t>元，利润减少</w:t>
      </w:r>
      <w:r>
        <w:rPr>
          <w:rFonts w:hint="eastAsia"/>
          <w:sz w:val="30"/>
          <w:szCs w:val="30"/>
        </w:rPr>
        <w:t>2796325.08</w:t>
      </w:r>
      <w:r>
        <w:rPr>
          <w:rFonts w:hint="eastAsia"/>
          <w:sz w:val="30"/>
          <w:szCs w:val="30"/>
        </w:rPr>
        <w:t>元，新元公司经济损失是客观存在的；李东泉、孙绍峰、鲍硕俊提交以下证据：证据一，</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日厦门中软海晟信息技术有限公司出具的证明一份，拟证明因为新元公司不履行合作相关义务才导致双方合作终止，与李东泉、孙绍峰、鲍硕俊无关。证据二，（</w:t>
      </w:r>
      <w:r>
        <w:rPr>
          <w:rFonts w:hint="eastAsia"/>
          <w:sz w:val="30"/>
          <w:szCs w:val="30"/>
        </w:rPr>
        <w:t>2019</w:t>
      </w:r>
      <w:r>
        <w:rPr>
          <w:rFonts w:hint="eastAsia"/>
          <w:sz w:val="30"/>
          <w:szCs w:val="30"/>
        </w:rPr>
        <w:t>）鲁</w:t>
      </w:r>
      <w:r>
        <w:rPr>
          <w:rFonts w:hint="eastAsia"/>
          <w:sz w:val="30"/>
          <w:szCs w:val="30"/>
        </w:rPr>
        <w:t>0191</w:t>
      </w:r>
      <w:r>
        <w:rPr>
          <w:rFonts w:hint="eastAsia"/>
          <w:sz w:val="30"/>
          <w:szCs w:val="30"/>
        </w:rPr>
        <w:t>民初</w:t>
      </w:r>
      <w:r>
        <w:rPr>
          <w:rFonts w:hint="eastAsia"/>
          <w:sz w:val="30"/>
          <w:szCs w:val="30"/>
        </w:rPr>
        <w:t>3665</w:t>
      </w:r>
      <w:r>
        <w:rPr>
          <w:rFonts w:hint="eastAsia"/>
          <w:sz w:val="30"/>
          <w:szCs w:val="30"/>
        </w:rPr>
        <w:t>号民事判决书、济南中院（</w:t>
      </w:r>
      <w:r>
        <w:rPr>
          <w:rFonts w:hint="eastAsia"/>
          <w:sz w:val="30"/>
          <w:szCs w:val="30"/>
        </w:rPr>
        <w:t>2020</w:t>
      </w:r>
      <w:r>
        <w:rPr>
          <w:rFonts w:hint="eastAsia"/>
          <w:sz w:val="30"/>
          <w:szCs w:val="30"/>
        </w:rPr>
        <w:t>）鲁</w:t>
      </w:r>
      <w:r>
        <w:rPr>
          <w:rFonts w:hint="eastAsia"/>
          <w:sz w:val="30"/>
          <w:szCs w:val="30"/>
        </w:rPr>
        <w:t>01</w:t>
      </w:r>
      <w:r>
        <w:rPr>
          <w:rFonts w:hint="eastAsia"/>
          <w:sz w:val="30"/>
          <w:szCs w:val="30"/>
        </w:rPr>
        <w:t>民终</w:t>
      </w:r>
      <w:r>
        <w:rPr>
          <w:rFonts w:hint="eastAsia"/>
          <w:sz w:val="30"/>
          <w:szCs w:val="30"/>
        </w:rPr>
        <w:t>311</w:t>
      </w:r>
      <w:r>
        <w:rPr>
          <w:rFonts w:hint="eastAsia"/>
          <w:sz w:val="30"/>
          <w:szCs w:val="30"/>
        </w:rPr>
        <w:t>号民事判决书，拟证明傅传德与李东泉作为新元公司的董事长、总经理，矛盾积深，本案是傅传德利用公司提起的恶意诉讼。</w:t>
      </w:r>
    </w:p>
    <w:p w:rsidR="00000000" w:rsidRDefault="006F24D5">
      <w:pPr>
        <w:spacing w:line="500" w:lineRule="atLeast"/>
        <w:ind w:firstLine="600"/>
        <w:divId w:val="656423574"/>
        <w:rPr>
          <w:rFonts w:hint="eastAsia"/>
          <w:sz w:val="30"/>
          <w:szCs w:val="30"/>
        </w:rPr>
      </w:pPr>
      <w:r>
        <w:rPr>
          <w:rFonts w:hint="eastAsia"/>
          <w:sz w:val="30"/>
          <w:szCs w:val="30"/>
        </w:rPr>
        <w:t>新元公司与李东泉、</w:t>
      </w:r>
      <w:r>
        <w:rPr>
          <w:rFonts w:hint="eastAsia"/>
          <w:sz w:val="30"/>
          <w:szCs w:val="30"/>
        </w:rPr>
        <w:t>孙绍峰、鲍硕俊对对方证据的效力均提出异议。经审核，本院对新元公司</w:t>
      </w:r>
      <w:r>
        <w:rPr>
          <w:rFonts w:hint="eastAsia"/>
          <w:sz w:val="30"/>
          <w:szCs w:val="30"/>
        </w:rPr>
        <w:t>2016</w:t>
      </w:r>
      <w:r>
        <w:rPr>
          <w:rFonts w:hint="eastAsia"/>
          <w:sz w:val="30"/>
          <w:szCs w:val="30"/>
        </w:rPr>
        <w:t>年、</w:t>
      </w:r>
      <w:r>
        <w:rPr>
          <w:rFonts w:hint="eastAsia"/>
          <w:sz w:val="30"/>
          <w:szCs w:val="30"/>
        </w:rPr>
        <w:t>2017</w:t>
      </w:r>
      <w:r>
        <w:rPr>
          <w:rFonts w:hint="eastAsia"/>
          <w:sz w:val="30"/>
          <w:szCs w:val="30"/>
        </w:rPr>
        <w:t>年经营情况审计报告的真实性予以确认，对李东泉、孙绍峰、鲍硕俊提交的（</w:t>
      </w:r>
      <w:r>
        <w:rPr>
          <w:rFonts w:hint="eastAsia"/>
          <w:sz w:val="30"/>
          <w:szCs w:val="30"/>
        </w:rPr>
        <w:t>2019</w:t>
      </w:r>
      <w:r>
        <w:rPr>
          <w:rFonts w:hint="eastAsia"/>
          <w:sz w:val="30"/>
          <w:szCs w:val="30"/>
        </w:rPr>
        <w:t>）鲁</w:t>
      </w:r>
      <w:r>
        <w:rPr>
          <w:rFonts w:hint="eastAsia"/>
          <w:sz w:val="30"/>
          <w:szCs w:val="30"/>
        </w:rPr>
        <w:t>0191</w:t>
      </w:r>
      <w:r>
        <w:rPr>
          <w:rFonts w:hint="eastAsia"/>
          <w:sz w:val="30"/>
          <w:szCs w:val="30"/>
        </w:rPr>
        <w:t>民初</w:t>
      </w:r>
      <w:r>
        <w:rPr>
          <w:rFonts w:hint="eastAsia"/>
          <w:sz w:val="30"/>
          <w:szCs w:val="30"/>
        </w:rPr>
        <w:t>3665</w:t>
      </w:r>
      <w:r>
        <w:rPr>
          <w:rFonts w:hint="eastAsia"/>
          <w:sz w:val="30"/>
          <w:szCs w:val="30"/>
        </w:rPr>
        <w:t>号民事判决书、（</w:t>
      </w:r>
      <w:r>
        <w:rPr>
          <w:rFonts w:hint="eastAsia"/>
          <w:sz w:val="30"/>
          <w:szCs w:val="30"/>
        </w:rPr>
        <w:t>2020</w:t>
      </w:r>
      <w:r>
        <w:rPr>
          <w:rFonts w:hint="eastAsia"/>
          <w:sz w:val="30"/>
          <w:szCs w:val="30"/>
        </w:rPr>
        <w:t>）鲁</w:t>
      </w:r>
      <w:r>
        <w:rPr>
          <w:rFonts w:hint="eastAsia"/>
          <w:sz w:val="30"/>
          <w:szCs w:val="30"/>
        </w:rPr>
        <w:t>01</w:t>
      </w:r>
      <w:r>
        <w:rPr>
          <w:rFonts w:hint="eastAsia"/>
          <w:sz w:val="30"/>
          <w:szCs w:val="30"/>
        </w:rPr>
        <w:t>民终</w:t>
      </w:r>
      <w:r>
        <w:rPr>
          <w:rFonts w:hint="eastAsia"/>
          <w:sz w:val="30"/>
          <w:szCs w:val="30"/>
        </w:rPr>
        <w:t>311</w:t>
      </w:r>
      <w:r>
        <w:rPr>
          <w:rFonts w:hint="eastAsia"/>
          <w:sz w:val="30"/>
          <w:szCs w:val="30"/>
        </w:rPr>
        <w:t>号民事判决书的真实性予以确认。本案审查的重点是李东泉、孙绍峰、鲍硕俊是否存在侵害新元公司利益的行为，如存在侵害公司利益的行为，应如何确定赔偿的数额，当事人在二审中提供的证据不是证实存在侵权事实的直接证据，故应综合全案案情予以认定。</w:t>
      </w:r>
    </w:p>
    <w:p w:rsidR="00000000" w:rsidRDefault="006F24D5">
      <w:pPr>
        <w:spacing w:line="500" w:lineRule="atLeast"/>
        <w:ind w:firstLine="600"/>
        <w:divId w:val="574321396"/>
        <w:rPr>
          <w:rFonts w:hint="eastAsia"/>
          <w:sz w:val="30"/>
          <w:szCs w:val="30"/>
        </w:rPr>
      </w:pPr>
      <w:r>
        <w:rPr>
          <w:rFonts w:hint="eastAsia"/>
          <w:sz w:val="30"/>
          <w:szCs w:val="30"/>
        </w:rPr>
        <w:t>一审法院认定事实属实，本院予以确认。</w:t>
      </w:r>
    </w:p>
    <w:p w:rsidR="00000000" w:rsidRDefault="006F24D5">
      <w:pPr>
        <w:spacing w:line="500" w:lineRule="atLeast"/>
        <w:ind w:firstLine="600"/>
        <w:divId w:val="596059542"/>
        <w:rPr>
          <w:rFonts w:hint="eastAsia"/>
          <w:sz w:val="30"/>
          <w:szCs w:val="30"/>
        </w:rPr>
      </w:pPr>
      <w:r>
        <w:rPr>
          <w:rFonts w:hint="eastAsia"/>
          <w:sz w:val="30"/>
          <w:szCs w:val="30"/>
        </w:rPr>
        <w:t>本院认为，本案焦</w:t>
      </w:r>
      <w:r>
        <w:rPr>
          <w:rFonts w:hint="eastAsia"/>
          <w:sz w:val="30"/>
          <w:szCs w:val="30"/>
        </w:rPr>
        <w:t>点是：新元公司请求李东泉、孙绍峰、鲍硕俊将其收入归入新元公司，并赔偿新元公司损失是否合法有据。</w:t>
      </w:r>
    </w:p>
    <w:p w:rsidR="00000000" w:rsidRDefault="006F24D5">
      <w:pPr>
        <w:spacing w:line="500" w:lineRule="atLeast"/>
        <w:ind w:firstLine="600"/>
        <w:divId w:val="52167173"/>
        <w:rPr>
          <w:rFonts w:hint="eastAsia"/>
          <w:sz w:val="30"/>
          <w:szCs w:val="30"/>
        </w:rPr>
      </w:pPr>
      <w:r>
        <w:rPr>
          <w:rFonts w:hint="eastAsia"/>
          <w:sz w:val="30"/>
          <w:szCs w:val="30"/>
        </w:rPr>
        <w:t>从新元公司一审诉求分析，其行使的权利有两项，一是公司归入权，二是公司利益损害赔偿请求权。公司归入权的法律依据为《公司法》第一百四十八条，指董事、高级管理人员违反法律规定的忠实义务所得的收入应当归公司所有。公司利益损害赔偿请求权的法律依据主要为《公司法》第一百十四十九条，指董事、监事、高级管理人员执行公司职务时违反法律、行政法规或者公司章程的规定，给公司造成损失的，应当承担赔偿责任。</w:t>
      </w:r>
    </w:p>
    <w:p w:rsidR="00000000" w:rsidRDefault="006F24D5">
      <w:pPr>
        <w:spacing w:line="500" w:lineRule="atLeast"/>
        <w:ind w:firstLine="600"/>
        <w:divId w:val="1884363072"/>
        <w:rPr>
          <w:rFonts w:hint="eastAsia"/>
          <w:sz w:val="30"/>
          <w:szCs w:val="30"/>
        </w:rPr>
      </w:pPr>
      <w:r>
        <w:rPr>
          <w:rFonts w:hint="eastAsia"/>
          <w:sz w:val="30"/>
          <w:szCs w:val="30"/>
        </w:rPr>
        <w:t>第一，关于公司归入权诉求能否成</w:t>
      </w:r>
      <w:r>
        <w:rPr>
          <w:rFonts w:hint="eastAsia"/>
          <w:sz w:val="30"/>
          <w:szCs w:val="30"/>
        </w:rPr>
        <w:t>立的问题。新元公司提供的主要证据为孙绍峰笔记本电脑中的工资发放表，新元公司认为工资发放表能够证明孙绍峰、鲍硕俊的工资，并以此推算李东泉的工资。本院认为，因笔记本电脑中的工资发放表等证据形式系电子文档，李东泉等人未签字确认并当庭提出异议，新元公司未提供工资发放流水等证实工资确实已经发放的证据，本院对其证明效力不予采信。新元公司行使公司归入权的诉求，证据不足，本院不予支持。</w:t>
      </w:r>
    </w:p>
    <w:p w:rsidR="00000000" w:rsidRDefault="006F24D5">
      <w:pPr>
        <w:spacing w:line="500" w:lineRule="atLeast"/>
        <w:ind w:firstLine="600"/>
        <w:divId w:val="740255684"/>
        <w:rPr>
          <w:rFonts w:hint="eastAsia"/>
          <w:sz w:val="30"/>
          <w:szCs w:val="30"/>
        </w:rPr>
      </w:pPr>
      <w:r>
        <w:rPr>
          <w:rFonts w:hint="eastAsia"/>
          <w:sz w:val="30"/>
          <w:szCs w:val="30"/>
        </w:rPr>
        <w:t>第二，关于公司利益损害赔偿请求权能否成立的问题。新元公司作为主张损害赔偿的一方，根据举证责任分配规则与侵权责任构成要件，新元公司应举证证实</w:t>
      </w:r>
      <w:r>
        <w:rPr>
          <w:rFonts w:hint="eastAsia"/>
          <w:sz w:val="30"/>
          <w:szCs w:val="30"/>
        </w:rPr>
        <w:t>李东泉等人侵权事实确实存在以及侵权行为导致新元公司利益受损的具体数额。新元公司在一审中主张该项诉求的数额为</w:t>
      </w:r>
      <w:r>
        <w:rPr>
          <w:rFonts w:hint="eastAsia"/>
          <w:sz w:val="30"/>
          <w:szCs w:val="30"/>
        </w:rPr>
        <w:t>7438807.40</w:t>
      </w:r>
      <w:r>
        <w:rPr>
          <w:rFonts w:hint="eastAsia"/>
          <w:sz w:val="30"/>
          <w:szCs w:val="30"/>
        </w:rPr>
        <w:t>元，计算方式为树煌人公司营业额</w:t>
      </w:r>
      <w:r>
        <w:rPr>
          <w:rFonts w:hint="eastAsia"/>
          <w:sz w:val="30"/>
          <w:szCs w:val="30"/>
        </w:rPr>
        <w:t>15987121.18</w:t>
      </w:r>
      <w:r>
        <w:rPr>
          <w:rFonts w:hint="eastAsia"/>
          <w:sz w:val="30"/>
          <w:szCs w:val="30"/>
        </w:rPr>
        <w:t>元乘以行业平均利润率</w:t>
      </w:r>
      <w:r>
        <w:rPr>
          <w:rFonts w:hint="eastAsia"/>
          <w:sz w:val="30"/>
          <w:szCs w:val="30"/>
        </w:rPr>
        <w:t>46.53%</w:t>
      </w:r>
      <w:r>
        <w:rPr>
          <w:rFonts w:hint="eastAsia"/>
          <w:sz w:val="30"/>
          <w:szCs w:val="30"/>
        </w:rPr>
        <w:t>。本院二审中，新元公司称可以按照新元公司</w:t>
      </w:r>
      <w:r>
        <w:rPr>
          <w:rFonts w:hint="eastAsia"/>
          <w:sz w:val="30"/>
          <w:szCs w:val="30"/>
        </w:rPr>
        <w:t>2017</w:t>
      </w:r>
      <w:r>
        <w:rPr>
          <w:rFonts w:hint="eastAsia"/>
          <w:sz w:val="30"/>
          <w:szCs w:val="30"/>
        </w:rPr>
        <w:t>年减去</w:t>
      </w:r>
      <w:r>
        <w:rPr>
          <w:rFonts w:hint="eastAsia"/>
          <w:sz w:val="30"/>
          <w:szCs w:val="30"/>
        </w:rPr>
        <w:t>2016</w:t>
      </w:r>
      <w:r>
        <w:rPr>
          <w:rFonts w:hint="eastAsia"/>
          <w:sz w:val="30"/>
          <w:szCs w:val="30"/>
        </w:rPr>
        <w:t>年净利润的差额</w:t>
      </w:r>
      <w:r>
        <w:rPr>
          <w:rFonts w:hint="eastAsia"/>
          <w:sz w:val="30"/>
          <w:szCs w:val="30"/>
        </w:rPr>
        <w:t>2796325.08</w:t>
      </w:r>
      <w:r>
        <w:rPr>
          <w:rFonts w:hint="eastAsia"/>
          <w:sz w:val="30"/>
          <w:szCs w:val="30"/>
        </w:rPr>
        <w:t>元认定其损失。本院认为，上述两种侵权数额的计算方法过于简单、缺乏依据，即使李东泉等人利用职务便利侵害新元公司的事实存在，新元公司以行业平均利润率或净利润减少的计算公式倒推认定侵权数额显然不妥，该数额与侵权行</w:t>
      </w:r>
      <w:r>
        <w:rPr>
          <w:rFonts w:hint="eastAsia"/>
          <w:sz w:val="30"/>
          <w:szCs w:val="30"/>
        </w:rPr>
        <w:t>为实际造成损失之间并不存在必然的等同关系，新元公司以此为依据主张权利，证据不足，本院不予支持。</w:t>
      </w:r>
    </w:p>
    <w:p w:rsidR="00000000" w:rsidRDefault="006F24D5">
      <w:pPr>
        <w:spacing w:line="500" w:lineRule="atLeast"/>
        <w:ind w:firstLine="600"/>
        <w:divId w:val="1623610799"/>
        <w:rPr>
          <w:rFonts w:hint="eastAsia"/>
          <w:sz w:val="30"/>
          <w:szCs w:val="30"/>
        </w:rPr>
      </w:pPr>
      <w:r>
        <w:rPr>
          <w:rFonts w:hint="eastAsia"/>
          <w:sz w:val="30"/>
          <w:szCs w:val="30"/>
        </w:rPr>
        <w:t>综上，新元公司上诉请求不能成立，应予驳回。依照《中华人民共和国民事诉讼法》第一百七十条第一款第一项规定，判决如下：</w:t>
      </w:r>
    </w:p>
    <w:p w:rsidR="00000000" w:rsidRDefault="006F24D5">
      <w:pPr>
        <w:spacing w:line="500" w:lineRule="atLeast"/>
        <w:ind w:firstLine="600"/>
        <w:divId w:val="724765920"/>
        <w:rPr>
          <w:rFonts w:hint="eastAsia"/>
          <w:sz w:val="30"/>
          <w:szCs w:val="30"/>
        </w:rPr>
      </w:pPr>
      <w:r>
        <w:rPr>
          <w:rFonts w:hint="eastAsia"/>
          <w:sz w:val="30"/>
          <w:szCs w:val="30"/>
        </w:rPr>
        <w:t>驳回上诉，维持原判。</w:t>
      </w:r>
    </w:p>
    <w:p w:rsidR="00000000" w:rsidRDefault="006F24D5">
      <w:pPr>
        <w:spacing w:line="500" w:lineRule="atLeast"/>
        <w:ind w:firstLine="600"/>
        <w:divId w:val="1942250644"/>
        <w:rPr>
          <w:rFonts w:hint="eastAsia"/>
          <w:sz w:val="30"/>
          <w:szCs w:val="30"/>
        </w:rPr>
      </w:pPr>
      <w:r>
        <w:rPr>
          <w:rFonts w:hint="eastAsia"/>
          <w:sz w:val="30"/>
          <w:szCs w:val="30"/>
        </w:rPr>
        <w:t>二审案件受理费</w:t>
      </w:r>
      <w:r>
        <w:rPr>
          <w:rFonts w:hint="eastAsia"/>
          <w:sz w:val="30"/>
          <w:szCs w:val="30"/>
        </w:rPr>
        <w:t>66094</w:t>
      </w:r>
      <w:r>
        <w:rPr>
          <w:rFonts w:hint="eastAsia"/>
          <w:sz w:val="30"/>
          <w:szCs w:val="30"/>
        </w:rPr>
        <w:t>元，由山东山大新元易通信息科技有限公司负担。</w:t>
      </w:r>
    </w:p>
    <w:p w:rsidR="00000000" w:rsidRDefault="006F24D5">
      <w:pPr>
        <w:spacing w:line="500" w:lineRule="atLeast"/>
        <w:ind w:firstLine="600"/>
        <w:divId w:val="363018257"/>
        <w:rPr>
          <w:rFonts w:hint="eastAsia"/>
          <w:sz w:val="30"/>
          <w:szCs w:val="30"/>
        </w:rPr>
      </w:pPr>
      <w:r>
        <w:rPr>
          <w:rFonts w:hint="eastAsia"/>
          <w:sz w:val="30"/>
          <w:szCs w:val="30"/>
        </w:rPr>
        <w:t>本判决为终审判决。</w:t>
      </w:r>
    </w:p>
    <w:p w:rsidR="00000000" w:rsidRDefault="006F24D5">
      <w:pPr>
        <w:spacing w:line="500" w:lineRule="atLeast"/>
        <w:jc w:val="right"/>
        <w:divId w:val="202273356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刘培森</w:t>
      </w:r>
    </w:p>
    <w:p w:rsidR="00000000" w:rsidRDefault="006F24D5">
      <w:pPr>
        <w:spacing w:line="500" w:lineRule="atLeast"/>
        <w:jc w:val="right"/>
        <w:divId w:val="54580230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赵永先</w:t>
      </w:r>
    </w:p>
    <w:p w:rsidR="00000000" w:rsidRDefault="006F24D5">
      <w:pPr>
        <w:spacing w:line="500" w:lineRule="atLeast"/>
        <w:jc w:val="right"/>
        <w:divId w:val="146296153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李平公</w:t>
      </w:r>
    </w:p>
    <w:p w:rsidR="00000000" w:rsidRDefault="006F24D5">
      <w:pPr>
        <w:spacing w:line="500" w:lineRule="atLeast"/>
        <w:jc w:val="right"/>
        <w:divId w:val="2108311471"/>
        <w:rPr>
          <w:rFonts w:hint="eastAsia"/>
          <w:sz w:val="30"/>
          <w:szCs w:val="30"/>
        </w:rPr>
      </w:pPr>
      <w:r>
        <w:rPr>
          <w:rFonts w:hint="eastAsia"/>
          <w:sz w:val="30"/>
          <w:szCs w:val="30"/>
        </w:rPr>
        <w:t>二〇二〇年九月二日</w:t>
      </w:r>
    </w:p>
    <w:p w:rsidR="00000000" w:rsidRDefault="006F24D5">
      <w:pPr>
        <w:spacing w:line="500" w:lineRule="atLeast"/>
        <w:jc w:val="right"/>
        <w:divId w:val="465898725"/>
        <w:rPr>
          <w:rFonts w:hint="eastAsia"/>
          <w:sz w:val="30"/>
          <w:szCs w:val="30"/>
        </w:rPr>
      </w:pPr>
      <w:r>
        <w:rPr>
          <w:rFonts w:hint="eastAsia"/>
          <w:sz w:val="30"/>
          <w:szCs w:val="30"/>
        </w:rPr>
        <w:t>法官助理　葛保玉</w:t>
      </w:r>
    </w:p>
    <w:p w:rsidR="00000000" w:rsidRDefault="006F24D5">
      <w:pPr>
        <w:spacing w:line="500" w:lineRule="atLeast"/>
        <w:jc w:val="right"/>
        <w:divId w:val="79567861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高艳玲</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4D5" w:rsidRDefault="006F24D5" w:rsidP="006F24D5">
      <w:r>
        <w:separator/>
      </w:r>
    </w:p>
  </w:endnote>
  <w:endnote w:type="continuationSeparator" w:id="0">
    <w:p w:rsidR="006F24D5" w:rsidRDefault="006F24D5" w:rsidP="006F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4D5" w:rsidRDefault="006F24D5" w:rsidP="006F24D5">
      <w:r>
        <w:separator/>
      </w:r>
    </w:p>
  </w:footnote>
  <w:footnote w:type="continuationSeparator" w:id="0">
    <w:p w:rsidR="006F24D5" w:rsidRDefault="006F24D5" w:rsidP="006F24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24D5"/>
    <w:rsid w:val="006F2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F24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4D5"/>
    <w:rPr>
      <w:rFonts w:ascii="宋体" w:eastAsia="宋体" w:hAnsi="宋体" w:cs="宋体"/>
      <w:sz w:val="18"/>
      <w:szCs w:val="18"/>
    </w:rPr>
  </w:style>
  <w:style w:type="paragraph" w:styleId="a5">
    <w:name w:val="footer"/>
    <w:basedOn w:val="a"/>
    <w:link w:val="a6"/>
    <w:uiPriority w:val="99"/>
    <w:unhideWhenUsed/>
    <w:rsid w:val="006F24D5"/>
    <w:pPr>
      <w:tabs>
        <w:tab w:val="center" w:pos="4153"/>
        <w:tab w:val="right" w:pos="8306"/>
      </w:tabs>
      <w:snapToGrid w:val="0"/>
    </w:pPr>
    <w:rPr>
      <w:sz w:val="18"/>
      <w:szCs w:val="18"/>
    </w:rPr>
  </w:style>
  <w:style w:type="character" w:customStyle="1" w:styleId="a6">
    <w:name w:val="页脚 字符"/>
    <w:basedOn w:val="a0"/>
    <w:link w:val="a5"/>
    <w:uiPriority w:val="99"/>
    <w:rsid w:val="006F24D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7173">
      <w:marLeft w:val="0"/>
      <w:marRight w:val="0"/>
      <w:marTop w:val="10"/>
      <w:marBottom w:val="10"/>
      <w:divBdr>
        <w:top w:val="none" w:sz="0" w:space="0" w:color="auto"/>
        <w:left w:val="none" w:sz="0" w:space="0" w:color="auto"/>
        <w:bottom w:val="none" w:sz="0" w:space="0" w:color="auto"/>
        <w:right w:val="none" w:sz="0" w:space="0" w:color="auto"/>
      </w:divBdr>
    </w:div>
    <w:div w:id="92820420">
      <w:marLeft w:val="0"/>
      <w:marRight w:val="0"/>
      <w:marTop w:val="10"/>
      <w:marBottom w:val="10"/>
      <w:divBdr>
        <w:top w:val="none" w:sz="0" w:space="0" w:color="auto"/>
        <w:left w:val="none" w:sz="0" w:space="0" w:color="auto"/>
        <w:bottom w:val="none" w:sz="0" w:space="0" w:color="auto"/>
        <w:right w:val="none" w:sz="0" w:space="0" w:color="auto"/>
      </w:divBdr>
    </w:div>
    <w:div w:id="139617225">
      <w:marLeft w:val="0"/>
      <w:marRight w:val="0"/>
      <w:marTop w:val="10"/>
      <w:marBottom w:val="10"/>
      <w:divBdr>
        <w:top w:val="none" w:sz="0" w:space="0" w:color="auto"/>
        <w:left w:val="none" w:sz="0" w:space="0" w:color="auto"/>
        <w:bottom w:val="none" w:sz="0" w:space="0" w:color="auto"/>
        <w:right w:val="none" w:sz="0" w:space="0" w:color="auto"/>
      </w:divBdr>
    </w:div>
    <w:div w:id="167837931">
      <w:marLeft w:val="0"/>
      <w:marRight w:val="0"/>
      <w:marTop w:val="10"/>
      <w:marBottom w:val="10"/>
      <w:divBdr>
        <w:top w:val="none" w:sz="0" w:space="0" w:color="auto"/>
        <w:left w:val="none" w:sz="0" w:space="0" w:color="auto"/>
        <w:bottom w:val="none" w:sz="0" w:space="0" w:color="auto"/>
        <w:right w:val="none" w:sz="0" w:space="0" w:color="auto"/>
      </w:divBdr>
    </w:div>
    <w:div w:id="199365467">
      <w:marLeft w:val="0"/>
      <w:marRight w:val="0"/>
      <w:marTop w:val="10"/>
      <w:marBottom w:val="10"/>
      <w:divBdr>
        <w:top w:val="none" w:sz="0" w:space="0" w:color="auto"/>
        <w:left w:val="none" w:sz="0" w:space="0" w:color="auto"/>
        <w:bottom w:val="none" w:sz="0" w:space="0" w:color="auto"/>
        <w:right w:val="none" w:sz="0" w:space="0" w:color="auto"/>
      </w:divBdr>
    </w:div>
    <w:div w:id="213129648">
      <w:marLeft w:val="0"/>
      <w:marRight w:val="0"/>
      <w:marTop w:val="10"/>
      <w:marBottom w:val="10"/>
      <w:divBdr>
        <w:top w:val="none" w:sz="0" w:space="0" w:color="auto"/>
        <w:left w:val="none" w:sz="0" w:space="0" w:color="auto"/>
        <w:bottom w:val="none" w:sz="0" w:space="0" w:color="auto"/>
        <w:right w:val="none" w:sz="0" w:space="0" w:color="auto"/>
      </w:divBdr>
    </w:div>
    <w:div w:id="216673205">
      <w:marLeft w:val="0"/>
      <w:marRight w:val="0"/>
      <w:marTop w:val="10"/>
      <w:marBottom w:val="10"/>
      <w:divBdr>
        <w:top w:val="none" w:sz="0" w:space="0" w:color="auto"/>
        <w:left w:val="none" w:sz="0" w:space="0" w:color="auto"/>
        <w:bottom w:val="none" w:sz="0" w:space="0" w:color="auto"/>
        <w:right w:val="none" w:sz="0" w:space="0" w:color="auto"/>
      </w:divBdr>
    </w:div>
    <w:div w:id="283538741">
      <w:marLeft w:val="0"/>
      <w:marRight w:val="0"/>
      <w:marTop w:val="10"/>
      <w:marBottom w:val="10"/>
      <w:divBdr>
        <w:top w:val="none" w:sz="0" w:space="0" w:color="auto"/>
        <w:left w:val="none" w:sz="0" w:space="0" w:color="auto"/>
        <w:bottom w:val="none" w:sz="0" w:space="0" w:color="auto"/>
        <w:right w:val="none" w:sz="0" w:space="0" w:color="auto"/>
      </w:divBdr>
    </w:div>
    <w:div w:id="363018257">
      <w:marLeft w:val="0"/>
      <w:marRight w:val="0"/>
      <w:marTop w:val="10"/>
      <w:marBottom w:val="10"/>
      <w:divBdr>
        <w:top w:val="none" w:sz="0" w:space="0" w:color="auto"/>
        <w:left w:val="none" w:sz="0" w:space="0" w:color="auto"/>
        <w:bottom w:val="none" w:sz="0" w:space="0" w:color="auto"/>
        <w:right w:val="none" w:sz="0" w:space="0" w:color="auto"/>
      </w:divBdr>
    </w:div>
    <w:div w:id="386731265">
      <w:marLeft w:val="0"/>
      <w:marRight w:val="0"/>
      <w:marTop w:val="10"/>
      <w:marBottom w:val="10"/>
      <w:divBdr>
        <w:top w:val="none" w:sz="0" w:space="0" w:color="auto"/>
        <w:left w:val="none" w:sz="0" w:space="0" w:color="auto"/>
        <w:bottom w:val="none" w:sz="0" w:space="0" w:color="auto"/>
        <w:right w:val="none" w:sz="0" w:space="0" w:color="auto"/>
      </w:divBdr>
    </w:div>
    <w:div w:id="409621756">
      <w:marLeft w:val="0"/>
      <w:marRight w:val="0"/>
      <w:marTop w:val="10"/>
      <w:marBottom w:val="10"/>
      <w:divBdr>
        <w:top w:val="none" w:sz="0" w:space="0" w:color="auto"/>
        <w:left w:val="none" w:sz="0" w:space="0" w:color="auto"/>
        <w:bottom w:val="none" w:sz="0" w:space="0" w:color="auto"/>
        <w:right w:val="none" w:sz="0" w:space="0" w:color="auto"/>
      </w:divBdr>
    </w:div>
    <w:div w:id="411052856">
      <w:marLeft w:val="0"/>
      <w:marRight w:val="0"/>
      <w:marTop w:val="10"/>
      <w:marBottom w:val="10"/>
      <w:divBdr>
        <w:top w:val="none" w:sz="0" w:space="0" w:color="auto"/>
        <w:left w:val="none" w:sz="0" w:space="0" w:color="auto"/>
        <w:bottom w:val="none" w:sz="0" w:space="0" w:color="auto"/>
        <w:right w:val="none" w:sz="0" w:space="0" w:color="auto"/>
      </w:divBdr>
    </w:div>
    <w:div w:id="456919164">
      <w:marLeft w:val="0"/>
      <w:marRight w:val="0"/>
      <w:marTop w:val="10"/>
      <w:marBottom w:val="10"/>
      <w:divBdr>
        <w:top w:val="none" w:sz="0" w:space="0" w:color="auto"/>
        <w:left w:val="none" w:sz="0" w:space="0" w:color="auto"/>
        <w:bottom w:val="none" w:sz="0" w:space="0" w:color="auto"/>
        <w:right w:val="none" w:sz="0" w:space="0" w:color="auto"/>
      </w:divBdr>
    </w:div>
    <w:div w:id="462430386">
      <w:marLeft w:val="0"/>
      <w:marRight w:val="0"/>
      <w:marTop w:val="10"/>
      <w:marBottom w:val="10"/>
      <w:divBdr>
        <w:top w:val="none" w:sz="0" w:space="0" w:color="auto"/>
        <w:left w:val="none" w:sz="0" w:space="0" w:color="auto"/>
        <w:bottom w:val="none" w:sz="0" w:space="0" w:color="auto"/>
        <w:right w:val="none" w:sz="0" w:space="0" w:color="auto"/>
      </w:divBdr>
    </w:div>
    <w:div w:id="465898725">
      <w:marLeft w:val="0"/>
      <w:marRight w:val="720"/>
      <w:marTop w:val="10"/>
      <w:marBottom w:val="10"/>
      <w:divBdr>
        <w:top w:val="none" w:sz="0" w:space="0" w:color="auto"/>
        <w:left w:val="none" w:sz="0" w:space="0" w:color="auto"/>
        <w:bottom w:val="none" w:sz="0" w:space="0" w:color="auto"/>
        <w:right w:val="none" w:sz="0" w:space="0" w:color="auto"/>
      </w:divBdr>
    </w:div>
    <w:div w:id="488713967">
      <w:marLeft w:val="0"/>
      <w:marRight w:val="0"/>
      <w:marTop w:val="10"/>
      <w:marBottom w:val="10"/>
      <w:divBdr>
        <w:top w:val="none" w:sz="0" w:space="0" w:color="auto"/>
        <w:left w:val="none" w:sz="0" w:space="0" w:color="auto"/>
        <w:bottom w:val="none" w:sz="0" w:space="0" w:color="auto"/>
        <w:right w:val="none" w:sz="0" w:space="0" w:color="auto"/>
      </w:divBdr>
    </w:div>
    <w:div w:id="518857232">
      <w:marLeft w:val="0"/>
      <w:marRight w:val="0"/>
      <w:marTop w:val="10"/>
      <w:marBottom w:val="10"/>
      <w:divBdr>
        <w:top w:val="none" w:sz="0" w:space="0" w:color="auto"/>
        <w:left w:val="none" w:sz="0" w:space="0" w:color="auto"/>
        <w:bottom w:val="none" w:sz="0" w:space="0" w:color="auto"/>
        <w:right w:val="none" w:sz="0" w:space="0" w:color="auto"/>
      </w:divBdr>
    </w:div>
    <w:div w:id="545802304">
      <w:marLeft w:val="0"/>
      <w:marRight w:val="720"/>
      <w:marTop w:val="10"/>
      <w:marBottom w:val="10"/>
      <w:divBdr>
        <w:top w:val="none" w:sz="0" w:space="0" w:color="auto"/>
        <w:left w:val="none" w:sz="0" w:space="0" w:color="auto"/>
        <w:bottom w:val="none" w:sz="0" w:space="0" w:color="auto"/>
        <w:right w:val="none" w:sz="0" w:space="0" w:color="auto"/>
      </w:divBdr>
    </w:div>
    <w:div w:id="554704182">
      <w:marLeft w:val="0"/>
      <w:marRight w:val="0"/>
      <w:marTop w:val="10"/>
      <w:marBottom w:val="10"/>
      <w:divBdr>
        <w:top w:val="none" w:sz="0" w:space="0" w:color="auto"/>
        <w:left w:val="none" w:sz="0" w:space="0" w:color="auto"/>
        <w:bottom w:val="none" w:sz="0" w:space="0" w:color="auto"/>
        <w:right w:val="none" w:sz="0" w:space="0" w:color="auto"/>
      </w:divBdr>
    </w:div>
    <w:div w:id="574321396">
      <w:marLeft w:val="0"/>
      <w:marRight w:val="0"/>
      <w:marTop w:val="10"/>
      <w:marBottom w:val="10"/>
      <w:divBdr>
        <w:top w:val="none" w:sz="0" w:space="0" w:color="auto"/>
        <w:left w:val="none" w:sz="0" w:space="0" w:color="auto"/>
        <w:bottom w:val="none" w:sz="0" w:space="0" w:color="auto"/>
        <w:right w:val="none" w:sz="0" w:space="0" w:color="auto"/>
      </w:divBdr>
    </w:div>
    <w:div w:id="583145554">
      <w:marLeft w:val="0"/>
      <w:marRight w:val="0"/>
      <w:marTop w:val="10"/>
      <w:marBottom w:val="10"/>
      <w:divBdr>
        <w:top w:val="none" w:sz="0" w:space="0" w:color="auto"/>
        <w:left w:val="none" w:sz="0" w:space="0" w:color="auto"/>
        <w:bottom w:val="none" w:sz="0" w:space="0" w:color="auto"/>
        <w:right w:val="none" w:sz="0" w:space="0" w:color="auto"/>
      </w:divBdr>
    </w:div>
    <w:div w:id="596059542">
      <w:marLeft w:val="0"/>
      <w:marRight w:val="0"/>
      <w:marTop w:val="10"/>
      <w:marBottom w:val="10"/>
      <w:divBdr>
        <w:top w:val="none" w:sz="0" w:space="0" w:color="auto"/>
        <w:left w:val="none" w:sz="0" w:space="0" w:color="auto"/>
        <w:bottom w:val="none" w:sz="0" w:space="0" w:color="auto"/>
        <w:right w:val="none" w:sz="0" w:space="0" w:color="auto"/>
      </w:divBdr>
    </w:div>
    <w:div w:id="656423574">
      <w:marLeft w:val="0"/>
      <w:marRight w:val="0"/>
      <w:marTop w:val="10"/>
      <w:marBottom w:val="10"/>
      <w:divBdr>
        <w:top w:val="none" w:sz="0" w:space="0" w:color="auto"/>
        <w:left w:val="none" w:sz="0" w:space="0" w:color="auto"/>
        <w:bottom w:val="none" w:sz="0" w:space="0" w:color="auto"/>
        <w:right w:val="none" w:sz="0" w:space="0" w:color="auto"/>
      </w:divBdr>
    </w:div>
    <w:div w:id="724765920">
      <w:marLeft w:val="0"/>
      <w:marRight w:val="0"/>
      <w:marTop w:val="10"/>
      <w:marBottom w:val="10"/>
      <w:divBdr>
        <w:top w:val="none" w:sz="0" w:space="0" w:color="auto"/>
        <w:left w:val="none" w:sz="0" w:space="0" w:color="auto"/>
        <w:bottom w:val="none" w:sz="0" w:space="0" w:color="auto"/>
        <w:right w:val="none" w:sz="0" w:space="0" w:color="auto"/>
      </w:divBdr>
    </w:div>
    <w:div w:id="740255684">
      <w:marLeft w:val="0"/>
      <w:marRight w:val="0"/>
      <w:marTop w:val="10"/>
      <w:marBottom w:val="10"/>
      <w:divBdr>
        <w:top w:val="none" w:sz="0" w:space="0" w:color="auto"/>
        <w:left w:val="none" w:sz="0" w:space="0" w:color="auto"/>
        <w:bottom w:val="none" w:sz="0" w:space="0" w:color="auto"/>
        <w:right w:val="none" w:sz="0" w:space="0" w:color="auto"/>
      </w:divBdr>
    </w:div>
    <w:div w:id="752433986">
      <w:marLeft w:val="0"/>
      <w:marRight w:val="0"/>
      <w:marTop w:val="10"/>
      <w:marBottom w:val="10"/>
      <w:divBdr>
        <w:top w:val="none" w:sz="0" w:space="0" w:color="auto"/>
        <w:left w:val="none" w:sz="0" w:space="0" w:color="auto"/>
        <w:bottom w:val="none" w:sz="0" w:space="0" w:color="auto"/>
        <w:right w:val="none" w:sz="0" w:space="0" w:color="auto"/>
      </w:divBdr>
    </w:div>
    <w:div w:id="795678612">
      <w:marLeft w:val="0"/>
      <w:marRight w:val="720"/>
      <w:marTop w:val="10"/>
      <w:marBottom w:val="10"/>
      <w:divBdr>
        <w:top w:val="none" w:sz="0" w:space="0" w:color="auto"/>
        <w:left w:val="none" w:sz="0" w:space="0" w:color="auto"/>
        <w:bottom w:val="none" w:sz="0" w:space="0" w:color="auto"/>
        <w:right w:val="none" w:sz="0" w:space="0" w:color="auto"/>
      </w:divBdr>
    </w:div>
    <w:div w:id="988247893">
      <w:marLeft w:val="0"/>
      <w:marRight w:val="0"/>
      <w:marTop w:val="10"/>
      <w:marBottom w:val="10"/>
      <w:divBdr>
        <w:top w:val="none" w:sz="0" w:space="0" w:color="auto"/>
        <w:left w:val="none" w:sz="0" w:space="0" w:color="auto"/>
        <w:bottom w:val="none" w:sz="0" w:space="0" w:color="auto"/>
        <w:right w:val="none" w:sz="0" w:space="0" w:color="auto"/>
      </w:divBdr>
    </w:div>
    <w:div w:id="990060507">
      <w:marLeft w:val="0"/>
      <w:marRight w:val="0"/>
      <w:marTop w:val="10"/>
      <w:marBottom w:val="10"/>
      <w:divBdr>
        <w:top w:val="none" w:sz="0" w:space="0" w:color="auto"/>
        <w:left w:val="none" w:sz="0" w:space="0" w:color="auto"/>
        <w:bottom w:val="none" w:sz="0" w:space="0" w:color="auto"/>
        <w:right w:val="none" w:sz="0" w:space="0" w:color="auto"/>
      </w:divBdr>
    </w:div>
    <w:div w:id="1106844939">
      <w:marLeft w:val="0"/>
      <w:marRight w:val="0"/>
      <w:marTop w:val="10"/>
      <w:marBottom w:val="10"/>
      <w:divBdr>
        <w:top w:val="none" w:sz="0" w:space="0" w:color="auto"/>
        <w:left w:val="none" w:sz="0" w:space="0" w:color="auto"/>
        <w:bottom w:val="none" w:sz="0" w:space="0" w:color="auto"/>
        <w:right w:val="none" w:sz="0" w:space="0" w:color="auto"/>
      </w:divBdr>
    </w:div>
    <w:div w:id="1109663238">
      <w:marLeft w:val="0"/>
      <w:marRight w:val="0"/>
      <w:marTop w:val="10"/>
      <w:marBottom w:val="10"/>
      <w:divBdr>
        <w:top w:val="none" w:sz="0" w:space="0" w:color="auto"/>
        <w:left w:val="none" w:sz="0" w:space="0" w:color="auto"/>
        <w:bottom w:val="none" w:sz="0" w:space="0" w:color="auto"/>
        <w:right w:val="none" w:sz="0" w:space="0" w:color="auto"/>
      </w:divBdr>
    </w:div>
    <w:div w:id="1229535128">
      <w:marLeft w:val="0"/>
      <w:marRight w:val="0"/>
      <w:marTop w:val="10"/>
      <w:marBottom w:val="10"/>
      <w:divBdr>
        <w:top w:val="none" w:sz="0" w:space="0" w:color="auto"/>
        <w:left w:val="none" w:sz="0" w:space="0" w:color="auto"/>
        <w:bottom w:val="none" w:sz="0" w:space="0" w:color="auto"/>
        <w:right w:val="none" w:sz="0" w:space="0" w:color="auto"/>
      </w:divBdr>
    </w:div>
    <w:div w:id="1261062517">
      <w:marLeft w:val="0"/>
      <w:marRight w:val="0"/>
      <w:marTop w:val="10"/>
      <w:marBottom w:val="10"/>
      <w:divBdr>
        <w:top w:val="none" w:sz="0" w:space="0" w:color="auto"/>
        <w:left w:val="none" w:sz="0" w:space="0" w:color="auto"/>
        <w:bottom w:val="none" w:sz="0" w:space="0" w:color="auto"/>
        <w:right w:val="none" w:sz="0" w:space="0" w:color="auto"/>
      </w:divBdr>
    </w:div>
    <w:div w:id="1281037768">
      <w:marLeft w:val="0"/>
      <w:marRight w:val="0"/>
      <w:marTop w:val="10"/>
      <w:marBottom w:val="10"/>
      <w:divBdr>
        <w:top w:val="none" w:sz="0" w:space="0" w:color="auto"/>
        <w:left w:val="none" w:sz="0" w:space="0" w:color="auto"/>
        <w:bottom w:val="none" w:sz="0" w:space="0" w:color="auto"/>
        <w:right w:val="none" w:sz="0" w:space="0" w:color="auto"/>
      </w:divBdr>
    </w:div>
    <w:div w:id="1343970630">
      <w:marLeft w:val="0"/>
      <w:marRight w:val="0"/>
      <w:marTop w:val="10"/>
      <w:marBottom w:val="10"/>
      <w:divBdr>
        <w:top w:val="none" w:sz="0" w:space="0" w:color="auto"/>
        <w:left w:val="none" w:sz="0" w:space="0" w:color="auto"/>
        <w:bottom w:val="none" w:sz="0" w:space="0" w:color="auto"/>
        <w:right w:val="none" w:sz="0" w:space="0" w:color="auto"/>
      </w:divBdr>
    </w:div>
    <w:div w:id="1375621816">
      <w:marLeft w:val="0"/>
      <w:marRight w:val="0"/>
      <w:marTop w:val="10"/>
      <w:marBottom w:val="10"/>
      <w:divBdr>
        <w:top w:val="none" w:sz="0" w:space="0" w:color="auto"/>
        <w:left w:val="none" w:sz="0" w:space="0" w:color="auto"/>
        <w:bottom w:val="none" w:sz="0" w:space="0" w:color="auto"/>
        <w:right w:val="none" w:sz="0" w:space="0" w:color="auto"/>
      </w:divBdr>
    </w:div>
    <w:div w:id="1389842000">
      <w:marLeft w:val="0"/>
      <w:marRight w:val="0"/>
      <w:marTop w:val="10"/>
      <w:marBottom w:val="10"/>
      <w:divBdr>
        <w:top w:val="none" w:sz="0" w:space="0" w:color="auto"/>
        <w:left w:val="none" w:sz="0" w:space="0" w:color="auto"/>
        <w:bottom w:val="none" w:sz="0" w:space="0" w:color="auto"/>
        <w:right w:val="none" w:sz="0" w:space="0" w:color="auto"/>
      </w:divBdr>
    </w:div>
    <w:div w:id="1403944625">
      <w:marLeft w:val="0"/>
      <w:marRight w:val="0"/>
      <w:marTop w:val="10"/>
      <w:marBottom w:val="10"/>
      <w:divBdr>
        <w:top w:val="none" w:sz="0" w:space="0" w:color="auto"/>
        <w:left w:val="none" w:sz="0" w:space="0" w:color="auto"/>
        <w:bottom w:val="none" w:sz="0" w:space="0" w:color="auto"/>
        <w:right w:val="none" w:sz="0" w:space="0" w:color="auto"/>
      </w:divBdr>
    </w:div>
    <w:div w:id="1462961536">
      <w:marLeft w:val="0"/>
      <w:marRight w:val="720"/>
      <w:marTop w:val="10"/>
      <w:marBottom w:val="10"/>
      <w:divBdr>
        <w:top w:val="none" w:sz="0" w:space="0" w:color="auto"/>
        <w:left w:val="none" w:sz="0" w:space="0" w:color="auto"/>
        <w:bottom w:val="none" w:sz="0" w:space="0" w:color="auto"/>
        <w:right w:val="none" w:sz="0" w:space="0" w:color="auto"/>
      </w:divBdr>
    </w:div>
    <w:div w:id="1494444347">
      <w:marLeft w:val="0"/>
      <w:marRight w:val="0"/>
      <w:marTop w:val="10"/>
      <w:marBottom w:val="10"/>
      <w:divBdr>
        <w:top w:val="none" w:sz="0" w:space="0" w:color="auto"/>
        <w:left w:val="none" w:sz="0" w:space="0" w:color="auto"/>
        <w:bottom w:val="none" w:sz="0" w:space="0" w:color="auto"/>
        <w:right w:val="none" w:sz="0" w:space="0" w:color="auto"/>
      </w:divBdr>
    </w:div>
    <w:div w:id="1511797355">
      <w:marLeft w:val="0"/>
      <w:marRight w:val="0"/>
      <w:marTop w:val="10"/>
      <w:marBottom w:val="10"/>
      <w:divBdr>
        <w:top w:val="none" w:sz="0" w:space="0" w:color="auto"/>
        <w:left w:val="none" w:sz="0" w:space="0" w:color="auto"/>
        <w:bottom w:val="none" w:sz="0" w:space="0" w:color="auto"/>
        <w:right w:val="none" w:sz="0" w:space="0" w:color="auto"/>
      </w:divBdr>
    </w:div>
    <w:div w:id="1623610799">
      <w:marLeft w:val="0"/>
      <w:marRight w:val="0"/>
      <w:marTop w:val="10"/>
      <w:marBottom w:val="10"/>
      <w:divBdr>
        <w:top w:val="none" w:sz="0" w:space="0" w:color="auto"/>
        <w:left w:val="none" w:sz="0" w:space="0" w:color="auto"/>
        <w:bottom w:val="none" w:sz="0" w:space="0" w:color="auto"/>
        <w:right w:val="none" w:sz="0" w:space="0" w:color="auto"/>
      </w:divBdr>
    </w:div>
    <w:div w:id="1748064937">
      <w:marLeft w:val="0"/>
      <w:marRight w:val="0"/>
      <w:marTop w:val="10"/>
      <w:marBottom w:val="10"/>
      <w:divBdr>
        <w:top w:val="none" w:sz="0" w:space="0" w:color="auto"/>
        <w:left w:val="none" w:sz="0" w:space="0" w:color="auto"/>
        <w:bottom w:val="none" w:sz="0" w:space="0" w:color="auto"/>
        <w:right w:val="none" w:sz="0" w:space="0" w:color="auto"/>
      </w:divBdr>
    </w:div>
    <w:div w:id="1829128516">
      <w:marLeft w:val="0"/>
      <w:marRight w:val="0"/>
      <w:marTop w:val="10"/>
      <w:marBottom w:val="10"/>
      <w:divBdr>
        <w:top w:val="none" w:sz="0" w:space="0" w:color="auto"/>
        <w:left w:val="none" w:sz="0" w:space="0" w:color="auto"/>
        <w:bottom w:val="none" w:sz="0" w:space="0" w:color="auto"/>
        <w:right w:val="none" w:sz="0" w:space="0" w:color="auto"/>
      </w:divBdr>
    </w:div>
    <w:div w:id="1884363072">
      <w:marLeft w:val="0"/>
      <w:marRight w:val="0"/>
      <w:marTop w:val="10"/>
      <w:marBottom w:val="10"/>
      <w:divBdr>
        <w:top w:val="none" w:sz="0" w:space="0" w:color="auto"/>
        <w:left w:val="none" w:sz="0" w:space="0" w:color="auto"/>
        <w:bottom w:val="none" w:sz="0" w:space="0" w:color="auto"/>
        <w:right w:val="none" w:sz="0" w:space="0" w:color="auto"/>
      </w:divBdr>
    </w:div>
    <w:div w:id="1942250644">
      <w:marLeft w:val="0"/>
      <w:marRight w:val="0"/>
      <w:marTop w:val="10"/>
      <w:marBottom w:val="10"/>
      <w:divBdr>
        <w:top w:val="none" w:sz="0" w:space="0" w:color="auto"/>
        <w:left w:val="none" w:sz="0" w:space="0" w:color="auto"/>
        <w:bottom w:val="none" w:sz="0" w:space="0" w:color="auto"/>
        <w:right w:val="none" w:sz="0" w:space="0" w:color="auto"/>
      </w:divBdr>
    </w:div>
    <w:div w:id="1972127628">
      <w:marLeft w:val="0"/>
      <w:marRight w:val="0"/>
      <w:marTop w:val="10"/>
      <w:marBottom w:val="10"/>
      <w:divBdr>
        <w:top w:val="none" w:sz="0" w:space="0" w:color="auto"/>
        <w:left w:val="none" w:sz="0" w:space="0" w:color="auto"/>
        <w:bottom w:val="none" w:sz="0" w:space="0" w:color="auto"/>
        <w:right w:val="none" w:sz="0" w:space="0" w:color="auto"/>
      </w:divBdr>
    </w:div>
    <w:div w:id="2022733563">
      <w:marLeft w:val="0"/>
      <w:marRight w:val="720"/>
      <w:marTop w:val="10"/>
      <w:marBottom w:val="10"/>
      <w:divBdr>
        <w:top w:val="none" w:sz="0" w:space="0" w:color="auto"/>
        <w:left w:val="none" w:sz="0" w:space="0" w:color="auto"/>
        <w:bottom w:val="none" w:sz="0" w:space="0" w:color="auto"/>
        <w:right w:val="none" w:sz="0" w:space="0" w:color="auto"/>
      </w:divBdr>
    </w:div>
    <w:div w:id="2032100540">
      <w:marLeft w:val="0"/>
      <w:marRight w:val="0"/>
      <w:marTop w:val="10"/>
      <w:marBottom w:val="10"/>
      <w:divBdr>
        <w:top w:val="none" w:sz="0" w:space="0" w:color="auto"/>
        <w:left w:val="none" w:sz="0" w:space="0" w:color="auto"/>
        <w:bottom w:val="none" w:sz="0" w:space="0" w:color="auto"/>
        <w:right w:val="none" w:sz="0" w:space="0" w:color="auto"/>
      </w:divBdr>
    </w:div>
    <w:div w:id="2037268214">
      <w:marLeft w:val="0"/>
      <w:marRight w:val="0"/>
      <w:marTop w:val="10"/>
      <w:marBottom w:val="10"/>
      <w:divBdr>
        <w:top w:val="none" w:sz="0" w:space="0" w:color="auto"/>
        <w:left w:val="none" w:sz="0" w:space="0" w:color="auto"/>
        <w:bottom w:val="none" w:sz="0" w:space="0" w:color="auto"/>
        <w:right w:val="none" w:sz="0" w:space="0" w:color="auto"/>
      </w:divBdr>
    </w:div>
    <w:div w:id="2043748768">
      <w:marLeft w:val="0"/>
      <w:marRight w:val="0"/>
      <w:marTop w:val="10"/>
      <w:marBottom w:val="10"/>
      <w:divBdr>
        <w:top w:val="none" w:sz="0" w:space="0" w:color="auto"/>
        <w:left w:val="none" w:sz="0" w:space="0" w:color="auto"/>
        <w:bottom w:val="none" w:sz="0" w:space="0" w:color="auto"/>
        <w:right w:val="none" w:sz="0" w:space="0" w:color="auto"/>
      </w:divBdr>
    </w:div>
    <w:div w:id="2069767666">
      <w:marLeft w:val="0"/>
      <w:marRight w:val="0"/>
      <w:marTop w:val="10"/>
      <w:marBottom w:val="10"/>
      <w:divBdr>
        <w:top w:val="none" w:sz="0" w:space="0" w:color="auto"/>
        <w:left w:val="none" w:sz="0" w:space="0" w:color="auto"/>
        <w:bottom w:val="none" w:sz="0" w:space="0" w:color="auto"/>
        <w:right w:val="none" w:sz="0" w:space="0" w:color="auto"/>
      </w:divBdr>
    </w:div>
    <w:div w:id="210831147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