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D6425">
      <w:pPr>
        <w:spacing w:line="500" w:lineRule="atLeast"/>
        <w:jc w:val="center"/>
        <w:divId w:val="2053577149"/>
        <w:rPr>
          <w:rFonts w:ascii="黑体" w:eastAsia="黑体" w:hAnsi="黑体"/>
          <w:sz w:val="36"/>
          <w:szCs w:val="36"/>
        </w:rPr>
      </w:pPr>
      <w:bookmarkStart w:id="0" w:name="_GoBack"/>
      <w:bookmarkEnd w:id="0"/>
      <w:r>
        <w:rPr>
          <w:rFonts w:ascii="黑体" w:eastAsia="黑体" w:hAnsi="黑体" w:hint="eastAsia"/>
          <w:sz w:val="36"/>
          <w:szCs w:val="36"/>
        </w:rPr>
        <w:t>江苏省苏州市中级人民法院</w:t>
      </w:r>
    </w:p>
    <w:p w:rsidR="00000000" w:rsidRDefault="000D6425">
      <w:pPr>
        <w:spacing w:line="500" w:lineRule="atLeast"/>
        <w:jc w:val="center"/>
        <w:divId w:val="4175198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D6425">
      <w:pPr>
        <w:spacing w:line="500" w:lineRule="atLeast"/>
        <w:jc w:val="right"/>
        <w:divId w:val="902182277"/>
        <w:rPr>
          <w:rFonts w:hint="eastAsia"/>
          <w:sz w:val="30"/>
          <w:szCs w:val="30"/>
        </w:rPr>
      </w:pPr>
      <w:r>
        <w:rPr>
          <w:rFonts w:hint="eastAsia"/>
          <w:sz w:val="30"/>
          <w:szCs w:val="30"/>
        </w:rPr>
        <w:t>（</w:t>
      </w:r>
      <w:r>
        <w:rPr>
          <w:rFonts w:hint="eastAsia"/>
          <w:sz w:val="30"/>
          <w:szCs w:val="30"/>
        </w:rPr>
        <w:t>2019</w:t>
      </w:r>
      <w:r>
        <w:rPr>
          <w:rFonts w:hint="eastAsia"/>
          <w:sz w:val="30"/>
          <w:szCs w:val="30"/>
        </w:rPr>
        <w:t>）苏</w:t>
      </w:r>
      <w:r>
        <w:rPr>
          <w:rFonts w:hint="eastAsia"/>
          <w:sz w:val="30"/>
          <w:szCs w:val="30"/>
        </w:rPr>
        <w:t>05</w:t>
      </w:r>
      <w:r>
        <w:rPr>
          <w:rFonts w:hint="eastAsia"/>
          <w:sz w:val="30"/>
          <w:szCs w:val="30"/>
        </w:rPr>
        <w:t>民终</w:t>
      </w:r>
      <w:r>
        <w:rPr>
          <w:rFonts w:hint="eastAsia"/>
          <w:sz w:val="30"/>
          <w:szCs w:val="30"/>
        </w:rPr>
        <w:t>5650</w:t>
      </w:r>
      <w:r>
        <w:rPr>
          <w:rFonts w:hint="eastAsia"/>
          <w:sz w:val="30"/>
          <w:szCs w:val="30"/>
        </w:rPr>
        <w:t>号</w:t>
      </w:r>
    </w:p>
    <w:p w:rsidR="00000000" w:rsidRDefault="000D6425">
      <w:pPr>
        <w:spacing w:line="500" w:lineRule="atLeast"/>
        <w:ind w:firstLine="600"/>
        <w:divId w:val="1211770421"/>
        <w:rPr>
          <w:rFonts w:hint="eastAsia"/>
          <w:sz w:val="30"/>
          <w:szCs w:val="30"/>
        </w:rPr>
      </w:pPr>
      <w:r>
        <w:rPr>
          <w:rFonts w:hint="eastAsia"/>
          <w:sz w:val="30"/>
          <w:szCs w:val="30"/>
        </w:rPr>
        <w:t>上诉人（原审被告）：任锋，男，</w:t>
      </w:r>
      <w:r>
        <w:rPr>
          <w:rFonts w:hint="eastAsia"/>
          <w:sz w:val="30"/>
          <w:szCs w:val="30"/>
        </w:rPr>
        <w:t>1980</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日出生，汉族，住苏州市。</w:t>
      </w:r>
    </w:p>
    <w:p w:rsidR="00000000" w:rsidRDefault="000D6425">
      <w:pPr>
        <w:spacing w:line="500" w:lineRule="atLeast"/>
        <w:ind w:firstLine="600"/>
        <w:divId w:val="1566447481"/>
        <w:rPr>
          <w:rFonts w:hint="eastAsia"/>
          <w:sz w:val="30"/>
          <w:szCs w:val="30"/>
        </w:rPr>
      </w:pPr>
      <w:r>
        <w:rPr>
          <w:rFonts w:hint="eastAsia"/>
          <w:sz w:val="30"/>
          <w:szCs w:val="30"/>
        </w:rPr>
        <w:t>委托诉讼代理人：王刃，江苏新天伦律师事务所律师。</w:t>
      </w:r>
    </w:p>
    <w:p w:rsidR="00000000" w:rsidRDefault="000D6425">
      <w:pPr>
        <w:spacing w:line="500" w:lineRule="atLeast"/>
        <w:ind w:firstLine="600"/>
        <w:divId w:val="235819488"/>
        <w:rPr>
          <w:rFonts w:hint="eastAsia"/>
          <w:sz w:val="30"/>
          <w:szCs w:val="30"/>
        </w:rPr>
      </w:pPr>
      <w:r>
        <w:rPr>
          <w:rFonts w:hint="eastAsia"/>
          <w:sz w:val="30"/>
          <w:szCs w:val="30"/>
        </w:rPr>
        <w:t>委托诉讼代理人：丁杰，江苏新天伦律师事务所律师。</w:t>
      </w:r>
    </w:p>
    <w:p w:rsidR="00000000" w:rsidRDefault="000D6425">
      <w:pPr>
        <w:spacing w:line="500" w:lineRule="atLeast"/>
        <w:ind w:firstLine="600"/>
        <w:divId w:val="732703372"/>
        <w:rPr>
          <w:rFonts w:hint="eastAsia"/>
          <w:sz w:val="30"/>
          <w:szCs w:val="30"/>
        </w:rPr>
      </w:pPr>
      <w:r>
        <w:rPr>
          <w:rFonts w:hint="eastAsia"/>
          <w:sz w:val="30"/>
          <w:szCs w:val="30"/>
        </w:rPr>
        <w:t>上诉人（原审被告）：苏州佳祺仕信息科技有限公司，住所地苏州高新区昆仑山路</w:t>
      </w:r>
      <w:r>
        <w:rPr>
          <w:rFonts w:hint="eastAsia"/>
          <w:sz w:val="30"/>
          <w:szCs w:val="30"/>
        </w:rPr>
        <w:t>2</w:t>
      </w:r>
      <w:r>
        <w:rPr>
          <w:rFonts w:hint="eastAsia"/>
          <w:sz w:val="30"/>
          <w:szCs w:val="30"/>
        </w:rPr>
        <w:t>号。</w:t>
      </w:r>
    </w:p>
    <w:p w:rsidR="00000000" w:rsidRDefault="000D6425">
      <w:pPr>
        <w:spacing w:line="500" w:lineRule="atLeast"/>
        <w:ind w:firstLine="600"/>
        <w:divId w:val="1296987323"/>
        <w:rPr>
          <w:rFonts w:hint="eastAsia"/>
          <w:sz w:val="30"/>
          <w:szCs w:val="30"/>
        </w:rPr>
      </w:pPr>
      <w:r>
        <w:rPr>
          <w:rFonts w:hint="eastAsia"/>
          <w:sz w:val="30"/>
          <w:szCs w:val="30"/>
        </w:rPr>
        <w:t>法定代表人：任锋，该公司董事长。</w:t>
      </w:r>
    </w:p>
    <w:p w:rsidR="00000000" w:rsidRDefault="000D6425">
      <w:pPr>
        <w:spacing w:line="500" w:lineRule="atLeast"/>
        <w:ind w:firstLine="600"/>
        <w:divId w:val="1408380200"/>
        <w:rPr>
          <w:rFonts w:hint="eastAsia"/>
          <w:sz w:val="30"/>
          <w:szCs w:val="30"/>
        </w:rPr>
      </w:pPr>
      <w:r>
        <w:rPr>
          <w:rFonts w:hint="eastAsia"/>
          <w:sz w:val="30"/>
          <w:szCs w:val="30"/>
        </w:rPr>
        <w:t>委托诉讼代理人：王刃，江苏新天伦律师事务所律师。</w:t>
      </w:r>
    </w:p>
    <w:p w:rsidR="00000000" w:rsidRDefault="000D6425">
      <w:pPr>
        <w:spacing w:line="500" w:lineRule="atLeast"/>
        <w:ind w:firstLine="600"/>
        <w:divId w:val="1866404556"/>
        <w:rPr>
          <w:rFonts w:hint="eastAsia"/>
          <w:sz w:val="30"/>
          <w:szCs w:val="30"/>
        </w:rPr>
      </w:pPr>
      <w:r>
        <w:rPr>
          <w:rFonts w:hint="eastAsia"/>
          <w:sz w:val="30"/>
          <w:szCs w:val="30"/>
        </w:rPr>
        <w:t>委托诉讼代理人：丁杰，江苏新天伦律师事务所律师。</w:t>
      </w:r>
    </w:p>
    <w:p w:rsidR="00000000" w:rsidRDefault="000D6425">
      <w:pPr>
        <w:spacing w:line="500" w:lineRule="atLeast"/>
        <w:ind w:firstLine="600"/>
        <w:divId w:val="542327124"/>
        <w:rPr>
          <w:rFonts w:hint="eastAsia"/>
          <w:sz w:val="30"/>
          <w:szCs w:val="30"/>
        </w:rPr>
      </w:pPr>
      <w:r>
        <w:rPr>
          <w:rFonts w:hint="eastAsia"/>
          <w:sz w:val="30"/>
          <w:szCs w:val="30"/>
        </w:rPr>
        <w:t>被上诉人（原审原告）爱彼思</w:t>
      </w:r>
      <w:r>
        <w:rPr>
          <w:rFonts w:hint="eastAsia"/>
          <w:sz w:val="30"/>
          <w:szCs w:val="30"/>
        </w:rPr>
        <w:t>(</w:t>
      </w:r>
      <w:r>
        <w:rPr>
          <w:rFonts w:hint="eastAsia"/>
          <w:sz w:val="30"/>
          <w:szCs w:val="30"/>
        </w:rPr>
        <w:t>苏州</w:t>
      </w:r>
      <w:r>
        <w:rPr>
          <w:rFonts w:hint="eastAsia"/>
          <w:sz w:val="30"/>
          <w:szCs w:val="30"/>
        </w:rPr>
        <w:t>)</w:t>
      </w:r>
      <w:r>
        <w:rPr>
          <w:rFonts w:hint="eastAsia"/>
          <w:sz w:val="30"/>
          <w:szCs w:val="30"/>
        </w:rPr>
        <w:t>自动化科技有限公司，住所地苏州高新区科灵路</w:t>
      </w:r>
      <w:r>
        <w:rPr>
          <w:rFonts w:hint="eastAsia"/>
          <w:sz w:val="30"/>
          <w:szCs w:val="30"/>
        </w:rPr>
        <w:t>78</w:t>
      </w:r>
      <w:r>
        <w:rPr>
          <w:rFonts w:hint="eastAsia"/>
          <w:sz w:val="30"/>
          <w:szCs w:val="30"/>
        </w:rPr>
        <w:t>号。</w:t>
      </w:r>
    </w:p>
    <w:p w:rsidR="00000000" w:rsidRDefault="000D6425">
      <w:pPr>
        <w:spacing w:line="500" w:lineRule="atLeast"/>
        <w:ind w:firstLine="600"/>
        <w:divId w:val="1019545966"/>
        <w:rPr>
          <w:rFonts w:hint="eastAsia"/>
          <w:sz w:val="30"/>
          <w:szCs w:val="30"/>
        </w:rPr>
      </w:pPr>
      <w:r>
        <w:rPr>
          <w:rFonts w:hint="eastAsia"/>
          <w:sz w:val="30"/>
          <w:szCs w:val="30"/>
        </w:rPr>
        <w:t>法定代表人：朱燕津，该公司董事长。</w:t>
      </w:r>
    </w:p>
    <w:p w:rsidR="00000000" w:rsidRDefault="000D6425">
      <w:pPr>
        <w:spacing w:line="500" w:lineRule="atLeast"/>
        <w:ind w:firstLine="600"/>
        <w:divId w:val="1190527728"/>
        <w:rPr>
          <w:rFonts w:hint="eastAsia"/>
          <w:sz w:val="30"/>
          <w:szCs w:val="30"/>
        </w:rPr>
      </w:pPr>
      <w:r>
        <w:rPr>
          <w:rFonts w:hint="eastAsia"/>
          <w:sz w:val="30"/>
          <w:szCs w:val="30"/>
        </w:rPr>
        <w:t>委托诉讼代理人：张振华，江苏晟则律师事务所律师。</w:t>
      </w:r>
    </w:p>
    <w:p w:rsidR="00000000" w:rsidRDefault="000D6425">
      <w:pPr>
        <w:spacing w:line="500" w:lineRule="atLeast"/>
        <w:ind w:firstLine="600"/>
        <w:divId w:val="1258753764"/>
        <w:rPr>
          <w:rFonts w:hint="eastAsia"/>
          <w:sz w:val="30"/>
          <w:szCs w:val="30"/>
        </w:rPr>
      </w:pPr>
      <w:r>
        <w:rPr>
          <w:rFonts w:hint="eastAsia"/>
          <w:sz w:val="30"/>
          <w:szCs w:val="30"/>
        </w:rPr>
        <w:t>原审第三人：方志军，男，</w:t>
      </w:r>
      <w:r>
        <w:rPr>
          <w:rFonts w:hint="eastAsia"/>
          <w:sz w:val="30"/>
          <w:szCs w:val="30"/>
        </w:rPr>
        <w:t>1986</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日出生，汉族，住宜兴市。</w:t>
      </w:r>
    </w:p>
    <w:p w:rsidR="00000000" w:rsidRDefault="000D6425">
      <w:pPr>
        <w:spacing w:line="500" w:lineRule="atLeast"/>
        <w:ind w:firstLine="600"/>
        <w:divId w:val="1450319019"/>
        <w:rPr>
          <w:rFonts w:hint="eastAsia"/>
          <w:sz w:val="30"/>
          <w:szCs w:val="30"/>
        </w:rPr>
      </w:pPr>
      <w:r>
        <w:rPr>
          <w:rFonts w:hint="eastAsia"/>
          <w:sz w:val="30"/>
          <w:szCs w:val="30"/>
        </w:rPr>
        <w:t>上诉人任锋、苏州佳祺仕信息科技有限公司（以下简称佳祺仕公司）因与被上诉人爱彼思</w:t>
      </w:r>
      <w:r>
        <w:rPr>
          <w:rFonts w:hint="eastAsia"/>
          <w:sz w:val="30"/>
          <w:szCs w:val="30"/>
        </w:rPr>
        <w:t>(</w:t>
      </w:r>
      <w:r>
        <w:rPr>
          <w:rFonts w:hint="eastAsia"/>
          <w:sz w:val="30"/>
          <w:szCs w:val="30"/>
        </w:rPr>
        <w:t>苏州</w:t>
      </w:r>
      <w:r>
        <w:rPr>
          <w:rFonts w:hint="eastAsia"/>
          <w:sz w:val="30"/>
          <w:szCs w:val="30"/>
        </w:rPr>
        <w:t>)</w:t>
      </w:r>
      <w:r>
        <w:rPr>
          <w:rFonts w:hint="eastAsia"/>
          <w:sz w:val="30"/>
          <w:szCs w:val="30"/>
        </w:rPr>
        <w:t>自动化科技有限公司（以下简称爱彼思公司）及原审第三人方志军损害公司利益责任纠纷一案，不服苏州市虎丘区人民法院</w:t>
      </w:r>
      <w:r>
        <w:rPr>
          <w:rFonts w:hint="eastAsia"/>
          <w:sz w:val="30"/>
          <w:szCs w:val="30"/>
        </w:rPr>
        <w:t>(2018)</w:t>
      </w:r>
      <w:r>
        <w:rPr>
          <w:rFonts w:hint="eastAsia"/>
          <w:sz w:val="30"/>
          <w:szCs w:val="30"/>
        </w:rPr>
        <w:t>苏</w:t>
      </w:r>
      <w:r>
        <w:rPr>
          <w:rFonts w:hint="eastAsia"/>
          <w:sz w:val="30"/>
          <w:szCs w:val="30"/>
        </w:rPr>
        <w:t>0505</w:t>
      </w:r>
      <w:r>
        <w:rPr>
          <w:rFonts w:hint="eastAsia"/>
          <w:sz w:val="30"/>
          <w:szCs w:val="30"/>
        </w:rPr>
        <w:t>民初</w:t>
      </w:r>
      <w:r>
        <w:rPr>
          <w:rFonts w:hint="eastAsia"/>
          <w:sz w:val="30"/>
          <w:szCs w:val="30"/>
        </w:rPr>
        <w:t>3995</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日立案后依法组成合议庭进行了审理。本案现已审理终结。</w:t>
      </w:r>
    </w:p>
    <w:p w:rsidR="00000000" w:rsidRDefault="000D6425">
      <w:pPr>
        <w:spacing w:line="500" w:lineRule="atLeast"/>
        <w:ind w:firstLine="600"/>
        <w:divId w:val="1581987206"/>
        <w:rPr>
          <w:rFonts w:hint="eastAsia"/>
          <w:sz w:val="30"/>
          <w:szCs w:val="30"/>
        </w:rPr>
      </w:pPr>
      <w:r>
        <w:rPr>
          <w:rFonts w:hint="eastAsia"/>
          <w:sz w:val="30"/>
          <w:szCs w:val="30"/>
        </w:rPr>
        <w:t>任锋、佳祺仕公司上诉请求：撤销一审判决，改判驳回爱彼思公司的全部诉讼请求，由爱彼思公司承担本案全部诉讼费用。事实和理由：一、一审关于任锋是否属于高级管理人员、</w:t>
      </w:r>
      <w:r>
        <w:rPr>
          <w:rFonts w:hint="eastAsia"/>
          <w:sz w:val="30"/>
          <w:szCs w:val="30"/>
        </w:rPr>
        <w:lastRenderedPageBreak/>
        <w:t>两公司是否构成同业竞争认定事实不清。首先，任锋不属于公司法规定的爱彼思公司的高级管理人员，因为双方在劳动合同书中仅约定任锋从事管理工作，并未明确职位，爱彼思公司仅以任锋任管理工作及行销总监而认为任锋系高级管理人员，属事实不清。其次，佳琪仕公司早于爱彼思公司成立，爱彼思公司聘用任锋时明知其系</w:t>
      </w:r>
      <w:r>
        <w:rPr>
          <w:rFonts w:hint="eastAsia"/>
          <w:sz w:val="30"/>
          <w:szCs w:val="30"/>
        </w:rPr>
        <w:t>佳琪仕公司的法定代表人及该公司的经营项目，且两公司属于不同的经营领域，不会构成同业竞争。从爱彼思公司在一审中提交的佳祺仕公司与可成、可胜公司的开票记录对应的发票来看，佳祺仕公司出售给可成、可胜公司的全部产品只有四种，即各类治具、</w:t>
      </w:r>
      <w:r>
        <w:rPr>
          <w:rFonts w:hint="eastAsia"/>
          <w:sz w:val="30"/>
          <w:szCs w:val="30"/>
        </w:rPr>
        <w:t>M6L</w:t>
      </w:r>
      <w:r>
        <w:rPr>
          <w:rFonts w:hint="eastAsia"/>
          <w:sz w:val="30"/>
          <w:szCs w:val="30"/>
        </w:rPr>
        <w:t>自动组装设备、</w:t>
      </w:r>
      <w:r>
        <w:rPr>
          <w:rFonts w:hint="eastAsia"/>
          <w:sz w:val="30"/>
          <w:szCs w:val="30"/>
        </w:rPr>
        <w:t>RAIL</w:t>
      </w:r>
      <w:r>
        <w:rPr>
          <w:rFonts w:hint="eastAsia"/>
          <w:sz w:val="30"/>
          <w:szCs w:val="30"/>
        </w:rPr>
        <w:t>自动组装设备、</w:t>
      </w:r>
      <w:r>
        <w:rPr>
          <w:rFonts w:hint="eastAsia"/>
          <w:sz w:val="30"/>
          <w:szCs w:val="30"/>
        </w:rPr>
        <w:t>RCAM</w:t>
      </w:r>
      <w:r>
        <w:rPr>
          <w:rFonts w:hint="eastAsia"/>
          <w:sz w:val="30"/>
          <w:szCs w:val="30"/>
        </w:rPr>
        <w:t>预组自动设备。爱彼思公司生产并销售给可成集团的产品是自动埋钉设备和简易尽头定位组装设备。爱彼思公司的产品佳琪仕公司从未生产销售过，反之佳琪仕公司的产品爱彼思公司也从未生产销售过，因此两家公司虽然在工商登记的营业范围有重合之处，但实际生</w:t>
      </w:r>
      <w:r>
        <w:rPr>
          <w:rFonts w:hint="eastAsia"/>
          <w:sz w:val="30"/>
          <w:szCs w:val="30"/>
        </w:rPr>
        <w:t>产经营的产品均不相同，并不存在任何的市场竞争关系。二、任锋及佳琪仕公司不存在损害爱彼思公司利益的主观故意及客观行为，不构成共同侵权，无须承担赔偿义务，一审要求任锋与佳琪仕公司承担连带责任属于适用法律错误。三、一审判决判非所请，滥用自由裁量权，属于严重的错误判决。爱彼思公司的请求权基础是公司法</w:t>
      </w:r>
      <w:r>
        <w:rPr>
          <w:rFonts w:hint="eastAsia"/>
          <w:sz w:val="30"/>
          <w:szCs w:val="30"/>
        </w:rPr>
        <w:t>148</w:t>
      </w:r>
      <w:r>
        <w:rPr>
          <w:rFonts w:hint="eastAsia"/>
          <w:sz w:val="30"/>
          <w:szCs w:val="30"/>
        </w:rPr>
        <w:t>条，也就是归入权的规定，一审判决在说理部分前半段已经否定了该请求权，认为佳琪仕公司及任锋的行为并未造成爱彼思公司的损害，但是判决的结果又滥用了自由裁量权，并不是以公司法</w:t>
      </w:r>
      <w:r>
        <w:rPr>
          <w:rFonts w:hint="eastAsia"/>
          <w:sz w:val="30"/>
          <w:szCs w:val="30"/>
        </w:rPr>
        <w:t>148</w:t>
      </w:r>
      <w:r>
        <w:rPr>
          <w:rFonts w:hint="eastAsia"/>
          <w:sz w:val="30"/>
          <w:szCs w:val="30"/>
        </w:rPr>
        <w:t>条为依据，超出了爱彼思公司的诉讼请求范围</w:t>
      </w:r>
      <w:r>
        <w:rPr>
          <w:rFonts w:hint="eastAsia"/>
          <w:sz w:val="30"/>
          <w:szCs w:val="30"/>
        </w:rPr>
        <w:t>。</w:t>
      </w:r>
    </w:p>
    <w:p w:rsidR="00000000" w:rsidRDefault="000D6425">
      <w:pPr>
        <w:spacing w:line="500" w:lineRule="atLeast"/>
        <w:ind w:firstLine="600"/>
        <w:divId w:val="1531190329"/>
        <w:rPr>
          <w:rFonts w:hint="eastAsia"/>
          <w:sz w:val="30"/>
          <w:szCs w:val="30"/>
        </w:rPr>
      </w:pPr>
      <w:r>
        <w:rPr>
          <w:rFonts w:hint="eastAsia"/>
          <w:sz w:val="30"/>
          <w:szCs w:val="30"/>
        </w:rPr>
        <w:t>爱彼思公司二审答辩称：一、关于任锋是否属于高级管理人员，在一审中爱彼思公司已经提供</w:t>
      </w:r>
      <w:r>
        <w:rPr>
          <w:rFonts w:hint="eastAsia"/>
          <w:sz w:val="30"/>
          <w:szCs w:val="30"/>
        </w:rPr>
        <w:t>2017</w:t>
      </w:r>
      <w:r>
        <w:rPr>
          <w:rFonts w:hint="eastAsia"/>
          <w:sz w:val="30"/>
          <w:szCs w:val="30"/>
        </w:rPr>
        <w:t>苏</w:t>
      </w:r>
      <w:r>
        <w:rPr>
          <w:rFonts w:hint="eastAsia"/>
          <w:sz w:val="30"/>
          <w:szCs w:val="30"/>
        </w:rPr>
        <w:t>0505</w:t>
      </w:r>
      <w:r>
        <w:rPr>
          <w:rFonts w:hint="eastAsia"/>
          <w:sz w:val="30"/>
          <w:szCs w:val="30"/>
        </w:rPr>
        <w:t>民初</w:t>
      </w:r>
      <w:r>
        <w:rPr>
          <w:rFonts w:hint="eastAsia"/>
          <w:sz w:val="30"/>
          <w:szCs w:val="30"/>
        </w:rPr>
        <w:t>47</w:t>
      </w:r>
      <w:r>
        <w:rPr>
          <w:rFonts w:hint="eastAsia"/>
          <w:sz w:val="30"/>
          <w:szCs w:val="30"/>
        </w:rPr>
        <w:t>号案</w:t>
      </w:r>
      <w:r>
        <w:rPr>
          <w:rFonts w:hint="eastAsia"/>
          <w:sz w:val="30"/>
          <w:szCs w:val="30"/>
        </w:rPr>
        <w:lastRenderedPageBreak/>
        <w:t>件的一审判决和对应的二审判决，在</w:t>
      </w:r>
      <w:r>
        <w:rPr>
          <w:rFonts w:hint="eastAsia"/>
          <w:sz w:val="30"/>
          <w:szCs w:val="30"/>
        </w:rPr>
        <w:t>47</w:t>
      </w:r>
      <w:r>
        <w:rPr>
          <w:rFonts w:hint="eastAsia"/>
          <w:sz w:val="30"/>
          <w:szCs w:val="30"/>
        </w:rPr>
        <w:t>号判决的第八页至第九页已经认定任锋在此期间一直在爱彼思公司任高管，因此对于任锋系爱彼思公司高管的事实已经生效判决认定。二、佳祺仕公司与爱彼思公司具有实质性竞争关系。爱彼思公司在一审中提供了生效判决即案号为</w:t>
      </w:r>
      <w:r>
        <w:rPr>
          <w:rFonts w:hint="eastAsia"/>
          <w:sz w:val="30"/>
          <w:szCs w:val="30"/>
        </w:rPr>
        <w:t>2017</w:t>
      </w:r>
      <w:r>
        <w:rPr>
          <w:rFonts w:hint="eastAsia"/>
          <w:sz w:val="30"/>
          <w:szCs w:val="30"/>
        </w:rPr>
        <w:t>苏</w:t>
      </w:r>
      <w:r>
        <w:rPr>
          <w:rFonts w:hint="eastAsia"/>
          <w:sz w:val="30"/>
          <w:szCs w:val="30"/>
        </w:rPr>
        <w:t>505</w:t>
      </w:r>
      <w:r>
        <w:rPr>
          <w:rFonts w:hint="eastAsia"/>
          <w:sz w:val="30"/>
          <w:szCs w:val="30"/>
        </w:rPr>
        <w:t>民初</w:t>
      </w:r>
      <w:r>
        <w:rPr>
          <w:rFonts w:hint="eastAsia"/>
          <w:sz w:val="30"/>
          <w:szCs w:val="30"/>
        </w:rPr>
        <w:t>5361</w:t>
      </w:r>
      <w:r>
        <w:rPr>
          <w:rFonts w:hint="eastAsia"/>
          <w:sz w:val="30"/>
          <w:szCs w:val="30"/>
        </w:rPr>
        <w:t>号知情权一案，该案判决书第七页明确佳祺仕公司与爱彼思公司的部分主营业务相同，亦具有相同的客户，应当认定两家公司具有实质性竞争关系</w:t>
      </w:r>
      <w:r>
        <w:rPr>
          <w:rFonts w:hint="eastAsia"/>
          <w:sz w:val="30"/>
          <w:szCs w:val="30"/>
        </w:rPr>
        <w:t>。三、关于对方提出的原审法院适用法律的问题，在一审法院最后一次开庭和第一次开庭的庭审笔录中，一审法院已就爱彼思公司本案所依据的法律规定是收入归入还是财产损害赔偿作出释明，爱彼思公司在一审中明确所主张的并非收入归入，而是财产损害赔偿，对方所称的一审法院依据收入归入来审理本案并无事实依据。四、在司法实践中法院已查明股东或高管损害公司利益的事实，但受损害一方鉴于举证的困难，无法提供准确和明确证据证明遭受的损失的具体数额，也已经有相关的判例判决高管在职期间所获得的公司所支付的工资予以返还，因此一审法院的判决并无不当</w:t>
      </w:r>
      <w:r>
        <w:rPr>
          <w:rFonts w:hint="eastAsia"/>
          <w:sz w:val="30"/>
          <w:szCs w:val="30"/>
        </w:rPr>
        <w:t>。综上一审法院查明事实清楚，适用法律正确，应予维持。</w:t>
      </w:r>
    </w:p>
    <w:p w:rsidR="00000000" w:rsidRDefault="000D6425">
      <w:pPr>
        <w:spacing w:line="500" w:lineRule="atLeast"/>
        <w:ind w:firstLine="600"/>
        <w:divId w:val="1298683153"/>
        <w:rPr>
          <w:rFonts w:hint="eastAsia"/>
          <w:sz w:val="30"/>
          <w:szCs w:val="30"/>
        </w:rPr>
      </w:pPr>
      <w:r>
        <w:rPr>
          <w:rFonts w:hint="eastAsia"/>
          <w:sz w:val="30"/>
          <w:szCs w:val="30"/>
        </w:rPr>
        <w:t>爱彼思公司向一审法院起诉请求：</w:t>
      </w:r>
      <w:r>
        <w:rPr>
          <w:rFonts w:hint="eastAsia"/>
          <w:sz w:val="30"/>
          <w:szCs w:val="30"/>
        </w:rPr>
        <w:t>1</w:t>
      </w:r>
      <w:r>
        <w:rPr>
          <w:rFonts w:hint="eastAsia"/>
          <w:sz w:val="30"/>
          <w:szCs w:val="30"/>
        </w:rPr>
        <w:t>、判令任锋、佳琪仕公司赔偿其损失</w:t>
      </w:r>
      <w:r>
        <w:rPr>
          <w:rFonts w:hint="eastAsia"/>
          <w:sz w:val="30"/>
          <w:szCs w:val="30"/>
        </w:rPr>
        <w:t>1149356.6</w:t>
      </w:r>
      <w:r>
        <w:rPr>
          <w:rFonts w:hint="eastAsia"/>
          <w:sz w:val="30"/>
          <w:szCs w:val="30"/>
        </w:rPr>
        <w:t>元（</w:t>
      </w:r>
      <w:r>
        <w:rPr>
          <w:rFonts w:hint="eastAsia"/>
          <w:sz w:val="30"/>
          <w:szCs w:val="30"/>
        </w:rPr>
        <w:t>2016</w:t>
      </w:r>
      <w:r>
        <w:rPr>
          <w:rFonts w:hint="eastAsia"/>
          <w:sz w:val="30"/>
          <w:szCs w:val="30"/>
        </w:rPr>
        <w:t>年至</w:t>
      </w:r>
      <w:r>
        <w:rPr>
          <w:rFonts w:hint="eastAsia"/>
          <w:sz w:val="30"/>
          <w:szCs w:val="30"/>
        </w:rPr>
        <w:t>2017</w:t>
      </w:r>
      <w:r>
        <w:rPr>
          <w:rFonts w:hint="eastAsia"/>
          <w:sz w:val="30"/>
          <w:szCs w:val="30"/>
        </w:rPr>
        <w:t>年转移订单开票总金额的</w:t>
      </w:r>
      <w:r>
        <w:rPr>
          <w:rFonts w:hint="eastAsia"/>
          <w:sz w:val="30"/>
          <w:szCs w:val="30"/>
        </w:rPr>
        <w:t>10%</w:t>
      </w:r>
      <w:r>
        <w:rPr>
          <w:rFonts w:hint="eastAsia"/>
          <w:sz w:val="30"/>
          <w:szCs w:val="30"/>
        </w:rPr>
        <w:t>）；</w:t>
      </w:r>
      <w:r>
        <w:rPr>
          <w:rFonts w:hint="eastAsia"/>
          <w:sz w:val="30"/>
          <w:szCs w:val="30"/>
        </w:rPr>
        <w:t>2</w:t>
      </w:r>
      <w:r>
        <w:rPr>
          <w:rFonts w:hint="eastAsia"/>
          <w:sz w:val="30"/>
          <w:szCs w:val="30"/>
        </w:rPr>
        <w:t>、本案诉讼费用由任锋及佳琪仕公司负担。</w:t>
      </w:r>
    </w:p>
    <w:p w:rsidR="00000000" w:rsidRDefault="000D6425">
      <w:pPr>
        <w:spacing w:line="500" w:lineRule="atLeast"/>
        <w:ind w:firstLine="600"/>
        <w:divId w:val="171116115"/>
        <w:rPr>
          <w:rFonts w:hint="eastAsia"/>
          <w:sz w:val="30"/>
          <w:szCs w:val="30"/>
        </w:rPr>
      </w:pPr>
      <w:r>
        <w:rPr>
          <w:rFonts w:hint="eastAsia"/>
          <w:sz w:val="30"/>
          <w:szCs w:val="30"/>
        </w:rPr>
        <w:t>一审法院认定如下事实：爱彼思公司系朱燕津与杨洋于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日登记设立的有限责任公司，经营范围为研发、销售自动化设备及配件、机械设备及配件、测量设备、计算机软件开发，公司注册资本</w:t>
      </w:r>
      <w:r>
        <w:rPr>
          <w:rFonts w:hint="eastAsia"/>
          <w:sz w:val="30"/>
          <w:szCs w:val="30"/>
        </w:rPr>
        <w:t>500</w:t>
      </w:r>
      <w:r>
        <w:rPr>
          <w:rFonts w:hint="eastAsia"/>
          <w:sz w:val="30"/>
          <w:szCs w:val="30"/>
        </w:rPr>
        <w:t>万元，杨洋占股</w:t>
      </w:r>
      <w:r>
        <w:rPr>
          <w:rFonts w:hint="eastAsia"/>
          <w:sz w:val="30"/>
          <w:szCs w:val="30"/>
        </w:rPr>
        <w:t>39.5%</w:t>
      </w:r>
      <w:r>
        <w:rPr>
          <w:rFonts w:hint="eastAsia"/>
          <w:sz w:val="30"/>
          <w:szCs w:val="30"/>
        </w:rPr>
        <w:t>。</w:t>
      </w:r>
    </w:p>
    <w:p w:rsidR="00000000" w:rsidRDefault="000D6425">
      <w:pPr>
        <w:spacing w:line="500" w:lineRule="atLeast"/>
        <w:ind w:firstLine="600"/>
        <w:divId w:val="771129013"/>
        <w:rPr>
          <w:rFonts w:hint="eastAsia"/>
          <w:sz w:val="30"/>
          <w:szCs w:val="30"/>
        </w:rPr>
      </w:pPr>
      <w:r>
        <w:rPr>
          <w:rFonts w:hint="eastAsia"/>
          <w:sz w:val="30"/>
          <w:szCs w:val="30"/>
        </w:rPr>
        <w:t>佳祺仕公司于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日登记设立，注册资本</w:t>
      </w:r>
      <w:r>
        <w:rPr>
          <w:rFonts w:hint="eastAsia"/>
          <w:sz w:val="30"/>
          <w:szCs w:val="30"/>
        </w:rPr>
        <w:t>50</w:t>
      </w:r>
      <w:r>
        <w:rPr>
          <w:rFonts w:hint="eastAsia"/>
          <w:sz w:val="30"/>
          <w:szCs w:val="30"/>
        </w:rPr>
        <w:t>万元</w:t>
      </w:r>
      <w:r>
        <w:rPr>
          <w:rFonts w:hint="eastAsia"/>
          <w:sz w:val="30"/>
          <w:szCs w:val="30"/>
        </w:rPr>
        <w:t>，发起人为杨洋、任锋，经营范围为研发、销售计算机软硬件、自动化设备、通讯设备、网络产品的技术开发、技术转让及技术咨询服务，法定代表人为任锋。后经增资，佳祺仕公司现注册资本</w:t>
      </w:r>
      <w:r>
        <w:rPr>
          <w:rFonts w:hint="eastAsia"/>
          <w:sz w:val="30"/>
          <w:szCs w:val="30"/>
        </w:rPr>
        <w:t>3000</w:t>
      </w:r>
      <w:r>
        <w:rPr>
          <w:rFonts w:hint="eastAsia"/>
          <w:sz w:val="30"/>
          <w:szCs w:val="30"/>
        </w:rPr>
        <w:t>万元，法定代表人仍然为任锋，任锋持股</w:t>
      </w:r>
      <w:r>
        <w:rPr>
          <w:rFonts w:hint="eastAsia"/>
          <w:sz w:val="30"/>
          <w:szCs w:val="30"/>
        </w:rPr>
        <w:t>76%</w:t>
      </w:r>
      <w:r>
        <w:rPr>
          <w:rFonts w:hint="eastAsia"/>
          <w:sz w:val="30"/>
          <w:szCs w:val="30"/>
        </w:rPr>
        <w:t>、杨洋持股</w:t>
      </w:r>
      <w:r>
        <w:rPr>
          <w:rFonts w:hint="eastAsia"/>
          <w:sz w:val="30"/>
          <w:szCs w:val="30"/>
        </w:rPr>
        <w:t>24%</w:t>
      </w:r>
      <w:r>
        <w:rPr>
          <w:rFonts w:hint="eastAsia"/>
          <w:sz w:val="30"/>
          <w:szCs w:val="30"/>
        </w:rPr>
        <w:t>，第三人方志军亦担任董事。</w:t>
      </w:r>
    </w:p>
    <w:p w:rsidR="00000000" w:rsidRDefault="000D6425">
      <w:pPr>
        <w:spacing w:line="500" w:lineRule="atLeast"/>
        <w:ind w:firstLine="600"/>
        <w:divId w:val="87388039"/>
        <w:rPr>
          <w:rFonts w:hint="eastAsia"/>
          <w:sz w:val="30"/>
          <w:szCs w:val="30"/>
        </w:rPr>
      </w:pP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日，爱彼思公司与任锋签订劳动合同，约定聘请任锋担任爱彼思公司管理工作，期限</w:t>
      </w:r>
      <w:r>
        <w:rPr>
          <w:rFonts w:hint="eastAsia"/>
          <w:sz w:val="30"/>
          <w:szCs w:val="30"/>
        </w:rPr>
        <w:t>3</w:t>
      </w:r>
      <w:r>
        <w:rPr>
          <w:rFonts w:hint="eastAsia"/>
          <w:sz w:val="30"/>
          <w:szCs w:val="30"/>
        </w:rPr>
        <w:t>年，每月报酬</w:t>
      </w:r>
      <w:r>
        <w:rPr>
          <w:rFonts w:hint="eastAsia"/>
          <w:sz w:val="30"/>
          <w:szCs w:val="30"/>
        </w:rPr>
        <w:t>1.5</w:t>
      </w:r>
      <w:r>
        <w:rPr>
          <w:rFonts w:hint="eastAsia"/>
          <w:sz w:val="30"/>
          <w:szCs w:val="30"/>
        </w:rPr>
        <w:t>万元。同日，双方签订保密协议，约定任锋在原公司离职后两年内，非经爱彼思公司同意不得为自己或他人、事与爱彼思公司所营业业务相同或类似业务，于</w:t>
      </w:r>
      <w:r>
        <w:rPr>
          <w:rFonts w:hint="eastAsia"/>
          <w:sz w:val="30"/>
          <w:szCs w:val="30"/>
        </w:rPr>
        <w:t>市场上从事竞争行为；任锋参加爱彼思公司工作后不得在工作时间内兼差及经营副业。</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日，股东朱燕津、杨洋签订协议，确认聘请杨洋的配偶任锋为爱彼思公司的高级管理人员担任管理工作。爱彼思公司章程规定公司不设总经理，任锋在爱彼思公司任职期间担任副总经理。</w:t>
      </w:r>
    </w:p>
    <w:p w:rsidR="00000000" w:rsidRDefault="000D6425">
      <w:pPr>
        <w:spacing w:line="500" w:lineRule="atLeast"/>
        <w:ind w:firstLine="600"/>
        <w:divId w:val="992682814"/>
        <w:rPr>
          <w:rFonts w:hint="eastAsia"/>
          <w:sz w:val="30"/>
          <w:szCs w:val="30"/>
        </w:rPr>
      </w:pP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日，爱彼思公司与第三人方志军签订劳动合同，约定爱彼思公司聘用方志军担任项目经理，试用期每月报酬</w:t>
      </w:r>
      <w:r>
        <w:rPr>
          <w:rFonts w:hint="eastAsia"/>
          <w:sz w:val="30"/>
          <w:szCs w:val="30"/>
        </w:rPr>
        <w:t>7500</w:t>
      </w:r>
      <w:r>
        <w:rPr>
          <w:rFonts w:hint="eastAsia"/>
          <w:sz w:val="30"/>
          <w:szCs w:val="30"/>
        </w:rPr>
        <w:t>元，劳动合同期限</w:t>
      </w:r>
      <w:r>
        <w:rPr>
          <w:rFonts w:hint="eastAsia"/>
          <w:sz w:val="30"/>
          <w:szCs w:val="30"/>
        </w:rPr>
        <w:t>3</w:t>
      </w:r>
      <w:r>
        <w:rPr>
          <w:rFonts w:hint="eastAsia"/>
          <w:sz w:val="30"/>
          <w:szCs w:val="30"/>
        </w:rPr>
        <w:t>年。</w:t>
      </w:r>
    </w:p>
    <w:p w:rsidR="00000000" w:rsidRDefault="000D6425">
      <w:pPr>
        <w:spacing w:line="500" w:lineRule="atLeast"/>
        <w:ind w:firstLine="600"/>
        <w:divId w:val="14691698"/>
        <w:rPr>
          <w:rFonts w:hint="eastAsia"/>
          <w:sz w:val="30"/>
          <w:szCs w:val="30"/>
        </w:rPr>
      </w:pPr>
      <w:r>
        <w:rPr>
          <w:rFonts w:hint="eastAsia"/>
          <w:sz w:val="30"/>
          <w:szCs w:val="30"/>
        </w:rPr>
        <w:t>可成集团由台湾可成科技有限公司投资建立，大陆总部设在苏州，拥有可胜、可成科技两个系列公司。爱彼思公司自</w:t>
      </w:r>
      <w:r>
        <w:rPr>
          <w:rFonts w:hint="eastAsia"/>
          <w:sz w:val="30"/>
          <w:szCs w:val="30"/>
        </w:rPr>
        <w:t>201</w:t>
      </w:r>
      <w:r>
        <w:rPr>
          <w:rFonts w:hint="eastAsia"/>
          <w:sz w:val="30"/>
          <w:szCs w:val="30"/>
        </w:rPr>
        <w:t>3</w:t>
      </w:r>
      <w:r>
        <w:rPr>
          <w:rFonts w:hint="eastAsia"/>
          <w:sz w:val="30"/>
          <w:szCs w:val="30"/>
        </w:rPr>
        <w:t>年初开始成为可成集团供应商，</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日，任锋指使第三人方志军向可胜科技（苏州）有限公司吴中平发送电子邮件：“如电话所说，爱彼思公司因公司发展需求，进行业务划分。自动化组装设备、建设设备（如</w:t>
      </w:r>
      <w:r>
        <w:rPr>
          <w:rFonts w:hint="eastAsia"/>
          <w:sz w:val="30"/>
          <w:szCs w:val="30"/>
        </w:rPr>
        <w:t>ipadlens</w:t>
      </w:r>
      <w:r>
        <w:rPr>
          <w:rFonts w:hint="eastAsia"/>
          <w:sz w:val="30"/>
          <w:szCs w:val="30"/>
        </w:rPr>
        <w:t>组装监测设备），会放置于佳祺仕公司研发、生产和销售。附件内是佳祺仕公司的相关资料，请参考。如需其他相关资料，请告知。”</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w:t>
      </w:r>
      <w:r>
        <w:rPr>
          <w:rFonts w:hint="eastAsia"/>
          <w:sz w:val="30"/>
          <w:szCs w:val="30"/>
        </w:rPr>
        <w:t>10</w:t>
      </w:r>
      <w:r>
        <w:rPr>
          <w:rFonts w:hint="eastAsia"/>
          <w:sz w:val="30"/>
          <w:szCs w:val="30"/>
        </w:rPr>
        <w:t>时</w:t>
      </w:r>
      <w:r>
        <w:rPr>
          <w:rFonts w:hint="eastAsia"/>
          <w:sz w:val="30"/>
          <w:szCs w:val="30"/>
        </w:rPr>
        <w:t>10</w:t>
      </w:r>
      <w:r>
        <w:rPr>
          <w:rFonts w:hint="eastAsia"/>
          <w:sz w:val="30"/>
          <w:szCs w:val="30"/>
        </w:rPr>
        <w:t>分，可胜科技（苏州）有限公司吴中平电子邮件回复第三人方志军：暂不需要。</w:t>
      </w:r>
    </w:p>
    <w:p w:rsidR="00000000" w:rsidRDefault="000D6425">
      <w:pPr>
        <w:spacing w:line="500" w:lineRule="atLeast"/>
        <w:ind w:firstLine="600"/>
        <w:divId w:val="2129085966"/>
        <w:rPr>
          <w:rFonts w:hint="eastAsia"/>
          <w:sz w:val="30"/>
          <w:szCs w:val="30"/>
        </w:rPr>
      </w:pPr>
      <w:r>
        <w:rPr>
          <w:rFonts w:hint="eastAsia"/>
          <w:sz w:val="30"/>
          <w:szCs w:val="30"/>
        </w:rPr>
        <w:t>任锋于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月期间离开爱彼思公司；方志军于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月离开</w:t>
      </w:r>
      <w:r>
        <w:rPr>
          <w:rFonts w:hint="eastAsia"/>
          <w:sz w:val="30"/>
          <w:szCs w:val="30"/>
        </w:rPr>
        <w:t>爱彼思公司。</w:t>
      </w:r>
    </w:p>
    <w:p w:rsidR="00000000" w:rsidRDefault="000D6425">
      <w:pPr>
        <w:spacing w:line="500" w:lineRule="atLeast"/>
        <w:ind w:firstLine="600"/>
        <w:divId w:val="846822211"/>
        <w:rPr>
          <w:rFonts w:hint="eastAsia"/>
          <w:sz w:val="30"/>
          <w:szCs w:val="30"/>
        </w:rPr>
      </w:pPr>
      <w:r>
        <w:rPr>
          <w:rFonts w:hint="eastAsia"/>
          <w:sz w:val="30"/>
          <w:szCs w:val="30"/>
        </w:rPr>
        <w:t>一审另查明，爱彼思公司与可成集团</w:t>
      </w:r>
      <w:r>
        <w:rPr>
          <w:rFonts w:hint="eastAsia"/>
          <w:sz w:val="30"/>
          <w:szCs w:val="30"/>
        </w:rPr>
        <w:t>2013</w:t>
      </w:r>
      <w:r>
        <w:rPr>
          <w:rFonts w:hint="eastAsia"/>
          <w:sz w:val="30"/>
          <w:szCs w:val="30"/>
        </w:rPr>
        <w:t>年的业务金额为</w:t>
      </w:r>
      <w:r>
        <w:rPr>
          <w:rFonts w:hint="eastAsia"/>
          <w:sz w:val="30"/>
          <w:szCs w:val="30"/>
        </w:rPr>
        <w:t>15</w:t>
      </w:r>
      <w:r>
        <w:rPr>
          <w:rFonts w:hint="eastAsia"/>
          <w:sz w:val="30"/>
          <w:szCs w:val="30"/>
        </w:rPr>
        <w:t>万元、</w:t>
      </w:r>
      <w:r>
        <w:rPr>
          <w:rFonts w:hint="eastAsia"/>
          <w:sz w:val="30"/>
          <w:szCs w:val="30"/>
        </w:rPr>
        <w:t>2014</w:t>
      </w:r>
      <w:r>
        <w:rPr>
          <w:rFonts w:hint="eastAsia"/>
          <w:sz w:val="30"/>
          <w:szCs w:val="30"/>
        </w:rPr>
        <w:t>年为</w:t>
      </w:r>
      <w:r>
        <w:rPr>
          <w:rFonts w:hint="eastAsia"/>
          <w:sz w:val="30"/>
          <w:szCs w:val="30"/>
        </w:rPr>
        <w:t>28.08</w:t>
      </w:r>
      <w:r>
        <w:rPr>
          <w:rFonts w:hint="eastAsia"/>
          <w:sz w:val="30"/>
          <w:szCs w:val="30"/>
        </w:rPr>
        <w:t>万元、</w:t>
      </w:r>
      <w:r>
        <w:rPr>
          <w:rFonts w:hint="eastAsia"/>
          <w:sz w:val="30"/>
          <w:szCs w:val="30"/>
        </w:rPr>
        <w:t>2015</w:t>
      </w:r>
      <w:r>
        <w:rPr>
          <w:rFonts w:hint="eastAsia"/>
          <w:sz w:val="30"/>
          <w:szCs w:val="30"/>
        </w:rPr>
        <w:t>年为</w:t>
      </w:r>
      <w:r>
        <w:rPr>
          <w:rFonts w:hint="eastAsia"/>
          <w:sz w:val="30"/>
          <w:szCs w:val="30"/>
        </w:rPr>
        <w:t>170</w:t>
      </w:r>
      <w:r>
        <w:rPr>
          <w:rFonts w:hint="eastAsia"/>
          <w:sz w:val="30"/>
          <w:szCs w:val="30"/>
        </w:rPr>
        <w:t>万元。</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日期间，佳祺仕公司向可成科技（宿迁）有限公司、可胜科技（泰州）有限公司开具增值税发票</w:t>
      </w:r>
      <w:r>
        <w:rPr>
          <w:rFonts w:hint="eastAsia"/>
          <w:sz w:val="30"/>
          <w:szCs w:val="30"/>
        </w:rPr>
        <w:t>10467609</w:t>
      </w:r>
      <w:r>
        <w:rPr>
          <w:rFonts w:hint="eastAsia"/>
          <w:sz w:val="30"/>
          <w:szCs w:val="30"/>
        </w:rPr>
        <w:t>元。</w:t>
      </w:r>
    </w:p>
    <w:p w:rsidR="00000000" w:rsidRDefault="000D6425">
      <w:pPr>
        <w:spacing w:line="500" w:lineRule="atLeast"/>
        <w:ind w:firstLine="600"/>
        <w:divId w:val="1794976472"/>
        <w:rPr>
          <w:rFonts w:hint="eastAsia"/>
          <w:sz w:val="30"/>
          <w:szCs w:val="30"/>
        </w:rPr>
      </w:pPr>
      <w:r>
        <w:rPr>
          <w:rFonts w:hint="eastAsia"/>
          <w:sz w:val="30"/>
          <w:szCs w:val="30"/>
        </w:rPr>
        <w:t>一审庭审中爱彼思公司确认本案不依据竞业禁止，依据损害赔偿主张权利。</w:t>
      </w:r>
    </w:p>
    <w:p w:rsidR="00000000" w:rsidRDefault="000D6425">
      <w:pPr>
        <w:spacing w:line="500" w:lineRule="atLeast"/>
        <w:ind w:firstLine="600"/>
        <w:divId w:val="912203732"/>
        <w:rPr>
          <w:rFonts w:hint="eastAsia"/>
          <w:sz w:val="30"/>
          <w:szCs w:val="30"/>
        </w:rPr>
      </w:pPr>
      <w:r>
        <w:rPr>
          <w:rFonts w:hint="eastAsia"/>
          <w:sz w:val="30"/>
          <w:szCs w:val="30"/>
        </w:rPr>
        <w:t>一审法院认为，公司高级管理人员应当遵守法律、行政法规和公司章程，对公司负有忠实义务和勤勉义务。任锋在担任爱彼思公司副总经理期间，属于公司高级管理人员，应当履行上述忠实、勤勉义务。现已查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任锋在任职期间指示下属第三人方志军以爱彼思公司名义通知爱彼思公司的商业合作伙伴可成集团，由佳祺仕公司承接爱彼思公司的业务，此系意图将爱彼思公司的商业机会剥夺、转移至自己投资设立的公司，主观故意十分明显。但是，自此之后佳祺仕公司并未立即与可成集团建立业务关系，而是在</w:t>
      </w:r>
      <w:r>
        <w:rPr>
          <w:rFonts w:hint="eastAsia"/>
          <w:sz w:val="30"/>
          <w:szCs w:val="30"/>
        </w:rPr>
        <w:t>2016</w:t>
      </w:r>
      <w:r>
        <w:rPr>
          <w:rFonts w:hint="eastAsia"/>
          <w:sz w:val="30"/>
          <w:szCs w:val="30"/>
        </w:rPr>
        <w:t>年后才与可成集团发生业务往来，期间</w:t>
      </w:r>
      <w:r>
        <w:rPr>
          <w:rFonts w:hint="eastAsia"/>
          <w:sz w:val="30"/>
          <w:szCs w:val="30"/>
        </w:rPr>
        <w:t>、甚至是在任锋、方志军等离开爱彼思公司后爱彼思公司仍与可成集团继续发生业务往来，故可认为上述邮件并未实际剥夺、转移了爱彼思公司的商业机会。在市场经济中，市场主体不仅仅根据相关主体的联系方式、客户相识、公示的营业范围等因素选择商业伙伴，同时市场参与者的产品质量、技术、价格、合同履行情况等因素更具有决定影响力，可成集团基于各种因素后亦具有自由缔约、自行选择商业货单的自由。因此，现有事实和证据并不能证明爱彼思公司失去可成集团的业务与任锋意图转移公司商业机会的行为具有直接的因果关系，因此爱彼思公司主张以佳祺仕公司与</w:t>
      </w:r>
      <w:r>
        <w:rPr>
          <w:rFonts w:hint="eastAsia"/>
          <w:sz w:val="30"/>
          <w:szCs w:val="30"/>
        </w:rPr>
        <w:t>可成集团发生的业务总额，乘以合理的利润率计算爱彼思公司的利润损失的方法不予采信。鉴于任锋以指使下属发送邮件意图转移公司商业机会的行为违反了其应负担的忠实、勤勉的义务，对公司的正常经营活动进行了干扰、造成一定影响，因此该院对其不当行为作出否定评价，并认为其应酌情对爱彼思公司进行赔偿。综合考虑任锋的公司高级管理人员同时系佳祺仕公司主要投资人的身份、在爱彼思公司任职时间、薪酬、以及行为的主观过错程度，该院酌定赔偿金额为</w:t>
      </w:r>
      <w:r>
        <w:rPr>
          <w:rFonts w:hint="eastAsia"/>
          <w:sz w:val="30"/>
          <w:szCs w:val="30"/>
        </w:rPr>
        <w:t>12</w:t>
      </w:r>
      <w:r>
        <w:rPr>
          <w:rFonts w:hint="eastAsia"/>
          <w:sz w:val="30"/>
          <w:szCs w:val="30"/>
        </w:rPr>
        <w:t>个月报酬，计</w:t>
      </w:r>
      <w:r>
        <w:rPr>
          <w:rFonts w:hint="eastAsia"/>
          <w:sz w:val="30"/>
          <w:szCs w:val="30"/>
        </w:rPr>
        <w:t>18</w:t>
      </w:r>
      <w:r>
        <w:rPr>
          <w:rFonts w:hint="eastAsia"/>
          <w:sz w:val="30"/>
          <w:szCs w:val="30"/>
        </w:rPr>
        <w:t>万元。</w:t>
      </w:r>
    </w:p>
    <w:p w:rsidR="00000000" w:rsidRDefault="000D6425">
      <w:pPr>
        <w:spacing w:line="500" w:lineRule="atLeast"/>
        <w:ind w:firstLine="600"/>
        <w:divId w:val="152725378"/>
        <w:rPr>
          <w:rFonts w:hint="eastAsia"/>
          <w:sz w:val="30"/>
          <w:szCs w:val="30"/>
        </w:rPr>
      </w:pPr>
      <w:r>
        <w:rPr>
          <w:rFonts w:hint="eastAsia"/>
          <w:sz w:val="30"/>
          <w:szCs w:val="30"/>
        </w:rPr>
        <w:t>佳祺仕公司的主要投资人、法定代表人均系任锋，因此可以认定为任锋意图转</w:t>
      </w:r>
      <w:r>
        <w:rPr>
          <w:rFonts w:hint="eastAsia"/>
          <w:sz w:val="30"/>
          <w:szCs w:val="30"/>
        </w:rPr>
        <w:t>移爱彼思公司商业机会至佳祺仕公司的行为也系佳祺仕公司为谋取爱彼思公司商业机会的行为。任锋既是爱彼思公司高级管理人员、也是佳祺仕公司的法定代表人，其身份的两重性决定了其行为同时代表了其个人和佳祺仕公司，因此佳祺仕公司构成共同侵权，也应当对上述赔偿义务承担连带责任。</w:t>
      </w:r>
    </w:p>
    <w:p w:rsidR="00000000" w:rsidRDefault="000D6425">
      <w:pPr>
        <w:spacing w:line="500" w:lineRule="atLeast"/>
        <w:ind w:firstLine="600"/>
        <w:divId w:val="197402768"/>
        <w:rPr>
          <w:rFonts w:hint="eastAsia"/>
          <w:sz w:val="30"/>
          <w:szCs w:val="30"/>
        </w:rPr>
      </w:pPr>
      <w:r>
        <w:rPr>
          <w:rFonts w:hint="eastAsia"/>
          <w:sz w:val="30"/>
          <w:szCs w:val="30"/>
        </w:rPr>
        <w:t>综上，依照《中华人民共和国公司法》第一百四十八条、第一百四十九条、《中华人民共和国侵权责任法》第十条的规定，判决：任锋于判决生效之日起十日内赔偿爱彼思公司</w:t>
      </w:r>
      <w:r>
        <w:rPr>
          <w:rFonts w:hint="eastAsia"/>
          <w:sz w:val="30"/>
          <w:szCs w:val="30"/>
        </w:rPr>
        <w:t>18</w:t>
      </w:r>
      <w:r>
        <w:rPr>
          <w:rFonts w:hint="eastAsia"/>
          <w:sz w:val="30"/>
          <w:szCs w:val="30"/>
        </w:rPr>
        <w:t>万元，佳祺仕公司负连带责任。案件受理费</w:t>
      </w:r>
      <w:r>
        <w:rPr>
          <w:rFonts w:hint="eastAsia"/>
          <w:sz w:val="30"/>
          <w:szCs w:val="30"/>
        </w:rPr>
        <w:t>15144</w:t>
      </w:r>
      <w:r>
        <w:rPr>
          <w:rFonts w:hint="eastAsia"/>
          <w:sz w:val="30"/>
          <w:szCs w:val="30"/>
        </w:rPr>
        <w:t>元，分别由爱彼思公司负担</w:t>
      </w:r>
      <w:r>
        <w:rPr>
          <w:rFonts w:hint="eastAsia"/>
          <w:sz w:val="30"/>
          <w:szCs w:val="30"/>
        </w:rPr>
        <w:t>12772</w:t>
      </w:r>
      <w:r>
        <w:rPr>
          <w:rFonts w:hint="eastAsia"/>
          <w:sz w:val="30"/>
          <w:szCs w:val="30"/>
        </w:rPr>
        <w:t>元，由任</w:t>
      </w:r>
      <w:r>
        <w:rPr>
          <w:rFonts w:hint="eastAsia"/>
          <w:sz w:val="30"/>
          <w:szCs w:val="30"/>
        </w:rPr>
        <w:t>锋、佳祺仕公司负担</w:t>
      </w:r>
      <w:r>
        <w:rPr>
          <w:rFonts w:hint="eastAsia"/>
          <w:sz w:val="30"/>
          <w:szCs w:val="30"/>
        </w:rPr>
        <w:t>2372</w:t>
      </w:r>
      <w:r>
        <w:rPr>
          <w:rFonts w:hint="eastAsia"/>
          <w:sz w:val="30"/>
          <w:szCs w:val="30"/>
        </w:rPr>
        <w:t>元。</w:t>
      </w:r>
    </w:p>
    <w:p w:rsidR="00000000" w:rsidRDefault="000D6425">
      <w:pPr>
        <w:spacing w:line="500" w:lineRule="atLeast"/>
        <w:ind w:firstLine="600"/>
        <w:divId w:val="1200780060"/>
        <w:rPr>
          <w:rFonts w:hint="eastAsia"/>
          <w:sz w:val="30"/>
          <w:szCs w:val="30"/>
        </w:rPr>
      </w:pPr>
      <w:r>
        <w:rPr>
          <w:rFonts w:hint="eastAsia"/>
          <w:sz w:val="30"/>
          <w:szCs w:val="30"/>
        </w:rPr>
        <w:t>二审中，任锋与佳琪仕公司提供了：证据一、佳祺仕公司与可成、可胜两公司之间的发票共</w:t>
      </w:r>
      <w:r>
        <w:rPr>
          <w:rFonts w:hint="eastAsia"/>
          <w:sz w:val="30"/>
          <w:szCs w:val="30"/>
        </w:rPr>
        <w:t>31</w:t>
      </w:r>
      <w:r>
        <w:rPr>
          <w:rFonts w:hint="eastAsia"/>
          <w:sz w:val="30"/>
          <w:szCs w:val="30"/>
        </w:rPr>
        <w:t>张反映佳祺仕公司销售给可成、可胜公司的具体为四类产品，这些产品都不是爱彼思公司所生产经营的，两家公司之间不存在市场竞争关系。证据二、爱彼思公司的企业信用信息公示（网上调取），证明爱彼思公司现在已经列入经营异常名录，已经无法通过登记的地址跟该公司取得联系。证据三、</w:t>
      </w:r>
      <w:r>
        <w:rPr>
          <w:rFonts w:hint="eastAsia"/>
          <w:sz w:val="30"/>
          <w:szCs w:val="30"/>
        </w:rPr>
        <w:t>2018</w:t>
      </w:r>
      <w:r>
        <w:rPr>
          <w:rFonts w:hint="eastAsia"/>
          <w:sz w:val="30"/>
          <w:szCs w:val="30"/>
        </w:rPr>
        <w:t>苏</w:t>
      </w:r>
      <w:r>
        <w:rPr>
          <w:rFonts w:hint="eastAsia"/>
          <w:sz w:val="30"/>
          <w:szCs w:val="30"/>
        </w:rPr>
        <w:t>05</w:t>
      </w:r>
      <w:r>
        <w:rPr>
          <w:rFonts w:hint="eastAsia"/>
          <w:sz w:val="30"/>
          <w:szCs w:val="30"/>
        </w:rPr>
        <w:t>民终</w:t>
      </w:r>
      <w:r>
        <w:rPr>
          <w:rFonts w:hint="eastAsia"/>
          <w:sz w:val="30"/>
          <w:szCs w:val="30"/>
        </w:rPr>
        <w:t>7529</w:t>
      </w:r>
      <w:r>
        <w:rPr>
          <w:rFonts w:hint="eastAsia"/>
          <w:sz w:val="30"/>
          <w:szCs w:val="30"/>
        </w:rPr>
        <w:t>号民事判决书，反映爱彼思公司已经生效判决解散，在法律上的主体已经消灭失，所以更加也不会存在受到任何的损害。</w:t>
      </w:r>
    </w:p>
    <w:p w:rsidR="00000000" w:rsidRDefault="000D6425">
      <w:pPr>
        <w:spacing w:line="500" w:lineRule="atLeast"/>
        <w:ind w:firstLine="600"/>
        <w:divId w:val="334772579"/>
        <w:rPr>
          <w:rFonts w:hint="eastAsia"/>
          <w:sz w:val="30"/>
          <w:szCs w:val="30"/>
        </w:rPr>
      </w:pPr>
      <w:r>
        <w:rPr>
          <w:rFonts w:hint="eastAsia"/>
          <w:sz w:val="30"/>
          <w:szCs w:val="30"/>
        </w:rPr>
        <w:t>爱彼思公司质证认为：三份证据都不应属于二审新证据。证据一发票的真实性认可，发票上开具的具体内容，爱彼思公司是否有涉及相关业务，需要核实。即便双方的业务存在交叉，也不能否认两家公司具有实质性竞争关系这一事实，并且该事实已经生效判决予以明确。证据二、三的真实性均无异议，但不能达到对方证明目的。爱彼思公司是否经营和能否主张财产损害赔偿不矛盾。任锋的妻子杨洋诉爱彼思公司解散纠纷虽经生效判决判令公司解散，但尚未经解散后的清算程序，爱彼思公司的工商主体资格也尚未注销，即便注销也有权向相关的侵权人主张财产损害赔偿。</w:t>
      </w:r>
    </w:p>
    <w:p w:rsidR="00000000" w:rsidRDefault="000D6425">
      <w:pPr>
        <w:spacing w:line="500" w:lineRule="atLeast"/>
        <w:ind w:firstLine="600"/>
        <w:divId w:val="454951331"/>
        <w:rPr>
          <w:rFonts w:hint="eastAsia"/>
          <w:sz w:val="30"/>
          <w:szCs w:val="30"/>
        </w:rPr>
      </w:pPr>
      <w:r>
        <w:rPr>
          <w:rFonts w:hint="eastAsia"/>
          <w:sz w:val="30"/>
          <w:szCs w:val="30"/>
        </w:rPr>
        <w:t>一审</w:t>
      </w:r>
      <w:r>
        <w:rPr>
          <w:rFonts w:hint="eastAsia"/>
          <w:sz w:val="30"/>
          <w:szCs w:val="30"/>
        </w:rPr>
        <w:t>经审理查明的事实本院予以确认。</w:t>
      </w:r>
    </w:p>
    <w:p w:rsidR="00000000" w:rsidRDefault="000D6425">
      <w:pPr>
        <w:spacing w:line="500" w:lineRule="atLeast"/>
        <w:ind w:firstLine="600"/>
        <w:divId w:val="1637180739"/>
        <w:rPr>
          <w:rFonts w:hint="eastAsia"/>
          <w:sz w:val="30"/>
          <w:szCs w:val="30"/>
        </w:rPr>
      </w:pPr>
      <w:r>
        <w:rPr>
          <w:rFonts w:hint="eastAsia"/>
          <w:sz w:val="30"/>
          <w:szCs w:val="30"/>
        </w:rPr>
        <w:t>本院认为：任锋在担任爱彼思公司副总经理期间，指示其下属方志军向爱彼思公司客户发送关于业务划分的电子邮件的行为，系利用其职务便利为其担任法定代表人的佳琪仕公司谋取属于爱彼思公司的商业机会，违背了其作为爱彼思公司的高级管理人员对公司应尽的忠实义务，应承担相应的民事责任。任锋与佳琪仕公司上诉认为任锋并非爱彼思公司的高级管理人员，与事实相悖，不能成立。其上诉还认为佳琪仕公司与爱彼思公司并未构成同业竞争关系，该说法也与前述邮件内容相悖，且不直接影响任锋前述行为性质的认定。任锋在作出前述</w:t>
      </w:r>
      <w:r>
        <w:rPr>
          <w:rFonts w:hint="eastAsia"/>
          <w:sz w:val="30"/>
          <w:szCs w:val="30"/>
        </w:rPr>
        <w:t>行为时既为爱彼思公司的副总经理，同时也是佳琪仕公司的法定代表人，事实上佳琪仕公司也自</w:t>
      </w:r>
      <w:r>
        <w:rPr>
          <w:rFonts w:hint="eastAsia"/>
          <w:sz w:val="30"/>
          <w:szCs w:val="30"/>
        </w:rPr>
        <w:t>2016</w:t>
      </w:r>
      <w:r>
        <w:rPr>
          <w:rFonts w:hint="eastAsia"/>
          <w:sz w:val="30"/>
          <w:szCs w:val="30"/>
        </w:rPr>
        <w:t>年开始与可成集团下属公司发生大金额的业务往来，故一审认定佳琪仕公司与任锋构成共同侵权并无不当，任锋与佳琪仕公司的相关上诉理由不能成立。</w:t>
      </w:r>
    </w:p>
    <w:p w:rsidR="00000000" w:rsidRDefault="000D6425">
      <w:pPr>
        <w:spacing w:line="500" w:lineRule="atLeast"/>
        <w:ind w:firstLine="600"/>
        <w:divId w:val="1631664660"/>
        <w:rPr>
          <w:rFonts w:hint="eastAsia"/>
          <w:sz w:val="30"/>
          <w:szCs w:val="30"/>
        </w:rPr>
      </w:pPr>
      <w:r>
        <w:rPr>
          <w:rFonts w:hint="eastAsia"/>
          <w:sz w:val="30"/>
          <w:szCs w:val="30"/>
        </w:rPr>
        <w:t>综上所述，任锋与佳琪仕公司的上诉理由均不能成立，一审法院实体处理并无不当，应予维持。据此，依照《中华人民共和国民事诉讼法》第一百七十条第一款第一项之规定，判决如下：</w:t>
      </w:r>
    </w:p>
    <w:p w:rsidR="00000000" w:rsidRDefault="000D6425">
      <w:pPr>
        <w:spacing w:line="500" w:lineRule="atLeast"/>
        <w:ind w:firstLine="600"/>
        <w:divId w:val="892472930"/>
        <w:rPr>
          <w:rFonts w:hint="eastAsia"/>
          <w:sz w:val="30"/>
          <w:szCs w:val="30"/>
        </w:rPr>
      </w:pPr>
      <w:r>
        <w:rPr>
          <w:rFonts w:hint="eastAsia"/>
          <w:sz w:val="30"/>
          <w:szCs w:val="30"/>
        </w:rPr>
        <w:t>驳回上诉，维持原判。</w:t>
      </w:r>
    </w:p>
    <w:p w:rsidR="00000000" w:rsidRDefault="000D6425">
      <w:pPr>
        <w:spacing w:line="500" w:lineRule="atLeast"/>
        <w:ind w:firstLine="600"/>
        <w:divId w:val="1671984674"/>
        <w:rPr>
          <w:rFonts w:hint="eastAsia"/>
          <w:sz w:val="30"/>
          <w:szCs w:val="30"/>
        </w:rPr>
      </w:pPr>
      <w:r>
        <w:rPr>
          <w:rFonts w:hint="eastAsia"/>
          <w:sz w:val="30"/>
          <w:szCs w:val="30"/>
        </w:rPr>
        <w:t>二审案件受理费</w:t>
      </w:r>
      <w:r>
        <w:rPr>
          <w:rFonts w:hint="eastAsia"/>
          <w:sz w:val="30"/>
          <w:szCs w:val="30"/>
        </w:rPr>
        <w:t>15144</w:t>
      </w:r>
      <w:r>
        <w:rPr>
          <w:rFonts w:hint="eastAsia"/>
          <w:sz w:val="30"/>
          <w:szCs w:val="30"/>
        </w:rPr>
        <w:t>元，由上诉人任锋及苏州佳祺仕信息科技有限公司负担。</w:t>
      </w:r>
    </w:p>
    <w:p w:rsidR="00000000" w:rsidRDefault="000D6425">
      <w:pPr>
        <w:spacing w:line="500" w:lineRule="atLeast"/>
        <w:ind w:firstLine="600"/>
        <w:divId w:val="675302857"/>
        <w:rPr>
          <w:rFonts w:hint="eastAsia"/>
          <w:sz w:val="30"/>
          <w:szCs w:val="30"/>
        </w:rPr>
      </w:pPr>
      <w:r>
        <w:rPr>
          <w:rFonts w:hint="eastAsia"/>
          <w:sz w:val="30"/>
          <w:szCs w:val="30"/>
        </w:rPr>
        <w:t>本判决为终审判决。</w:t>
      </w:r>
    </w:p>
    <w:p w:rsidR="00000000" w:rsidRDefault="000D6425">
      <w:pPr>
        <w:spacing w:line="500" w:lineRule="atLeast"/>
        <w:jc w:val="right"/>
        <w:divId w:val="786000519"/>
        <w:rPr>
          <w:rFonts w:hint="eastAsia"/>
          <w:sz w:val="30"/>
          <w:szCs w:val="30"/>
        </w:rPr>
      </w:pPr>
      <w:r>
        <w:rPr>
          <w:rFonts w:hint="eastAsia"/>
          <w:sz w:val="30"/>
          <w:szCs w:val="30"/>
        </w:rPr>
        <w:t>审判长　管　丰</w:t>
      </w:r>
    </w:p>
    <w:p w:rsidR="00000000" w:rsidRDefault="000D6425">
      <w:pPr>
        <w:spacing w:line="500" w:lineRule="atLeast"/>
        <w:jc w:val="right"/>
        <w:divId w:val="1548685096"/>
        <w:rPr>
          <w:rFonts w:hint="eastAsia"/>
          <w:sz w:val="30"/>
          <w:szCs w:val="30"/>
        </w:rPr>
      </w:pPr>
      <w:r>
        <w:rPr>
          <w:rFonts w:hint="eastAsia"/>
          <w:sz w:val="30"/>
          <w:szCs w:val="30"/>
        </w:rPr>
        <w:t>审判员　孙晓蕾</w:t>
      </w:r>
    </w:p>
    <w:p w:rsidR="00000000" w:rsidRDefault="000D6425">
      <w:pPr>
        <w:spacing w:line="500" w:lineRule="atLeast"/>
        <w:jc w:val="right"/>
        <w:divId w:val="1982734387"/>
        <w:rPr>
          <w:rFonts w:hint="eastAsia"/>
          <w:sz w:val="30"/>
          <w:szCs w:val="30"/>
        </w:rPr>
      </w:pPr>
      <w:r>
        <w:rPr>
          <w:rFonts w:hint="eastAsia"/>
          <w:sz w:val="30"/>
          <w:szCs w:val="30"/>
        </w:rPr>
        <w:t>审判员　李　诚</w:t>
      </w:r>
    </w:p>
    <w:p w:rsidR="00000000" w:rsidRDefault="000D6425">
      <w:pPr>
        <w:spacing w:line="500" w:lineRule="atLeast"/>
        <w:jc w:val="right"/>
        <w:divId w:val="1173571514"/>
        <w:rPr>
          <w:rFonts w:hint="eastAsia"/>
          <w:sz w:val="30"/>
          <w:szCs w:val="30"/>
        </w:rPr>
      </w:pPr>
      <w:r>
        <w:rPr>
          <w:rFonts w:hint="eastAsia"/>
          <w:sz w:val="30"/>
          <w:szCs w:val="30"/>
        </w:rPr>
        <w:t>二〇二〇年二月十八日</w:t>
      </w:r>
    </w:p>
    <w:p w:rsidR="00000000" w:rsidRDefault="000D6425">
      <w:pPr>
        <w:spacing w:line="500" w:lineRule="atLeast"/>
        <w:jc w:val="right"/>
        <w:divId w:val="1422606154"/>
        <w:rPr>
          <w:rFonts w:hint="eastAsia"/>
          <w:sz w:val="30"/>
          <w:szCs w:val="30"/>
        </w:rPr>
      </w:pPr>
      <w:r>
        <w:rPr>
          <w:rFonts w:hint="eastAsia"/>
          <w:sz w:val="30"/>
          <w:szCs w:val="30"/>
        </w:rPr>
        <w:t>书记员　汤烨雯</w:t>
      </w:r>
    </w:p>
    <w:p w:rsidR="00000000" w:rsidRDefault="000D6425">
      <w:pPr>
        <w:spacing w:line="500" w:lineRule="atLeast"/>
        <w:ind w:firstLine="600"/>
        <w:divId w:val="341785526"/>
        <w:rPr>
          <w:rFonts w:hint="eastAsia"/>
          <w:sz w:val="30"/>
          <w:szCs w:val="30"/>
        </w:rPr>
      </w:pPr>
      <w:r>
        <w:rPr>
          <w:rFonts w:hint="eastAsia"/>
          <w:sz w:val="30"/>
          <w:szCs w:val="30"/>
        </w:rPr>
        <w:t>法律文书履行提示</w:t>
      </w:r>
    </w:p>
    <w:p w:rsidR="00000000" w:rsidRDefault="000D6425">
      <w:pPr>
        <w:spacing w:line="500" w:lineRule="atLeast"/>
        <w:ind w:firstLine="600"/>
        <w:divId w:val="1319109325"/>
        <w:rPr>
          <w:rFonts w:hint="eastAsia"/>
          <w:sz w:val="30"/>
          <w:szCs w:val="30"/>
        </w:rPr>
      </w:pPr>
      <w:r>
        <w:rPr>
          <w:rFonts w:hint="eastAsia"/>
          <w:sz w:val="30"/>
          <w:szCs w:val="30"/>
        </w:rPr>
        <w:t>人民法院依法作出的生效法律文书，具有国家权威性和强制执行力，当事人应当依法自觉履行生效法律文书所确定的义务，否则人民法院将根据对方当事人的申请依法强制执行，被执行人将面临以下执行风险：</w:t>
      </w:r>
    </w:p>
    <w:p w:rsidR="00000000" w:rsidRDefault="000D6425">
      <w:pPr>
        <w:spacing w:line="500" w:lineRule="atLeast"/>
        <w:ind w:firstLine="600"/>
        <w:divId w:val="1935478534"/>
        <w:rPr>
          <w:rFonts w:hint="eastAsia"/>
          <w:sz w:val="30"/>
          <w:szCs w:val="30"/>
        </w:rPr>
      </w:pPr>
      <w:r>
        <w:rPr>
          <w:rFonts w:hint="eastAsia"/>
          <w:sz w:val="30"/>
          <w:szCs w:val="30"/>
        </w:rPr>
        <w:t>一、被执行人未按执行通知履行生效法律文书确定的义务，人民法院有权对其名下财产采取查封、扣押、冻结、拍卖、变卖等强制执行措施，并有权对被执行人及其住所、经营场所进行搜查。</w:t>
      </w:r>
    </w:p>
    <w:p w:rsidR="00000000" w:rsidRDefault="000D6425">
      <w:pPr>
        <w:spacing w:line="500" w:lineRule="atLeast"/>
        <w:ind w:firstLine="600"/>
        <w:divId w:val="1692956540"/>
        <w:rPr>
          <w:rFonts w:hint="eastAsia"/>
          <w:sz w:val="30"/>
          <w:szCs w:val="30"/>
        </w:rPr>
      </w:pPr>
      <w:r>
        <w:rPr>
          <w:rFonts w:hint="eastAsia"/>
          <w:sz w:val="30"/>
          <w:szCs w:val="30"/>
        </w:rPr>
        <w:t>二、被执行人未按生效法律文书指定的期间履行给付金钱义</w:t>
      </w:r>
      <w:r>
        <w:rPr>
          <w:rFonts w:hint="eastAsia"/>
          <w:sz w:val="30"/>
          <w:szCs w:val="30"/>
        </w:rPr>
        <w:t>务的，应当加倍支付迟延履行期间的债务利息，未按生效法律文书指定的期间履行其他义务的，应当支付迟延履行金。执行费用由被执行人承担。</w:t>
      </w:r>
    </w:p>
    <w:p w:rsidR="00000000" w:rsidRDefault="000D6425">
      <w:pPr>
        <w:spacing w:line="500" w:lineRule="atLeast"/>
        <w:ind w:firstLine="600"/>
        <w:divId w:val="52317299"/>
        <w:rPr>
          <w:rFonts w:hint="eastAsia"/>
          <w:sz w:val="30"/>
          <w:szCs w:val="30"/>
        </w:rPr>
      </w:pPr>
      <w:r>
        <w:rPr>
          <w:rFonts w:hint="eastAsia"/>
          <w:sz w:val="30"/>
          <w:szCs w:val="30"/>
        </w:rPr>
        <w:t>三、被执行人不履行生效法律文书确定的义务，人民法院有权对被执行人或者其法定代理人、有关单位的法定代表人、主要负责人、影响债务履行的直接责任人员采取限制出境措施。</w:t>
      </w:r>
    </w:p>
    <w:p w:rsidR="00000000" w:rsidRDefault="000D6425">
      <w:pPr>
        <w:spacing w:line="500" w:lineRule="atLeast"/>
        <w:ind w:firstLine="600"/>
        <w:divId w:val="1914008359"/>
        <w:rPr>
          <w:rFonts w:hint="eastAsia"/>
          <w:sz w:val="30"/>
          <w:szCs w:val="30"/>
        </w:rPr>
      </w:pPr>
      <w:r>
        <w:rPr>
          <w:rFonts w:hint="eastAsia"/>
          <w:sz w:val="30"/>
          <w:szCs w:val="30"/>
        </w:rPr>
        <w:t>四、被执行人以暴力、威胁或者其他方法阻碍执行人员执行公务或者拒不履行人民法院已经发生法律效力的判决、裁定的，人民法院有权对被执行人或者其主要负责人、直接责任人员予以罚款、拘留，构成犯罪的，依法追究刑事责任。</w:t>
      </w:r>
    </w:p>
    <w:p w:rsidR="00000000" w:rsidRDefault="000D6425">
      <w:pPr>
        <w:spacing w:line="500" w:lineRule="atLeast"/>
        <w:ind w:firstLine="600"/>
        <w:divId w:val="965310848"/>
        <w:rPr>
          <w:rFonts w:hint="eastAsia"/>
          <w:sz w:val="30"/>
          <w:szCs w:val="30"/>
        </w:rPr>
      </w:pPr>
      <w:r>
        <w:rPr>
          <w:rFonts w:hint="eastAsia"/>
          <w:sz w:val="30"/>
          <w:szCs w:val="30"/>
        </w:rPr>
        <w:t>四、被执行人</w:t>
      </w:r>
      <w:r>
        <w:rPr>
          <w:rFonts w:hint="eastAsia"/>
          <w:sz w:val="30"/>
          <w:szCs w:val="30"/>
        </w:rPr>
        <w:t>拒绝报告、虚假报告财产的，人民法院有权根据情节轻重对被执行人或者其法定代理人、有关单位的主要负责人、直接责任人及实际控制人予以罚款、拘留。</w:t>
      </w:r>
    </w:p>
    <w:p w:rsidR="00000000" w:rsidRDefault="000D6425">
      <w:pPr>
        <w:spacing w:line="500" w:lineRule="atLeast"/>
        <w:ind w:firstLine="600"/>
        <w:divId w:val="1465807156"/>
        <w:rPr>
          <w:rFonts w:hint="eastAsia"/>
          <w:sz w:val="30"/>
          <w:szCs w:val="30"/>
        </w:rPr>
      </w:pPr>
      <w:r>
        <w:rPr>
          <w:rFonts w:hint="eastAsia"/>
          <w:sz w:val="30"/>
          <w:szCs w:val="30"/>
        </w:rPr>
        <w:t>五、被执行人不履行生效法律文书确定的义务，人民法院有权对其采取限制消费措施。被执行人及其法定代表人、主要负责人、影响债务履行的直接责任人员、实际控制人不得有以下高消费及非生活和工作必需的消费行为：</w:t>
      </w:r>
    </w:p>
    <w:p w:rsidR="00000000" w:rsidRDefault="000D6425">
      <w:pPr>
        <w:spacing w:line="500" w:lineRule="atLeast"/>
        <w:ind w:firstLine="600"/>
        <w:divId w:val="2137748702"/>
        <w:rPr>
          <w:rFonts w:hint="eastAsia"/>
          <w:sz w:val="30"/>
          <w:szCs w:val="30"/>
        </w:rPr>
      </w:pPr>
      <w:r>
        <w:rPr>
          <w:rFonts w:hint="eastAsia"/>
          <w:sz w:val="30"/>
          <w:szCs w:val="30"/>
        </w:rPr>
        <w:t>（一）乘坐交通工具时，选择飞机、列车软卧、轮船二等座以上舱位；</w:t>
      </w:r>
    </w:p>
    <w:p w:rsidR="00000000" w:rsidRDefault="000D6425">
      <w:pPr>
        <w:spacing w:line="500" w:lineRule="atLeast"/>
        <w:ind w:firstLine="600"/>
        <w:divId w:val="604077025"/>
        <w:rPr>
          <w:rFonts w:hint="eastAsia"/>
          <w:sz w:val="30"/>
          <w:szCs w:val="30"/>
        </w:rPr>
      </w:pPr>
      <w:r>
        <w:rPr>
          <w:rFonts w:hint="eastAsia"/>
          <w:sz w:val="30"/>
          <w:szCs w:val="30"/>
        </w:rPr>
        <w:t>（二）在星级以上宾馆、酒店、夜总会、高尔夫球场等场所进行高消费；</w:t>
      </w:r>
    </w:p>
    <w:p w:rsidR="00000000" w:rsidRDefault="000D6425">
      <w:pPr>
        <w:spacing w:line="500" w:lineRule="atLeast"/>
        <w:ind w:firstLine="600"/>
        <w:divId w:val="288249044"/>
        <w:rPr>
          <w:rFonts w:hint="eastAsia"/>
          <w:sz w:val="30"/>
          <w:szCs w:val="30"/>
        </w:rPr>
      </w:pPr>
      <w:r>
        <w:rPr>
          <w:rFonts w:hint="eastAsia"/>
          <w:sz w:val="30"/>
          <w:szCs w:val="30"/>
        </w:rPr>
        <w:t>（三）购买不动产或者新建、扩建、高档装修房屋</w:t>
      </w:r>
      <w:r>
        <w:rPr>
          <w:rFonts w:hint="eastAsia"/>
          <w:sz w:val="30"/>
          <w:szCs w:val="30"/>
        </w:rPr>
        <w:t>；</w:t>
      </w:r>
    </w:p>
    <w:p w:rsidR="00000000" w:rsidRDefault="000D6425">
      <w:pPr>
        <w:spacing w:line="500" w:lineRule="atLeast"/>
        <w:ind w:firstLine="600"/>
        <w:divId w:val="1687948122"/>
        <w:rPr>
          <w:rFonts w:hint="eastAsia"/>
          <w:sz w:val="30"/>
          <w:szCs w:val="30"/>
        </w:rPr>
      </w:pPr>
      <w:r>
        <w:rPr>
          <w:rFonts w:hint="eastAsia"/>
          <w:sz w:val="30"/>
          <w:szCs w:val="30"/>
        </w:rPr>
        <w:t>（四）租赁高档写字楼、宾馆、公寓等场所办公；</w:t>
      </w:r>
    </w:p>
    <w:p w:rsidR="00000000" w:rsidRDefault="000D6425">
      <w:pPr>
        <w:spacing w:line="500" w:lineRule="atLeast"/>
        <w:ind w:firstLine="600"/>
        <w:divId w:val="1976787466"/>
        <w:rPr>
          <w:rFonts w:hint="eastAsia"/>
          <w:sz w:val="30"/>
          <w:szCs w:val="30"/>
        </w:rPr>
      </w:pPr>
      <w:r>
        <w:rPr>
          <w:rFonts w:hint="eastAsia"/>
          <w:sz w:val="30"/>
          <w:szCs w:val="30"/>
        </w:rPr>
        <w:t>（五）购买费经营必须车辆；</w:t>
      </w:r>
    </w:p>
    <w:p w:rsidR="00000000" w:rsidRDefault="000D6425">
      <w:pPr>
        <w:spacing w:line="500" w:lineRule="atLeast"/>
        <w:ind w:firstLine="600"/>
        <w:divId w:val="1145511558"/>
        <w:rPr>
          <w:rFonts w:hint="eastAsia"/>
          <w:sz w:val="30"/>
          <w:szCs w:val="30"/>
        </w:rPr>
      </w:pPr>
      <w:r>
        <w:rPr>
          <w:rFonts w:hint="eastAsia"/>
          <w:sz w:val="30"/>
          <w:szCs w:val="30"/>
        </w:rPr>
        <w:t>（六）旅游、度假；</w:t>
      </w:r>
    </w:p>
    <w:p w:rsidR="00000000" w:rsidRDefault="000D6425">
      <w:pPr>
        <w:spacing w:line="500" w:lineRule="atLeast"/>
        <w:ind w:firstLine="600"/>
        <w:divId w:val="348068195"/>
        <w:rPr>
          <w:rFonts w:hint="eastAsia"/>
          <w:sz w:val="30"/>
          <w:szCs w:val="30"/>
        </w:rPr>
      </w:pPr>
      <w:r>
        <w:rPr>
          <w:rFonts w:hint="eastAsia"/>
          <w:sz w:val="30"/>
          <w:szCs w:val="30"/>
        </w:rPr>
        <w:t>（七）子女就读高收费私立学校；</w:t>
      </w:r>
    </w:p>
    <w:p w:rsidR="00000000" w:rsidRDefault="000D6425">
      <w:pPr>
        <w:spacing w:line="500" w:lineRule="atLeast"/>
        <w:ind w:firstLine="600"/>
        <w:divId w:val="1991712869"/>
        <w:rPr>
          <w:rFonts w:hint="eastAsia"/>
          <w:sz w:val="30"/>
          <w:szCs w:val="30"/>
        </w:rPr>
      </w:pPr>
      <w:r>
        <w:rPr>
          <w:rFonts w:hint="eastAsia"/>
          <w:sz w:val="30"/>
          <w:szCs w:val="30"/>
        </w:rPr>
        <w:t>（八）支付高额保费购买保险理财产品；</w:t>
      </w:r>
    </w:p>
    <w:p w:rsidR="00000000" w:rsidRDefault="000D6425">
      <w:pPr>
        <w:spacing w:line="500" w:lineRule="atLeast"/>
        <w:ind w:firstLine="600"/>
        <w:divId w:val="1372069273"/>
        <w:rPr>
          <w:rFonts w:hint="eastAsia"/>
          <w:sz w:val="30"/>
          <w:szCs w:val="30"/>
        </w:rPr>
      </w:pPr>
      <w:r>
        <w:rPr>
          <w:rFonts w:hint="eastAsia"/>
          <w:sz w:val="30"/>
          <w:szCs w:val="30"/>
        </w:rPr>
        <w:t>（九）乘坐</w:t>
      </w:r>
      <w:r>
        <w:rPr>
          <w:rFonts w:hint="eastAsia"/>
          <w:sz w:val="30"/>
          <w:szCs w:val="30"/>
        </w:rPr>
        <w:t>G</w:t>
      </w:r>
      <w:r>
        <w:rPr>
          <w:rFonts w:hint="eastAsia"/>
          <w:sz w:val="30"/>
          <w:szCs w:val="30"/>
        </w:rPr>
        <w:t>字头动车组列车全部座位、其他动车组一等以上座位等其他非生活和工作必须的消费行为。</w:t>
      </w:r>
    </w:p>
    <w:p w:rsidR="00000000" w:rsidRDefault="000D6425">
      <w:pPr>
        <w:spacing w:line="500" w:lineRule="atLeast"/>
        <w:ind w:firstLine="600"/>
        <w:divId w:val="174002356"/>
        <w:rPr>
          <w:rFonts w:hint="eastAsia"/>
          <w:sz w:val="30"/>
          <w:szCs w:val="30"/>
        </w:rPr>
      </w:pPr>
      <w:r>
        <w:rPr>
          <w:rFonts w:hint="eastAsia"/>
          <w:sz w:val="30"/>
          <w:szCs w:val="30"/>
        </w:rPr>
        <w:t>六、被执行人有履行能力而拒不履行生效法律文书确定义务的，或者通过伪造证据、暴力、威胁等方法抗拒执行，以虚假诉讼、虚假仲裁或者隐匿、转移财产等方法规避执行的，人民法院有权将其纳入失信被执行人名单，通过报纸、广播、电视、网络、法院公告栏、电子显示屏、新闻发布会等方式向社会公布，并向政府相关部门、金融监管机构、金融机构、承担行政职能的事业单位及行业协会等通报，供相关单位依照法律、法规和有关规定，在政府采购、招标投标、行政审批、政府扶持、融资信贷、市场准入、资质认定等方面，对失信被执行人予以信用惩戒；向征信机构通报</w:t>
      </w:r>
      <w:r>
        <w:rPr>
          <w:rFonts w:hint="eastAsia"/>
          <w:sz w:val="30"/>
          <w:szCs w:val="30"/>
        </w:rPr>
        <w:t>，由征信机构在其征信系统中记录。</w:t>
      </w:r>
    </w:p>
    <w:p w:rsidR="00000000" w:rsidRDefault="000D6425">
      <w:pPr>
        <w:spacing w:line="500" w:lineRule="atLeast"/>
        <w:ind w:firstLine="600"/>
        <w:divId w:val="1329282627"/>
        <w:rPr>
          <w:rFonts w:hint="eastAsia"/>
          <w:sz w:val="30"/>
          <w:szCs w:val="30"/>
        </w:rPr>
      </w:pPr>
      <w:r>
        <w:rPr>
          <w:rFonts w:hint="eastAsia"/>
          <w:sz w:val="30"/>
          <w:szCs w:val="30"/>
        </w:rPr>
        <w:t>国家工作人员、人大代表、政协委员等被纳入失信被执行人名单的，人民法院有权将失信情况通报其所在单位和相关部门。国家机关、事业单位、国有企业等被纳入失信被执行人名单的，人民法院有权将失信情况通报其上级单位、主管部门或者履行出资人职责的机构。</w:t>
      </w:r>
    </w:p>
    <w:p w:rsidR="00000000" w:rsidRDefault="000D6425">
      <w:pPr>
        <w:spacing w:line="500" w:lineRule="atLeast"/>
        <w:ind w:firstLine="600"/>
        <w:divId w:val="504442315"/>
        <w:rPr>
          <w:rFonts w:hint="eastAsia"/>
          <w:sz w:val="30"/>
          <w:szCs w:val="30"/>
        </w:rPr>
      </w:pPr>
      <w:r>
        <w:rPr>
          <w:rFonts w:hint="eastAsia"/>
          <w:sz w:val="30"/>
          <w:szCs w:val="30"/>
        </w:rPr>
        <w:t>七、被执行人隐藏、转移、故意毁损财产或者无偿转让财产、以明显不合理的低价转让财产，或者与他人串通，通过虚假诉讼、虚假仲裁、虚假和解等方式妨害执行，致使判决、裁定无法执行的，以拒不执行判决、裁定罪依法追究刑事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425" w:rsidRDefault="000D6425" w:rsidP="000D6425">
      <w:r>
        <w:separator/>
      </w:r>
    </w:p>
  </w:endnote>
  <w:endnote w:type="continuationSeparator" w:id="0">
    <w:p w:rsidR="000D6425" w:rsidRDefault="000D6425" w:rsidP="000D6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425" w:rsidRDefault="000D6425" w:rsidP="000D6425">
      <w:r>
        <w:separator/>
      </w:r>
    </w:p>
  </w:footnote>
  <w:footnote w:type="continuationSeparator" w:id="0">
    <w:p w:rsidR="000D6425" w:rsidRDefault="000D6425" w:rsidP="000D64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D6425"/>
    <w:rsid w:val="000D6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D64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425"/>
    <w:rPr>
      <w:rFonts w:ascii="宋体" w:eastAsia="宋体" w:hAnsi="宋体" w:cs="宋体"/>
      <w:sz w:val="18"/>
      <w:szCs w:val="18"/>
    </w:rPr>
  </w:style>
  <w:style w:type="paragraph" w:styleId="a5">
    <w:name w:val="footer"/>
    <w:basedOn w:val="a"/>
    <w:link w:val="a6"/>
    <w:uiPriority w:val="99"/>
    <w:unhideWhenUsed/>
    <w:rsid w:val="000D6425"/>
    <w:pPr>
      <w:tabs>
        <w:tab w:val="center" w:pos="4153"/>
        <w:tab w:val="right" w:pos="8306"/>
      </w:tabs>
      <w:snapToGrid w:val="0"/>
    </w:pPr>
    <w:rPr>
      <w:sz w:val="18"/>
      <w:szCs w:val="18"/>
    </w:rPr>
  </w:style>
  <w:style w:type="character" w:customStyle="1" w:styleId="a6">
    <w:name w:val="页脚 字符"/>
    <w:basedOn w:val="a0"/>
    <w:link w:val="a5"/>
    <w:uiPriority w:val="99"/>
    <w:rsid w:val="000D642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1698">
      <w:marLeft w:val="0"/>
      <w:marRight w:val="0"/>
      <w:marTop w:val="10"/>
      <w:marBottom w:val="10"/>
      <w:divBdr>
        <w:top w:val="none" w:sz="0" w:space="0" w:color="auto"/>
        <w:left w:val="none" w:sz="0" w:space="0" w:color="auto"/>
        <w:bottom w:val="none" w:sz="0" w:space="0" w:color="auto"/>
        <w:right w:val="none" w:sz="0" w:space="0" w:color="auto"/>
      </w:divBdr>
    </w:div>
    <w:div w:id="41751988">
      <w:marLeft w:val="0"/>
      <w:marRight w:val="0"/>
      <w:marTop w:val="10"/>
      <w:marBottom w:val="10"/>
      <w:divBdr>
        <w:top w:val="none" w:sz="0" w:space="0" w:color="auto"/>
        <w:left w:val="none" w:sz="0" w:space="0" w:color="auto"/>
        <w:bottom w:val="none" w:sz="0" w:space="0" w:color="auto"/>
        <w:right w:val="none" w:sz="0" w:space="0" w:color="auto"/>
      </w:divBdr>
    </w:div>
    <w:div w:id="52317299">
      <w:marLeft w:val="0"/>
      <w:marRight w:val="0"/>
      <w:marTop w:val="10"/>
      <w:marBottom w:val="10"/>
      <w:divBdr>
        <w:top w:val="none" w:sz="0" w:space="0" w:color="auto"/>
        <w:left w:val="none" w:sz="0" w:space="0" w:color="auto"/>
        <w:bottom w:val="none" w:sz="0" w:space="0" w:color="auto"/>
        <w:right w:val="none" w:sz="0" w:space="0" w:color="auto"/>
      </w:divBdr>
    </w:div>
    <w:div w:id="87388039">
      <w:marLeft w:val="0"/>
      <w:marRight w:val="0"/>
      <w:marTop w:val="10"/>
      <w:marBottom w:val="10"/>
      <w:divBdr>
        <w:top w:val="none" w:sz="0" w:space="0" w:color="auto"/>
        <w:left w:val="none" w:sz="0" w:space="0" w:color="auto"/>
        <w:bottom w:val="none" w:sz="0" w:space="0" w:color="auto"/>
        <w:right w:val="none" w:sz="0" w:space="0" w:color="auto"/>
      </w:divBdr>
    </w:div>
    <w:div w:id="152725378">
      <w:marLeft w:val="0"/>
      <w:marRight w:val="0"/>
      <w:marTop w:val="10"/>
      <w:marBottom w:val="10"/>
      <w:divBdr>
        <w:top w:val="none" w:sz="0" w:space="0" w:color="auto"/>
        <w:left w:val="none" w:sz="0" w:space="0" w:color="auto"/>
        <w:bottom w:val="none" w:sz="0" w:space="0" w:color="auto"/>
        <w:right w:val="none" w:sz="0" w:space="0" w:color="auto"/>
      </w:divBdr>
    </w:div>
    <w:div w:id="171116115">
      <w:marLeft w:val="0"/>
      <w:marRight w:val="0"/>
      <w:marTop w:val="10"/>
      <w:marBottom w:val="10"/>
      <w:divBdr>
        <w:top w:val="none" w:sz="0" w:space="0" w:color="auto"/>
        <w:left w:val="none" w:sz="0" w:space="0" w:color="auto"/>
        <w:bottom w:val="none" w:sz="0" w:space="0" w:color="auto"/>
        <w:right w:val="none" w:sz="0" w:space="0" w:color="auto"/>
      </w:divBdr>
    </w:div>
    <w:div w:id="174002356">
      <w:marLeft w:val="0"/>
      <w:marRight w:val="0"/>
      <w:marTop w:val="10"/>
      <w:marBottom w:val="10"/>
      <w:divBdr>
        <w:top w:val="none" w:sz="0" w:space="0" w:color="auto"/>
        <w:left w:val="none" w:sz="0" w:space="0" w:color="auto"/>
        <w:bottom w:val="none" w:sz="0" w:space="0" w:color="auto"/>
        <w:right w:val="none" w:sz="0" w:space="0" w:color="auto"/>
      </w:divBdr>
    </w:div>
    <w:div w:id="197402768">
      <w:marLeft w:val="0"/>
      <w:marRight w:val="0"/>
      <w:marTop w:val="10"/>
      <w:marBottom w:val="10"/>
      <w:divBdr>
        <w:top w:val="none" w:sz="0" w:space="0" w:color="auto"/>
        <w:left w:val="none" w:sz="0" w:space="0" w:color="auto"/>
        <w:bottom w:val="none" w:sz="0" w:space="0" w:color="auto"/>
        <w:right w:val="none" w:sz="0" w:space="0" w:color="auto"/>
      </w:divBdr>
    </w:div>
    <w:div w:id="235819488">
      <w:marLeft w:val="0"/>
      <w:marRight w:val="0"/>
      <w:marTop w:val="10"/>
      <w:marBottom w:val="10"/>
      <w:divBdr>
        <w:top w:val="none" w:sz="0" w:space="0" w:color="auto"/>
        <w:left w:val="none" w:sz="0" w:space="0" w:color="auto"/>
        <w:bottom w:val="none" w:sz="0" w:space="0" w:color="auto"/>
        <w:right w:val="none" w:sz="0" w:space="0" w:color="auto"/>
      </w:divBdr>
    </w:div>
    <w:div w:id="288249044">
      <w:marLeft w:val="0"/>
      <w:marRight w:val="0"/>
      <w:marTop w:val="10"/>
      <w:marBottom w:val="10"/>
      <w:divBdr>
        <w:top w:val="none" w:sz="0" w:space="0" w:color="auto"/>
        <w:left w:val="none" w:sz="0" w:space="0" w:color="auto"/>
        <w:bottom w:val="none" w:sz="0" w:space="0" w:color="auto"/>
        <w:right w:val="none" w:sz="0" w:space="0" w:color="auto"/>
      </w:divBdr>
    </w:div>
    <w:div w:id="334772579">
      <w:marLeft w:val="0"/>
      <w:marRight w:val="0"/>
      <w:marTop w:val="10"/>
      <w:marBottom w:val="10"/>
      <w:divBdr>
        <w:top w:val="none" w:sz="0" w:space="0" w:color="auto"/>
        <w:left w:val="none" w:sz="0" w:space="0" w:color="auto"/>
        <w:bottom w:val="none" w:sz="0" w:space="0" w:color="auto"/>
        <w:right w:val="none" w:sz="0" w:space="0" w:color="auto"/>
      </w:divBdr>
    </w:div>
    <w:div w:id="341785526">
      <w:marLeft w:val="0"/>
      <w:marRight w:val="0"/>
      <w:marTop w:val="10"/>
      <w:marBottom w:val="10"/>
      <w:divBdr>
        <w:top w:val="none" w:sz="0" w:space="0" w:color="auto"/>
        <w:left w:val="none" w:sz="0" w:space="0" w:color="auto"/>
        <w:bottom w:val="none" w:sz="0" w:space="0" w:color="auto"/>
        <w:right w:val="none" w:sz="0" w:space="0" w:color="auto"/>
      </w:divBdr>
    </w:div>
    <w:div w:id="348068195">
      <w:marLeft w:val="0"/>
      <w:marRight w:val="0"/>
      <w:marTop w:val="10"/>
      <w:marBottom w:val="10"/>
      <w:divBdr>
        <w:top w:val="none" w:sz="0" w:space="0" w:color="auto"/>
        <w:left w:val="none" w:sz="0" w:space="0" w:color="auto"/>
        <w:bottom w:val="none" w:sz="0" w:space="0" w:color="auto"/>
        <w:right w:val="none" w:sz="0" w:space="0" w:color="auto"/>
      </w:divBdr>
    </w:div>
    <w:div w:id="454951331">
      <w:marLeft w:val="0"/>
      <w:marRight w:val="0"/>
      <w:marTop w:val="10"/>
      <w:marBottom w:val="10"/>
      <w:divBdr>
        <w:top w:val="none" w:sz="0" w:space="0" w:color="auto"/>
        <w:left w:val="none" w:sz="0" w:space="0" w:color="auto"/>
        <w:bottom w:val="none" w:sz="0" w:space="0" w:color="auto"/>
        <w:right w:val="none" w:sz="0" w:space="0" w:color="auto"/>
      </w:divBdr>
    </w:div>
    <w:div w:id="504442315">
      <w:marLeft w:val="0"/>
      <w:marRight w:val="0"/>
      <w:marTop w:val="10"/>
      <w:marBottom w:val="10"/>
      <w:divBdr>
        <w:top w:val="none" w:sz="0" w:space="0" w:color="auto"/>
        <w:left w:val="none" w:sz="0" w:space="0" w:color="auto"/>
        <w:bottom w:val="none" w:sz="0" w:space="0" w:color="auto"/>
        <w:right w:val="none" w:sz="0" w:space="0" w:color="auto"/>
      </w:divBdr>
    </w:div>
    <w:div w:id="542327124">
      <w:marLeft w:val="0"/>
      <w:marRight w:val="0"/>
      <w:marTop w:val="10"/>
      <w:marBottom w:val="10"/>
      <w:divBdr>
        <w:top w:val="none" w:sz="0" w:space="0" w:color="auto"/>
        <w:left w:val="none" w:sz="0" w:space="0" w:color="auto"/>
        <w:bottom w:val="none" w:sz="0" w:space="0" w:color="auto"/>
        <w:right w:val="none" w:sz="0" w:space="0" w:color="auto"/>
      </w:divBdr>
    </w:div>
    <w:div w:id="604077025">
      <w:marLeft w:val="0"/>
      <w:marRight w:val="0"/>
      <w:marTop w:val="10"/>
      <w:marBottom w:val="10"/>
      <w:divBdr>
        <w:top w:val="none" w:sz="0" w:space="0" w:color="auto"/>
        <w:left w:val="none" w:sz="0" w:space="0" w:color="auto"/>
        <w:bottom w:val="none" w:sz="0" w:space="0" w:color="auto"/>
        <w:right w:val="none" w:sz="0" w:space="0" w:color="auto"/>
      </w:divBdr>
    </w:div>
    <w:div w:id="675302857">
      <w:marLeft w:val="0"/>
      <w:marRight w:val="0"/>
      <w:marTop w:val="10"/>
      <w:marBottom w:val="10"/>
      <w:divBdr>
        <w:top w:val="none" w:sz="0" w:space="0" w:color="auto"/>
        <w:left w:val="none" w:sz="0" w:space="0" w:color="auto"/>
        <w:bottom w:val="none" w:sz="0" w:space="0" w:color="auto"/>
        <w:right w:val="none" w:sz="0" w:space="0" w:color="auto"/>
      </w:divBdr>
    </w:div>
    <w:div w:id="732703372">
      <w:marLeft w:val="0"/>
      <w:marRight w:val="0"/>
      <w:marTop w:val="10"/>
      <w:marBottom w:val="10"/>
      <w:divBdr>
        <w:top w:val="none" w:sz="0" w:space="0" w:color="auto"/>
        <w:left w:val="none" w:sz="0" w:space="0" w:color="auto"/>
        <w:bottom w:val="none" w:sz="0" w:space="0" w:color="auto"/>
        <w:right w:val="none" w:sz="0" w:space="0" w:color="auto"/>
      </w:divBdr>
    </w:div>
    <w:div w:id="771129013">
      <w:marLeft w:val="0"/>
      <w:marRight w:val="0"/>
      <w:marTop w:val="10"/>
      <w:marBottom w:val="10"/>
      <w:divBdr>
        <w:top w:val="none" w:sz="0" w:space="0" w:color="auto"/>
        <w:left w:val="none" w:sz="0" w:space="0" w:color="auto"/>
        <w:bottom w:val="none" w:sz="0" w:space="0" w:color="auto"/>
        <w:right w:val="none" w:sz="0" w:space="0" w:color="auto"/>
      </w:divBdr>
    </w:div>
    <w:div w:id="786000519">
      <w:marLeft w:val="0"/>
      <w:marRight w:val="720"/>
      <w:marTop w:val="10"/>
      <w:marBottom w:val="10"/>
      <w:divBdr>
        <w:top w:val="none" w:sz="0" w:space="0" w:color="auto"/>
        <w:left w:val="none" w:sz="0" w:space="0" w:color="auto"/>
        <w:bottom w:val="none" w:sz="0" w:space="0" w:color="auto"/>
        <w:right w:val="none" w:sz="0" w:space="0" w:color="auto"/>
      </w:divBdr>
    </w:div>
    <w:div w:id="846822211">
      <w:marLeft w:val="0"/>
      <w:marRight w:val="0"/>
      <w:marTop w:val="10"/>
      <w:marBottom w:val="10"/>
      <w:divBdr>
        <w:top w:val="none" w:sz="0" w:space="0" w:color="auto"/>
        <w:left w:val="none" w:sz="0" w:space="0" w:color="auto"/>
        <w:bottom w:val="none" w:sz="0" w:space="0" w:color="auto"/>
        <w:right w:val="none" w:sz="0" w:space="0" w:color="auto"/>
      </w:divBdr>
    </w:div>
    <w:div w:id="892472930">
      <w:marLeft w:val="0"/>
      <w:marRight w:val="0"/>
      <w:marTop w:val="10"/>
      <w:marBottom w:val="10"/>
      <w:divBdr>
        <w:top w:val="none" w:sz="0" w:space="0" w:color="auto"/>
        <w:left w:val="none" w:sz="0" w:space="0" w:color="auto"/>
        <w:bottom w:val="none" w:sz="0" w:space="0" w:color="auto"/>
        <w:right w:val="none" w:sz="0" w:space="0" w:color="auto"/>
      </w:divBdr>
    </w:div>
    <w:div w:id="902182277">
      <w:marLeft w:val="0"/>
      <w:marRight w:val="0"/>
      <w:marTop w:val="10"/>
      <w:marBottom w:val="10"/>
      <w:divBdr>
        <w:top w:val="none" w:sz="0" w:space="0" w:color="auto"/>
        <w:left w:val="none" w:sz="0" w:space="0" w:color="auto"/>
        <w:bottom w:val="none" w:sz="0" w:space="0" w:color="auto"/>
        <w:right w:val="none" w:sz="0" w:space="0" w:color="auto"/>
      </w:divBdr>
    </w:div>
    <w:div w:id="912203732">
      <w:marLeft w:val="0"/>
      <w:marRight w:val="0"/>
      <w:marTop w:val="10"/>
      <w:marBottom w:val="10"/>
      <w:divBdr>
        <w:top w:val="none" w:sz="0" w:space="0" w:color="auto"/>
        <w:left w:val="none" w:sz="0" w:space="0" w:color="auto"/>
        <w:bottom w:val="none" w:sz="0" w:space="0" w:color="auto"/>
        <w:right w:val="none" w:sz="0" w:space="0" w:color="auto"/>
      </w:divBdr>
    </w:div>
    <w:div w:id="965310848">
      <w:marLeft w:val="0"/>
      <w:marRight w:val="0"/>
      <w:marTop w:val="10"/>
      <w:marBottom w:val="10"/>
      <w:divBdr>
        <w:top w:val="none" w:sz="0" w:space="0" w:color="auto"/>
        <w:left w:val="none" w:sz="0" w:space="0" w:color="auto"/>
        <w:bottom w:val="none" w:sz="0" w:space="0" w:color="auto"/>
        <w:right w:val="none" w:sz="0" w:space="0" w:color="auto"/>
      </w:divBdr>
    </w:div>
    <w:div w:id="992682814">
      <w:marLeft w:val="0"/>
      <w:marRight w:val="0"/>
      <w:marTop w:val="10"/>
      <w:marBottom w:val="10"/>
      <w:divBdr>
        <w:top w:val="none" w:sz="0" w:space="0" w:color="auto"/>
        <w:left w:val="none" w:sz="0" w:space="0" w:color="auto"/>
        <w:bottom w:val="none" w:sz="0" w:space="0" w:color="auto"/>
        <w:right w:val="none" w:sz="0" w:space="0" w:color="auto"/>
      </w:divBdr>
    </w:div>
    <w:div w:id="1019545966">
      <w:marLeft w:val="0"/>
      <w:marRight w:val="0"/>
      <w:marTop w:val="10"/>
      <w:marBottom w:val="10"/>
      <w:divBdr>
        <w:top w:val="none" w:sz="0" w:space="0" w:color="auto"/>
        <w:left w:val="none" w:sz="0" w:space="0" w:color="auto"/>
        <w:bottom w:val="none" w:sz="0" w:space="0" w:color="auto"/>
        <w:right w:val="none" w:sz="0" w:space="0" w:color="auto"/>
      </w:divBdr>
    </w:div>
    <w:div w:id="1145511558">
      <w:marLeft w:val="0"/>
      <w:marRight w:val="0"/>
      <w:marTop w:val="10"/>
      <w:marBottom w:val="10"/>
      <w:divBdr>
        <w:top w:val="none" w:sz="0" w:space="0" w:color="auto"/>
        <w:left w:val="none" w:sz="0" w:space="0" w:color="auto"/>
        <w:bottom w:val="none" w:sz="0" w:space="0" w:color="auto"/>
        <w:right w:val="none" w:sz="0" w:space="0" w:color="auto"/>
      </w:divBdr>
    </w:div>
    <w:div w:id="1173571514">
      <w:marLeft w:val="0"/>
      <w:marRight w:val="720"/>
      <w:marTop w:val="10"/>
      <w:marBottom w:val="10"/>
      <w:divBdr>
        <w:top w:val="none" w:sz="0" w:space="0" w:color="auto"/>
        <w:left w:val="none" w:sz="0" w:space="0" w:color="auto"/>
        <w:bottom w:val="none" w:sz="0" w:space="0" w:color="auto"/>
        <w:right w:val="none" w:sz="0" w:space="0" w:color="auto"/>
      </w:divBdr>
    </w:div>
    <w:div w:id="1190527728">
      <w:marLeft w:val="0"/>
      <w:marRight w:val="0"/>
      <w:marTop w:val="10"/>
      <w:marBottom w:val="10"/>
      <w:divBdr>
        <w:top w:val="none" w:sz="0" w:space="0" w:color="auto"/>
        <w:left w:val="none" w:sz="0" w:space="0" w:color="auto"/>
        <w:bottom w:val="none" w:sz="0" w:space="0" w:color="auto"/>
        <w:right w:val="none" w:sz="0" w:space="0" w:color="auto"/>
      </w:divBdr>
    </w:div>
    <w:div w:id="1200780060">
      <w:marLeft w:val="0"/>
      <w:marRight w:val="0"/>
      <w:marTop w:val="10"/>
      <w:marBottom w:val="10"/>
      <w:divBdr>
        <w:top w:val="none" w:sz="0" w:space="0" w:color="auto"/>
        <w:left w:val="none" w:sz="0" w:space="0" w:color="auto"/>
        <w:bottom w:val="none" w:sz="0" w:space="0" w:color="auto"/>
        <w:right w:val="none" w:sz="0" w:space="0" w:color="auto"/>
      </w:divBdr>
    </w:div>
    <w:div w:id="1211770421">
      <w:marLeft w:val="0"/>
      <w:marRight w:val="0"/>
      <w:marTop w:val="10"/>
      <w:marBottom w:val="10"/>
      <w:divBdr>
        <w:top w:val="none" w:sz="0" w:space="0" w:color="auto"/>
        <w:left w:val="none" w:sz="0" w:space="0" w:color="auto"/>
        <w:bottom w:val="none" w:sz="0" w:space="0" w:color="auto"/>
        <w:right w:val="none" w:sz="0" w:space="0" w:color="auto"/>
      </w:divBdr>
    </w:div>
    <w:div w:id="1258753764">
      <w:marLeft w:val="0"/>
      <w:marRight w:val="0"/>
      <w:marTop w:val="10"/>
      <w:marBottom w:val="10"/>
      <w:divBdr>
        <w:top w:val="none" w:sz="0" w:space="0" w:color="auto"/>
        <w:left w:val="none" w:sz="0" w:space="0" w:color="auto"/>
        <w:bottom w:val="none" w:sz="0" w:space="0" w:color="auto"/>
        <w:right w:val="none" w:sz="0" w:space="0" w:color="auto"/>
      </w:divBdr>
    </w:div>
    <w:div w:id="1296987323">
      <w:marLeft w:val="0"/>
      <w:marRight w:val="0"/>
      <w:marTop w:val="10"/>
      <w:marBottom w:val="10"/>
      <w:divBdr>
        <w:top w:val="none" w:sz="0" w:space="0" w:color="auto"/>
        <w:left w:val="none" w:sz="0" w:space="0" w:color="auto"/>
        <w:bottom w:val="none" w:sz="0" w:space="0" w:color="auto"/>
        <w:right w:val="none" w:sz="0" w:space="0" w:color="auto"/>
      </w:divBdr>
    </w:div>
    <w:div w:id="1298683153">
      <w:marLeft w:val="0"/>
      <w:marRight w:val="0"/>
      <w:marTop w:val="10"/>
      <w:marBottom w:val="10"/>
      <w:divBdr>
        <w:top w:val="none" w:sz="0" w:space="0" w:color="auto"/>
        <w:left w:val="none" w:sz="0" w:space="0" w:color="auto"/>
        <w:bottom w:val="none" w:sz="0" w:space="0" w:color="auto"/>
        <w:right w:val="none" w:sz="0" w:space="0" w:color="auto"/>
      </w:divBdr>
    </w:div>
    <w:div w:id="1319109325">
      <w:marLeft w:val="0"/>
      <w:marRight w:val="0"/>
      <w:marTop w:val="10"/>
      <w:marBottom w:val="10"/>
      <w:divBdr>
        <w:top w:val="none" w:sz="0" w:space="0" w:color="auto"/>
        <w:left w:val="none" w:sz="0" w:space="0" w:color="auto"/>
        <w:bottom w:val="none" w:sz="0" w:space="0" w:color="auto"/>
        <w:right w:val="none" w:sz="0" w:space="0" w:color="auto"/>
      </w:divBdr>
    </w:div>
    <w:div w:id="1329282627">
      <w:marLeft w:val="0"/>
      <w:marRight w:val="0"/>
      <w:marTop w:val="10"/>
      <w:marBottom w:val="10"/>
      <w:divBdr>
        <w:top w:val="none" w:sz="0" w:space="0" w:color="auto"/>
        <w:left w:val="none" w:sz="0" w:space="0" w:color="auto"/>
        <w:bottom w:val="none" w:sz="0" w:space="0" w:color="auto"/>
        <w:right w:val="none" w:sz="0" w:space="0" w:color="auto"/>
      </w:divBdr>
    </w:div>
    <w:div w:id="1372069273">
      <w:marLeft w:val="0"/>
      <w:marRight w:val="0"/>
      <w:marTop w:val="10"/>
      <w:marBottom w:val="10"/>
      <w:divBdr>
        <w:top w:val="none" w:sz="0" w:space="0" w:color="auto"/>
        <w:left w:val="none" w:sz="0" w:space="0" w:color="auto"/>
        <w:bottom w:val="none" w:sz="0" w:space="0" w:color="auto"/>
        <w:right w:val="none" w:sz="0" w:space="0" w:color="auto"/>
      </w:divBdr>
    </w:div>
    <w:div w:id="1408380200">
      <w:marLeft w:val="0"/>
      <w:marRight w:val="0"/>
      <w:marTop w:val="10"/>
      <w:marBottom w:val="10"/>
      <w:divBdr>
        <w:top w:val="none" w:sz="0" w:space="0" w:color="auto"/>
        <w:left w:val="none" w:sz="0" w:space="0" w:color="auto"/>
        <w:bottom w:val="none" w:sz="0" w:space="0" w:color="auto"/>
        <w:right w:val="none" w:sz="0" w:space="0" w:color="auto"/>
      </w:divBdr>
    </w:div>
    <w:div w:id="1422606154">
      <w:marLeft w:val="0"/>
      <w:marRight w:val="720"/>
      <w:marTop w:val="10"/>
      <w:marBottom w:val="10"/>
      <w:divBdr>
        <w:top w:val="none" w:sz="0" w:space="0" w:color="auto"/>
        <w:left w:val="none" w:sz="0" w:space="0" w:color="auto"/>
        <w:bottom w:val="none" w:sz="0" w:space="0" w:color="auto"/>
        <w:right w:val="none" w:sz="0" w:space="0" w:color="auto"/>
      </w:divBdr>
    </w:div>
    <w:div w:id="1450319019">
      <w:marLeft w:val="0"/>
      <w:marRight w:val="0"/>
      <w:marTop w:val="10"/>
      <w:marBottom w:val="10"/>
      <w:divBdr>
        <w:top w:val="none" w:sz="0" w:space="0" w:color="auto"/>
        <w:left w:val="none" w:sz="0" w:space="0" w:color="auto"/>
        <w:bottom w:val="none" w:sz="0" w:space="0" w:color="auto"/>
        <w:right w:val="none" w:sz="0" w:space="0" w:color="auto"/>
      </w:divBdr>
    </w:div>
    <w:div w:id="1465807156">
      <w:marLeft w:val="0"/>
      <w:marRight w:val="0"/>
      <w:marTop w:val="10"/>
      <w:marBottom w:val="10"/>
      <w:divBdr>
        <w:top w:val="none" w:sz="0" w:space="0" w:color="auto"/>
        <w:left w:val="none" w:sz="0" w:space="0" w:color="auto"/>
        <w:bottom w:val="none" w:sz="0" w:space="0" w:color="auto"/>
        <w:right w:val="none" w:sz="0" w:space="0" w:color="auto"/>
      </w:divBdr>
    </w:div>
    <w:div w:id="1531190329">
      <w:marLeft w:val="0"/>
      <w:marRight w:val="0"/>
      <w:marTop w:val="10"/>
      <w:marBottom w:val="10"/>
      <w:divBdr>
        <w:top w:val="none" w:sz="0" w:space="0" w:color="auto"/>
        <w:left w:val="none" w:sz="0" w:space="0" w:color="auto"/>
        <w:bottom w:val="none" w:sz="0" w:space="0" w:color="auto"/>
        <w:right w:val="none" w:sz="0" w:space="0" w:color="auto"/>
      </w:divBdr>
    </w:div>
    <w:div w:id="1548685096">
      <w:marLeft w:val="0"/>
      <w:marRight w:val="720"/>
      <w:marTop w:val="10"/>
      <w:marBottom w:val="10"/>
      <w:divBdr>
        <w:top w:val="none" w:sz="0" w:space="0" w:color="auto"/>
        <w:left w:val="none" w:sz="0" w:space="0" w:color="auto"/>
        <w:bottom w:val="none" w:sz="0" w:space="0" w:color="auto"/>
        <w:right w:val="none" w:sz="0" w:space="0" w:color="auto"/>
      </w:divBdr>
    </w:div>
    <w:div w:id="1566447481">
      <w:marLeft w:val="0"/>
      <w:marRight w:val="0"/>
      <w:marTop w:val="10"/>
      <w:marBottom w:val="10"/>
      <w:divBdr>
        <w:top w:val="none" w:sz="0" w:space="0" w:color="auto"/>
        <w:left w:val="none" w:sz="0" w:space="0" w:color="auto"/>
        <w:bottom w:val="none" w:sz="0" w:space="0" w:color="auto"/>
        <w:right w:val="none" w:sz="0" w:space="0" w:color="auto"/>
      </w:divBdr>
    </w:div>
    <w:div w:id="1581987206">
      <w:marLeft w:val="0"/>
      <w:marRight w:val="0"/>
      <w:marTop w:val="10"/>
      <w:marBottom w:val="10"/>
      <w:divBdr>
        <w:top w:val="none" w:sz="0" w:space="0" w:color="auto"/>
        <w:left w:val="none" w:sz="0" w:space="0" w:color="auto"/>
        <w:bottom w:val="none" w:sz="0" w:space="0" w:color="auto"/>
        <w:right w:val="none" w:sz="0" w:space="0" w:color="auto"/>
      </w:divBdr>
    </w:div>
    <w:div w:id="1631664660">
      <w:marLeft w:val="0"/>
      <w:marRight w:val="0"/>
      <w:marTop w:val="10"/>
      <w:marBottom w:val="10"/>
      <w:divBdr>
        <w:top w:val="none" w:sz="0" w:space="0" w:color="auto"/>
        <w:left w:val="none" w:sz="0" w:space="0" w:color="auto"/>
        <w:bottom w:val="none" w:sz="0" w:space="0" w:color="auto"/>
        <w:right w:val="none" w:sz="0" w:space="0" w:color="auto"/>
      </w:divBdr>
    </w:div>
    <w:div w:id="1637180739">
      <w:marLeft w:val="0"/>
      <w:marRight w:val="0"/>
      <w:marTop w:val="10"/>
      <w:marBottom w:val="10"/>
      <w:divBdr>
        <w:top w:val="none" w:sz="0" w:space="0" w:color="auto"/>
        <w:left w:val="none" w:sz="0" w:space="0" w:color="auto"/>
        <w:bottom w:val="none" w:sz="0" w:space="0" w:color="auto"/>
        <w:right w:val="none" w:sz="0" w:space="0" w:color="auto"/>
      </w:divBdr>
    </w:div>
    <w:div w:id="1671984674">
      <w:marLeft w:val="0"/>
      <w:marRight w:val="0"/>
      <w:marTop w:val="10"/>
      <w:marBottom w:val="10"/>
      <w:divBdr>
        <w:top w:val="none" w:sz="0" w:space="0" w:color="auto"/>
        <w:left w:val="none" w:sz="0" w:space="0" w:color="auto"/>
        <w:bottom w:val="none" w:sz="0" w:space="0" w:color="auto"/>
        <w:right w:val="none" w:sz="0" w:space="0" w:color="auto"/>
      </w:divBdr>
    </w:div>
    <w:div w:id="1687948122">
      <w:marLeft w:val="0"/>
      <w:marRight w:val="0"/>
      <w:marTop w:val="10"/>
      <w:marBottom w:val="10"/>
      <w:divBdr>
        <w:top w:val="none" w:sz="0" w:space="0" w:color="auto"/>
        <w:left w:val="none" w:sz="0" w:space="0" w:color="auto"/>
        <w:bottom w:val="none" w:sz="0" w:space="0" w:color="auto"/>
        <w:right w:val="none" w:sz="0" w:space="0" w:color="auto"/>
      </w:divBdr>
    </w:div>
    <w:div w:id="1692956540">
      <w:marLeft w:val="0"/>
      <w:marRight w:val="0"/>
      <w:marTop w:val="10"/>
      <w:marBottom w:val="10"/>
      <w:divBdr>
        <w:top w:val="none" w:sz="0" w:space="0" w:color="auto"/>
        <w:left w:val="none" w:sz="0" w:space="0" w:color="auto"/>
        <w:bottom w:val="none" w:sz="0" w:space="0" w:color="auto"/>
        <w:right w:val="none" w:sz="0" w:space="0" w:color="auto"/>
      </w:divBdr>
    </w:div>
    <w:div w:id="1794976472">
      <w:marLeft w:val="0"/>
      <w:marRight w:val="0"/>
      <w:marTop w:val="10"/>
      <w:marBottom w:val="10"/>
      <w:divBdr>
        <w:top w:val="none" w:sz="0" w:space="0" w:color="auto"/>
        <w:left w:val="none" w:sz="0" w:space="0" w:color="auto"/>
        <w:bottom w:val="none" w:sz="0" w:space="0" w:color="auto"/>
        <w:right w:val="none" w:sz="0" w:space="0" w:color="auto"/>
      </w:divBdr>
    </w:div>
    <w:div w:id="1866404556">
      <w:marLeft w:val="0"/>
      <w:marRight w:val="0"/>
      <w:marTop w:val="10"/>
      <w:marBottom w:val="10"/>
      <w:divBdr>
        <w:top w:val="none" w:sz="0" w:space="0" w:color="auto"/>
        <w:left w:val="none" w:sz="0" w:space="0" w:color="auto"/>
        <w:bottom w:val="none" w:sz="0" w:space="0" w:color="auto"/>
        <w:right w:val="none" w:sz="0" w:space="0" w:color="auto"/>
      </w:divBdr>
    </w:div>
    <w:div w:id="1914008359">
      <w:marLeft w:val="0"/>
      <w:marRight w:val="0"/>
      <w:marTop w:val="10"/>
      <w:marBottom w:val="10"/>
      <w:divBdr>
        <w:top w:val="none" w:sz="0" w:space="0" w:color="auto"/>
        <w:left w:val="none" w:sz="0" w:space="0" w:color="auto"/>
        <w:bottom w:val="none" w:sz="0" w:space="0" w:color="auto"/>
        <w:right w:val="none" w:sz="0" w:space="0" w:color="auto"/>
      </w:divBdr>
    </w:div>
    <w:div w:id="1935478534">
      <w:marLeft w:val="0"/>
      <w:marRight w:val="0"/>
      <w:marTop w:val="10"/>
      <w:marBottom w:val="10"/>
      <w:divBdr>
        <w:top w:val="none" w:sz="0" w:space="0" w:color="auto"/>
        <w:left w:val="none" w:sz="0" w:space="0" w:color="auto"/>
        <w:bottom w:val="none" w:sz="0" w:space="0" w:color="auto"/>
        <w:right w:val="none" w:sz="0" w:space="0" w:color="auto"/>
      </w:divBdr>
    </w:div>
    <w:div w:id="1976787466">
      <w:marLeft w:val="0"/>
      <w:marRight w:val="0"/>
      <w:marTop w:val="10"/>
      <w:marBottom w:val="10"/>
      <w:divBdr>
        <w:top w:val="none" w:sz="0" w:space="0" w:color="auto"/>
        <w:left w:val="none" w:sz="0" w:space="0" w:color="auto"/>
        <w:bottom w:val="none" w:sz="0" w:space="0" w:color="auto"/>
        <w:right w:val="none" w:sz="0" w:space="0" w:color="auto"/>
      </w:divBdr>
    </w:div>
    <w:div w:id="1982734387">
      <w:marLeft w:val="0"/>
      <w:marRight w:val="720"/>
      <w:marTop w:val="10"/>
      <w:marBottom w:val="10"/>
      <w:divBdr>
        <w:top w:val="none" w:sz="0" w:space="0" w:color="auto"/>
        <w:left w:val="none" w:sz="0" w:space="0" w:color="auto"/>
        <w:bottom w:val="none" w:sz="0" w:space="0" w:color="auto"/>
        <w:right w:val="none" w:sz="0" w:space="0" w:color="auto"/>
      </w:divBdr>
    </w:div>
    <w:div w:id="1991712869">
      <w:marLeft w:val="0"/>
      <w:marRight w:val="0"/>
      <w:marTop w:val="10"/>
      <w:marBottom w:val="10"/>
      <w:divBdr>
        <w:top w:val="none" w:sz="0" w:space="0" w:color="auto"/>
        <w:left w:val="none" w:sz="0" w:space="0" w:color="auto"/>
        <w:bottom w:val="none" w:sz="0" w:space="0" w:color="auto"/>
        <w:right w:val="none" w:sz="0" w:space="0" w:color="auto"/>
      </w:divBdr>
    </w:div>
    <w:div w:id="2053577149">
      <w:marLeft w:val="0"/>
      <w:marRight w:val="0"/>
      <w:marTop w:val="10"/>
      <w:marBottom w:val="10"/>
      <w:divBdr>
        <w:top w:val="none" w:sz="0" w:space="0" w:color="auto"/>
        <w:left w:val="none" w:sz="0" w:space="0" w:color="auto"/>
        <w:bottom w:val="none" w:sz="0" w:space="0" w:color="auto"/>
        <w:right w:val="none" w:sz="0" w:space="0" w:color="auto"/>
      </w:divBdr>
    </w:div>
    <w:div w:id="2129085966">
      <w:marLeft w:val="0"/>
      <w:marRight w:val="0"/>
      <w:marTop w:val="10"/>
      <w:marBottom w:val="10"/>
      <w:divBdr>
        <w:top w:val="none" w:sz="0" w:space="0" w:color="auto"/>
        <w:left w:val="none" w:sz="0" w:space="0" w:color="auto"/>
        <w:bottom w:val="none" w:sz="0" w:space="0" w:color="auto"/>
        <w:right w:val="none" w:sz="0" w:space="0" w:color="auto"/>
      </w:divBdr>
    </w:div>
    <w:div w:id="213774870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