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14C54">
      <w:pPr>
        <w:spacing w:line="500" w:lineRule="atLeast"/>
        <w:jc w:val="center"/>
        <w:divId w:val="671834254"/>
        <w:rPr>
          <w:rFonts w:ascii="黑体" w:eastAsia="黑体" w:hAnsi="黑体"/>
          <w:sz w:val="36"/>
          <w:szCs w:val="36"/>
        </w:rPr>
      </w:pPr>
      <w:bookmarkStart w:id="0" w:name="_GoBack"/>
      <w:bookmarkEnd w:id="0"/>
      <w:r>
        <w:rPr>
          <w:rFonts w:ascii="黑体" w:eastAsia="黑体" w:hAnsi="黑体" w:hint="eastAsia"/>
          <w:sz w:val="36"/>
          <w:szCs w:val="36"/>
        </w:rPr>
        <w:t>北京市东城区人民法院</w:t>
      </w:r>
    </w:p>
    <w:p w:rsidR="00000000" w:rsidRDefault="00414C54">
      <w:pPr>
        <w:spacing w:line="500" w:lineRule="atLeast"/>
        <w:jc w:val="center"/>
        <w:divId w:val="14306162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14C54">
      <w:pPr>
        <w:spacing w:line="500" w:lineRule="atLeast"/>
        <w:jc w:val="right"/>
        <w:divId w:val="1440300604"/>
        <w:rPr>
          <w:rFonts w:hint="eastAsia"/>
          <w:sz w:val="30"/>
          <w:szCs w:val="30"/>
        </w:rPr>
      </w:pPr>
      <w:r>
        <w:rPr>
          <w:rFonts w:hint="eastAsia"/>
          <w:sz w:val="30"/>
          <w:szCs w:val="30"/>
        </w:rPr>
        <w:t>（</w:t>
      </w:r>
      <w:r>
        <w:rPr>
          <w:rFonts w:hint="eastAsia"/>
          <w:sz w:val="30"/>
          <w:szCs w:val="30"/>
        </w:rPr>
        <w:t>2020</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1470</w:t>
      </w:r>
      <w:r>
        <w:rPr>
          <w:rFonts w:hint="eastAsia"/>
          <w:sz w:val="30"/>
          <w:szCs w:val="30"/>
        </w:rPr>
        <w:t>号</w:t>
      </w:r>
    </w:p>
    <w:p w:rsidR="00000000" w:rsidRDefault="00414C54">
      <w:pPr>
        <w:spacing w:line="500" w:lineRule="atLeast"/>
        <w:ind w:firstLine="600"/>
        <w:divId w:val="597711901"/>
        <w:rPr>
          <w:rFonts w:hint="eastAsia"/>
          <w:sz w:val="30"/>
          <w:szCs w:val="30"/>
        </w:rPr>
      </w:pPr>
      <w:r>
        <w:rPr>
          <w:rFonts w:hint="eastAsia"/>
          <w:sz w:val="30"/>
          <w:szCs w:val="30"/>
        </w:rPr>
        <w:t>原告：北京恒安讯佳信息安全技术有限公司，住所地北京市西城区新街口外大街</w:t>
      </w:r>
      <w:r>
        <w:rPr>
          <w:rFonts w:hint="eastAsia"/>
          <w:sz w:val="30"/>
          <w:szCs w:val="30"/>
        </w:rPr>
        <w:t>28</w:t>
      </w:r>
      <w:r>
        <w:rPr>
          <w:rFonts w:hint="eastAsia"/>
          <w:sz w:val="30"/>
          <w:szCs w:val="30"/>
        </w:rPr>
        <w:t>号</w:t>
      </w:r>
      <w:r>
        <w:rPr>
          <w:rFonts w:hint="eastAsia"/>
          <w:sz w:val="30"/>
          <w:szCs w:val="30"/>
        </w:rPr>
        <w:t>A</w:t>
      </w:r>
      <w:r>
        <w:rPr>
          <w:rFonts w:hint="eastAsia"/>
          <w:sz w:val="30"/>
          <w:szCs w:val="30"/>
        </w:rPr>
        <w:t>座一层</w:t>
      </w:r>
      <w:r>
        <w:rPr>
          <w:rFonts w:hint="eastAsia"/>
          <w:sz w:val="30"/>
          <w:szCs w:val="30"/>
        </w:rPr>
        <w:t>100</w:t>
      </w:r>
      <w:r>
        <w:rPr>
          <w:rFonts w:hint="eastAsia"/>
          <w:sz w:val="30"/>
          <w:szCs w:val="30"/>
        </w:rPr>
        <w:t>号。</w:t>
      </w:r>
    </w:p>
    <w:p w:rsidR="00000000" w:rsidRDefault="00414C54">
      <w:pPr>
        <w:spacing w:line="500" w:lineRule="atLeast"/>
        <w:ind w:firstLine="600"/>
        <w:divId w:val="1686326594"/>
        <w:rPr>
          <w:rFonts w:hint="eastAsia"/>
          <w:sz w:val="30"/>
          <w:szCs w:val="30"/>
        </w:rPr>
      </w:pPr>
      <w:r>
        <w:rPr>
          <w:rFonts w:hint="eastAsia"/>
          <w:sz w:val="30"/>
          <w:szCs w:val="30"/>
        </w:rPr>
        <w:t>法定代表人：徐彬，董事长。</w:t>
      </w:r>
    </w:p>
    <w:p w:rsidR="00000000" w:rsidRDefault="00414C54">
      <w:pPr>
        <w:spacing w:line="500" w:lineRule="atLeast"/>
        <w:ind w:firstLine="600"/>
        <w:divId w:val="46800781"/>
        <w:rPr>
          <w:rFonts w:hint="eastAsia"/>
          <w:sz w:val="30"/>
          <w:szCs w:val="30"/>
        </w:rPr>
      </w:pPr>
      <w:r>
        <w:rPr>
          <w:rFonts w:hint="eastAsia"/>
          <w:sz w:val="30"/>
          <w:szCs w:val="30"/>
        </w:rPr>
        <w:t>委托诉讼代理人：邱新，北京李晓斌律师事务所律师。</w:t>
      </w:r>
    </w:p>
    <w:p w:rsidR="00000000" w:rsidRDefault="00414C54">
      <w:pPr>
        <w:spacing w:line="500" w:lineRule="atLeast"/>
        <w:ind w:firstLine="600"/>
        <w:divId w:val="2064791054"/>
        <w:rPr>
          <w:rFonts w:hint="eastAsia"/>
          <w:sz w:val="30"/>
          <w:szCs w:val="30"/>
        </w:rPr>
      </w:pPr>
      <w:r>
        <w:rPr>
          <w:rFonts w:hint="eastAsia"/>
          <w:sz w:val="30"/>
          <w:szCs w:val="30"/>
        </w:rPr>
        <w:t>委托诉讼代理人：李晓斌，北京李晓斌律师事务所律师。</w:t>
      </w:r>
    </w:p>
    <w:p w:rsidR="00000000" w:rsidRDefault="00414C54">
      <w:pPr>
        <w:spacing w:line="500" w:lineRule="atLeast"/>
        <w:ind w:firstLine="600"/>
        <w:divId w:val="1161313925"/>
        <w:rPr>
          <w:rFonts w:hint="eastAsia"/>
          <w:sz w:val="30"/>
          <w:szCs w:val="30"/>
        </w:rPr>
      </w:pPr>
      <w:r>
        <w:rPr>
          <w:rFonts w:hint="eastAsia"/>
          <w:sz w:val="30"/>
          <w:szCs w:val="30"/>
        </w:rPr>
        <w:t>被告：谷宏兵，男，</w:t>
      </w:r>
      <w:r>
        <w:rPr>
          <w:rFonts w:hint="eastAsia"/>
          <w:sz w:val="30"/>
          <w:szCs w:val="30"/>
        </w:rPr>
        <w:t>1975</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日出生，汉族，住北京市海淀区。</w:t>
      </w:r>
    </w:p>
    <w:p w:rsidR="00000000" w:rsidRDefault="00414C54">
      <w:pPr>
        <w:spacing w:line="500" w:lineRule="atLeast"/>
        <w:ind w:firstLine="600"/>
        <w:divId w:val="517893015"/>
        <w:rPr>
          <w:rFonts w:hint="eastAsia"/>
          <w:sz w:val="30"/>
          <w:szCs w:val="30"/>
        </w:rPr>
      </w:pPr>
      <w:r>
        <w:rPr>
          <w:rFonts w:hint="eastAsia"/>
          <w:sz w:val="30"/>
          <w:szCs w:val="30"/>
        </w:rPr>
        <w:t>委托诉讼代理人：潘修平，北京市隆安律师事务所律师。</w:t>
      </w:r>
    </w:p>
    <w:p w:rsidR="00000000" w:rsidRDefault="00414C54">
      <w:pPr>
        <w:spacing w:line="500" w:lineRule="atLeast"/>
        <w:ind w:firstLine="600"/>
        <w:divId w:val="392629115"/>
        <w:rPr>
          <w:rFonts w:hint="eastAsia"/>
          <w:sz w:val="30"/>
          <w:szCs w:val="30"/>
        </w:rPr>
      </w:pPr>
      <w:r>
        <w:rPr>
          <w:rFonts w:hint="eastAsia"/>
          <w:sz w:val="30"/>
          <w:szCs w:val="30"/>
        </w:rPr>
        <w:t>委托诉讼代理人：党洁茹，北京市隆安律师事务所律师。</w:t>
      </w:r>
    </w:p>
    <w:p w:rsidR="00000000" w:rsidRDefault="00414C54">
      <w:pPr>
        <w:spacing w:line="500" w:lineRule="atLeast"/>
        <w:ind w:firstLine="600"/>
        <w:divId w:val="2049914309"/>
        <w:rPr>
          <w:rFonts w:hint="eastAsia"/>
          <w:sz w:val="30"/>
          <w:szCs w:val="30"/>
        </w:rPr>
      </w:pPr>
      <w:r>
        <w:rPr>
          <w:rFonts w:hint="eastAsia"/>
          <w:sz w:val="30"/>
          <w:szCs w:val="30"/>
        </w:rPr>
        <w:t>被告：北京鼎盾信息科技有限公司，住所地北京市西城区德外大街新风街</w:t>
      </w:r>
      <w:r>
        <w:rPr>
          <w:rFonts w:hint="eastAsia"/>
          <w:sz w:val="30"/>
          <w:szCs w:val="30"/>
        </w:rPr>
        <w:t>2</w:t>
      </w:r>
      <w:r>
        <w:rPr>
          <w:rFonts w:hint="eastAsia"/>
          <w:sz w:val="30"/>
          <w:szCs w:val="30"/>
        </w:rPr>
        <w:t>号天成科技大厦</w:t>
      </w:r>
      <w:r>
        <w:rPr>
          <w:rFonts w:hint="eastAsia"/>
          <w:sz w:val="30"/>
          <w:szCs w:val="30"/>
        </w:rPr>
        <w:t>A</w:t>
      </w:r>
      <w:r>
        <w:rPr>
          <w:rFonts w:hint="eastAsia"/>
          <w:sz w:val="30"/>
          <w:szCs w:val="30"/>
        </w:rPr>
        <w:t>座</w:t>
      </w:r>
      <w:r>
        <w:rPr>
          <w:rFonts w:hint="eastAsia"/>
          <w:sz w:val="30"/>
          <w:szCs w:val="30"/>
        </w:rPr>
        <w:t>615</w:t>
      </w:r>
      <w:r>
        <w:rPr>
          <w:rFonts w:hint="eastAsia"/>
          <w:sz w:val="30"/>
          <w:szCs w:val="30"/>
        </w:rPr>
        <w:t>室。</w:t>
      </w:r>
    </w:p>
    <w:p w:rsidR="00000000" w:rsidRDefault="00414C54">
      <w:pPr>
        <w:spacing w:line="500" w:lineRule="atLeast"/>
        <w:ind w:firstLine="600"/>
        <w:divId w:val="1507087115"/>
        <w:rPr>
          <w:rFonts w:hint="eastAsia"/>
          <w:sz w:val="30"/>
          <w:szCs w:val="30"/>
        </w:rPr>
      </w:pPr>
      <w:r>
        <w:rPr>
          <w:rFonts w:hint="eastAsia"/>
          <w:sz w:val="30"/>
          <w:szCs w:val="30"/>
        </w:rPr>
        <w:t>法定代表人：张一奇。</w:t>
      </w:r>
    </w:p>
    <w:p w:rsidR="00000000" w:rsidRDefault="00414C54">
      <w:pPr>
        <w:spacing w:line="500" w:lineRule="atLeast"/>
        <w:ind w:firstLine="600"/>
        <w:divId w:val="1841382486"/>
        <w:rPr>
          <w:rFonts w:hint="eastAsia"/>
          <w:sz w:val="30"/>
          <w:szCs w:val="30"/>
        </w:rPr>
      </w:pPr>
      <w:r>
        <w:rPr>
          <w:rFonts w:hint="eastAsia"/>
          <w:sz w:val="30"/>
          <w:szCs w:val="30"/>
        </w:rPr>
        <w:t>委托诉讼代理人：杨丽叶，女，该公司员工。</w:t>
      </w:r>
    </w:p>
    <w:p w:rsidR="00000000" w:rsidRDefault="00414C54">
      <w:pPr>
        <w:spacing w:line="500" w:lineRule="atLeast"/>
        <w:ind w:firstLine="600"/>
        <w:divId w:val="1040860873"/>
        <w:rPr>
          <w:rFonts w:hint="eastAsia"/>
          <w:sz w:val="30"/>
          <w:szCs w:val="30"/>
        </w:rPr>
      </w:pPr>
      <w:r>
        <w:rPr>
          <w:rFonts w:hint="eastAsia"/>
          <w:sz w:val="30"/>
          <w:szCs w:val="30"/>
        </w:rPr>
        <w:t>原告北京恒安讯佳信息安全技术有限公司（以下简称恒安讯佳公司）与被告谷宏兵、被告北京鼎盾信息科技有限公司（以下简称鼎盾公司）损害公司利益责任纠纷一案，北京市西城区人民法院经审理作出（</w:t>
      </w:r>
      <w:r>
        <w:rPr>
          <w:rFonts w:hint="eastAsia"/>
          <w:sz w:val="30"/>
          <w:szCs w:val="30"/>
        </w:rPr>
        <w:t>2017</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30159</w:t>
      </w:r>
      <w:r>
        <w:rPr>
          <w:rFonts w:hint="eastAsia"/>
          <w:sz w:val="30"/>
          <w:szCs w:val="30"/>
        </w:rPr>
        <w:t>号民事判决书后，恒安讯佳公司提起上诉，后北京市第二中级人民法院作出（</w:t>
      </w:r>
      <w:r>
        <w:rPr>
          <w:rFonts w:hint="eastAsia"/>
          <w:sz w:val="30"/>
          <w:szCs w:val="30"/>
        </w:rPr>
        <w:t>2019</w:t>
      </w:r>
      <w:r>
        <w:rPr>
          <w:rFonts w:hint="eastAsia"/>
          <w:sz w:val="30"/>
          <w:szCs w:val="30"/>
        </w:rPr>
        <w:t>）京</w:t>
      </w:r>
      <w:r>
        <w:rPr>
          <w:rFonts w:hint="eastAsia"/>
          <w:sz w:val="30"/>
          <w:szCs w:val="30"/>
        </w:rPr>
        <w:t>02</w:t>
      </w:r>
      <w:r>
        <w:rPr>
          <w:rFonts w:hint="eastAsia"/>
          <w:sz w:val="30"/>
          <w:szCs w:val="30"/>
        </w:rPr>
        <w:t>民终</w:t>
      </w:r>
      <w:r>
        <w:rPr>
          <w:rFonts w:hint="eastAsia"/>
          <w:sz w:val="30"/>
          <w:szCs w:val="30"/>
        </w:rPr>
        <w:t>923</w:t>
      </w:r>
      <w:r>
        <w:rPr>
          <w:rFonts w:hint="eastAsia"/>
          <w:sz w:val="30"/>
          <w:szCs w:val="30"/>
        </w:rPr>
        <w:t>号民事裁定书，裁定撤销上述一审判决，发回重审</w:t>
      </w:r>
      <w:r>
        <w:rPr>
          <w:rFonts w:hint="eastAsia"/>
          <w:sz w:val="30"/>
          <w:szCs w:val="30"/>
        </w:rPr>
        <w:t>。北京市西城区人民法院对该案重审案件的案号为（</w:t>
      </w:r>
      <w:r>
        <w:rPr>
          <w:rFonts w:hint="eastAsia"/>
          <w:sz w:val="30"/>
          <w:szCs w:val="30"/>
        </w:rPr>
        <w:t>2019</w:t>
      </w:r>
      <w:r>
        <w:rPr>
          <w:rFonts w:hint="eastAsia"/>
          <w:sz w:val="30"/>
          <w:szCs w:val="30"/>
        </w:rPr>
        <w:t>）京</w:t>
      </w:r>
      <w:r>
        <w:rPr>
          <w:rFonts w:hint="eastAsia"/>
          <w:sz w:val="30"/>
          <w:szCs w:val="30"/>
        </w:rPr>
        <w:t>0102</w:t>
      </w:r>
      <w:r>
        <w:rPr>
          <w:rFonts w:hint="eastAsia"/>
          <w:sz w:val="30"/>
          <w:szCs w:val="30"/>
        </w:rPr>
        <w:t>民初</w:t>
      </w:r>
      <w:r>
        <w:rPr>
          <w:rFonts w:hint="eastAsia"/>
          <w:sz w:val="30"/>
          <w:szCs w:val="30"/>
        </w:rPr>
        <w:t>21243</w:t>
      </w:r>
      <w:r>
        <w:rPr>
          <w:rFonts w:hint="eastAsia"/>
          <w:sz w:val="30"/>
          <w:szCs w:val="30"/>
        </w:rPr>
        <w:t>号，在该案审理过程中，北京市西城区人民法院以恒安讯佳公司董事长及股东徐彬系该院人民陪审员为由，认为其不宜行使管辖权，故提请北京市第二中级人民法院对该案指定管辖。北京市第二中级人民法院作出</w:t>
      </w:r>
      <w:r>
        <w:rPr>
          <w:rFonts w:hint="eastAsia"/>
          <w:sz w:val="30"/>
          <w:szCs w:val="30"/>
        </w:rPr>
        <w:lastRenderedPageBreak/>
        <w:t>（</w:t>
      </w:r>
      <w:r>
        <w:rPr>
          <w:rFonts w:hint="eastAsia"/>
          <w:sz w:val="30"/>
          <w:szCs w:val="30"/>
        </w:rPr>
        <w:t>2019</w:t>
      </w:r>
      <w:r>
        <w:rPr>
          <w:rFonts w:hint="eastAsia"/>
          <w:sz w:val="30"/>
          <w:szCs w:val="30"/>
        </w:rPr>
        <w:t>）京</w:t>
      </w:r>
      <w:r>
        <w:rPr>
          <w:rFonts w:hint="eastAsia"/>
          <w:sz w:val="30"/>
          <w:szCs w:val="30"/>
        </w:rPr>
        <w:t>02</w:t>
      </w:r>
      <w:r>
        <w:rPr>
          <w:rFonts w:hint="eastAsia"/>
          <w:sz w:val="30"/>
          <w:szCs w:val="30"/>
        </w:rPr>
        <w:t>民辖</w:t>
      </w:r>
      <w:r>
        <w:rPr>
          <w:rFonts w:hint="eastAsia"/>
          <w:sz w:val="30"/>
          <w:szCs w:val="30"/>
        </w:rPr>
        <w:t>110</w:t>
      </w:r>
      <w:r>
        <w:rPr>
          <w:rFonts w:hint="eastAsia"/>
          <w:sz w:val="30"/>
          <w:szCs w:val="30"/>
        </w:rPr>
        <w:t>号民事裁定书，裁定本案由本院审理。本院于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日对本案受理后，依法适用普通程序，由法官任毅会同法官万红玉、法官王海超组成合议庭于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日公开开庭进行了审理。原告恒安讯佳公司之法定代表人徐彬、委托诉</w:t>
      </w:r>
      <w:r>
        <w:rPr>
          <w:rFonts w:hint="eastAsia"/>
          <w:sz w:val="30"/>
          <w:szCs w:val="30"/>
        </w:rPr>
        <w:t>讼代理人邱新、被告谷宏兵及其委托诉讼代理人潘修平、被告鼎盾公司之委托诉讼代理人杨丽叶到庭参加诉讼。本案现已审理终结。</w:t>
      </w:r>
    </w:p>
    <w:p w:rsidR="00000000" w:rsidRDefault="00414C54">
      <w:pPr>
        <w:spacing w:line="500" w:lineRule="atLeast"/>
        <w:ind w:firstLine="600"/>
        <w:divId w:val="885066290"/>
        <w:rPr>
          <w:rFonts w:hint="eastAsia"/>
          <w:sz w:val="30"/>
          <w:szCs w:val="30"/>
        </w:rPr>
      </w:pPr>
      <w:r>
        <w:rPr>
          <w:rFonts w:hint="eastAsia"/>
          <w:sz w:val="30"/>
          <w:szCs w:val="30"/>
        </w:rPr>
        <w:t>原告恒安讯佳公司向本院提出诉讼请求：</w:t>
      </w:r>
      <w:r>
        <w:rPr>
          <w:rFonts w:hint="eastAsia"/>
          <w:sz w:val="30"/>
          <w:szCs w:val="30"/>
        </w:rPr>
        <w:t>1.</w:t>
      </w:r>
      <w:r>
        <w:rPr>
          <w:rFonts w:hint="eastAsia"/>
          <w:sz w:val="30"/>
          <w:szCs w:val="30"/>
        </w:rPr>
        <w:t>判令谷宏兵违反竞业禁止义务所得收入</w:t>
      </w:r>
      <w:r>
        <w:rPr>
          <w:rFonts w:hint="eastAsia"/>
          <w:sz w:val="30"/>
          <w:szCs w:val="30"/>
        </w:rPr>
        <w:t>367000</w:t>
      </w:r>
      <w:r>
        <w:rPr>
          <w:rFonts w:hint="eastAsia"/>
          <w:sz w:val="30"/>
          <w:szCs w:val="30"/>
        </w:rPr>
        <w:t>元归恒安讯佳公司所有，鼎盾公司承担连带责任；</w:t>
      </w:r>
      <w:r>
        <w:rPr>
          <w:rFonts w:hint="eastAsia"/>
          <w:sz w:val="30"/>
          <w:szCs w:val="30"/>
        </w:rPr>
        <w:t>2.</w:t>
      </w:r>
      <w:r>
        <w:rPr>
          <w:rFonts w:hint="eastAsia"/>
          <w:sz w:val="30"/>
          <w:szCs w:val="30"/>
        </w:rPr>
        <w:t>判令谷宏兵、鼎盾公司连带赔偿损失</w:t>
      </w:r>
      <w:r>
        <w:rPr>
          <w:rFonts w:hint="eastAsia"/>
          <w:sz w:val="30"/>
          <w:szCs w:val="30"/>
        </w:rPr>
        <w:t>3021784.95</w:t>
      </w:r>
      <w:r>
        <w:rPr>
          <w:rFonts w:hint="eastAsia"/>
          <w:sz w:val="30"/>
          <w:szCs w:val="30"/>
        </w:rPr>
        <w:t>元；</w:t>
      </w:r>
      <w:r>
        <w:rPr>
          <w:rFonts w:hint="eastAsia"/>
          <w:sz w:val="30"/>
          <w:szCs w:val="30"/>
        </w:rPr>
        <w:t>3.</w:t>
      </w:r>
      <w:r>
        <w:rPr>
          <w:rFonts w:hint="eastAsia"/>
          <w:sz w:val="30"/>
          <w:szCs w:val="30"/>
        </w:rPr>
        <w:t>判令谷宏兵、鼎盾公司承担本案诉讼费。事实和理由如下：</w:t>
      </w:r>
    </w:p>
    <w:p w:rsidR="00000000" w:rsidRDefault="00414C54">
      <w:pPr>
        <w:spacing w:line="500" w:lineRule="atLeast"/>
        <w:ind w:firstLine="600"/>
        <w:divId w:val="452867461"/>
        <w:rPr>
          <w:rFonts w:hint="eastAsia"/>
          <w:sz w:val="30"/>
          <w:szCs w:val="30"/>
        </w:rPr>
      </w:pPr>
      <w:r>
        <w:rPr>
          <w:rFonts w:hint="eastAsia"/>
          <w:sz w:val="30"/>
          <w:szCs w:val="30"/>
        </w:rPr>
        <w:t>恒安讯佳公司是经营安全打印产品的公司，股东徐彬在信息安全领域工作多年，在该领域有广泛的人脉及资源。恒安讯佳公司成立之前，</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日，徐彬</w:t>
      </w:r>
      <w:r>
        <w:rPr>
          <w:rFonts w:hint="eastAsia"/>
          <w:sz w:val="30"/>
          <w:szCs w:val="30"/>
        </w:rPr>
        <w:t>作为乙方与甲方上海传真通信设备技术研究所有限公司签署《合作框架协议》，约定共同开发安全打印设备项目，甲方负责设备研发生产，乙方负责安全解决方案，甲方向乙方提供必要的研发接口，并约定由徐彬单独设立公司进行市场推广。</w:t>
      </w:r>
    </w:p>
    <w:p w:rsidR="00000000" w:rsidRDefault="00414C54">
      <w:pPr>
        <w:spacing w:line="500" w:lineRule="atLeast"/>
        <w:ind w:firstLine="600"/>
        <w:divId w:val="1414739097"/>
        <w:rPr>
          <w:rFonts w:hint="eastAsia"/>
          <w:sz w:val="30"/>
          <w:szCs w:val="30"/>
        </w:rPr>
      </w:pPr>
      <w:r>
        <w:rPr>
          <w:rFonts w:hint="eastAsia"/>
          <w:sz w:val="30"/>
          <w:szCs w:val="30"/>
        </w:rPr>
        <w:t>谷宏兵当时系鼎盾公司股东、法定代表人，并担任鼎盾公司的执行董事兼总经理。谷宏兵主动找到徐彬，表示想加入徐彬的项目，同时承诺退出鼎盾公司。徐彬相信了谷宏兵的承诺，联合另一名股东刘鹰，三人于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日发起成立了恒安讯佳公司，注册资本</w:t>
      </w:r>
      <w:r>
        <w:rPr>
          <w:rFonts w:hint="eastAsia"/>
          <w:sz w:val="30"/>
          <w:szCs w:val="30"/>
        </w:rPr>
        <w:t>2000</w:t>
      </w:r>
      <w:r>
        <w:rPr>
          <w:rFonts w:hint="eastAsia"/>
          <w:sz w:val="30"/>
          <w:szCs w:val="30"/>
        </w:rPr>
        <w:t>万元，其中徐彬出资</w:t>
      </w:r>
      <w:r>
        <w:rPr>
          <w:rFonts w:hint="eastAsia"/>
          <w:sz w:val="30"/>
          <w:szCs w:val="30"/>
        </w:rPr>
        <w:t>1020</w:t>
      </w:r>
      <w:r>
        <w:rPr>
          <w:rFonts w:hint="eastAsia"/>
          <w:sz w:val="30"/>
          <w:szCs w:val="30"/>
        </w:rPr>
        <w:t>万元，股权比例</w:t>
      </w:r>
      <w:r>
        <w:rPr>
          <w:rFonts w:hint="eastAsia"/>
          <w:sz w:val="30"/>
          <w:szCs w:val="30"/>
        </w:rPr>
        <w:t>51%</w:t>
      </w:r>
      <w:r>
        <w:rPr>
          <w:rFonts w:hint="eastAsia"/>
          <w:sz w:val="30"/>
          <w:szCs w:val="30"/>
        </w:rPr>
        <w:t>，谷</w:t>
      </w:r>
      <w:r>
        <w:rPr>
          <w:rFonts w:hint="eastAsia"/>
          <w:sz w:val="30"/>
          <w:szCs w:val="30"/>
        </w:rPr>
        <w:t>宏兵出资</w:t>
      </w:r>
      <w:r>
        <w:rPr>
          <w:rFonts w:hint="eastAsia"/>
          <w:sz w:val="30"/>
          <w:szCs w:val="30"/>
        </w:rPr>
        <w:t>880</w:t>
      </w:r>
      <w:r>
        <w:rPr>
          <w:rFonts w:hint="eastAsia"/>
          <w:sz w:val="30"/>
          <w:szCs w:val="30"/>
        </w:rPr>
        <w:t>万元，股权比例</w:t>
      </w:r>
      <w:r>
        <w:rPr>
          <w:rFonts w:hint="eastAsia"/>
          <w:sz w:val="30"/>
          <w:szCs w:val="30"/>
        </w:rPr>
        <w:t>44%</w:t>
      </w:r>
      <w:r>
        <w:rPr>
          <w:rFonts w:hint="eastAsia"/>
          <w:sz w:val="30"/>
          <w:szCs w:val="30"/>
        </w:rPr>
        <w:t>，刘鹰出资</w:t>
      </w:r>
      <w:r>
        <w:rPr>
          <w:rFonts w:hint="eastAsia"/>
          <w:sz w:val="30"/>
          <w:szCs w:val="30"/>
        </w:rPr>
        <w:t>100</w:t>
      </w:r>
      <w:r>
        <w:rPr>
          <w:rFonts w:hint="eastAsia"/>
          <w:sz w:val="30"/>
          <w:szCs w:val="30"/>
        </w:rPr>
        <w:t>万元，股权比例</w:t>
      </w:r>
      <w:r>
        <w:rPr>
          <w:rFonts w:hint="eastAsia"/>
          <w:sz w:val="30"/>
          <w:szCs w:val="30"/>
        </w:rPr>
        <w:t>5%</w:t>
      </w:r>
      <w:r>
        <w:rPr>
          <w:rFonts w:hint="eastAsia"/>
          <w:sz w:val="30"/>
          <w:szCs w:val="30"/>
        </w:rPr>
        <w:t>。徐彬任董事长，谷宏兵任董事兼总经理，刘鹰任董事，罗占义任监事。公司经营范围包括技术</w:t>
      </w:r>
      <w:r>
        <w:rPr>
          <w:rFonts w:hint="eastAsia"/>
          <w:sz w:val="30"/>
          <w:szCs w:val="30"/>
        </w:rPr>
        <w:lastRenderedPageBreak/>
        <w:t>开发、技术咨询、技术服务及计算机系统服务、数据处理、软件开发等。</w:t>
      </w:r>
    </w:p>
    <w:p w:rsidR="00000000" w:rsidRDefault="00414C54">
      <w:pPr>
        <w:spacing w:line="500" w:lineRule="atLeast"/>
        <w:ind w:firstLine="600"/>
        <w:divId w:val="1898668004"/>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恒安讯佳公司作为乙方与甲方上海航天有限电厂有限公司、上海传真通信设备技术研究所有限公司签订《信息安全硬拷贝系统项目合作框架协议》，约定甲方负责信息安全硬拷贝设备的生产，乙方负责将设备及乙方自主研发的信息安全审计软件系统打包进行市场推广及销售，乙方为唯一独家经销商。随后，</w:t>
      </w:r>
      <w:r>
        <w:rPr>
          <w:rFonts w:hint="eastAsia"/>
          <w:sz w:val="30"/>
          <w:szCs w:val="30"/>
        </w:rPr>
        <w:t>恒安讯佳公司投入巨额资金研发安全打印软件系统，在公司成立一年多的时间里，产品分别取得了国家保密科技测评中心、公安部、军方的认证和销售许可。</w:t>
      </w:r>
    </w:p>
    <w:p w:rsidR="00000000" w:rsidRDefault="00414C54">
      <w:pPr>
        <w:spacing w:line="500" w:lineRule="atLeast"/>
        <w:ind w:firstLine="600"/>
        <w:divId w:val="1269700671"/>
        <w:rPr>
          <w:rFonts w:hint="eastAsia"/>
          <w:sz w:val="30"/>
          <w:szCs w:val="30"/>
        </w:rPr>
      </w:pPr>
      <w:r>
        <w:rPr>
          <w:rFonts w:hint="eastAsia"/>
          <w:sz w:val="30"/>
          <w:szCs w:val="30"/>
        </w:rPr>
        <w:t>基于对谷宏兵的信任，恒安讯佳公司成立后，股东把公司的经营管理全部交由谷宏兵负责。然而，公司投入大量资金开发出的高端软件系统却未销售出一套。</w:t>
      </w:r>
    </w:p>
    <w:p w:rsidR="00000000" w:rsidRDefault="00414C54">
      <w:pPr>
        <w:spacing w:line="500" w:lineRule="atLeast"/>
        <w:ind w:firstLine="600"/>
        <w:divId w:val="1230073685"/>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日，股东徐彬偶然发现谷宏兵仍任鼎盾公司法定代表人及总经理，并就此事与谷宏兵进行核实，谷宏兵承认此事，并随即于次日即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日以个人原因为由提出辞去总经理职务，董事会同意了其申请。</w:t>
      </w:r>
    </w:p>
    <w:p w:rsidR="00000000" w:rsidRDefault="00414C54">
      <w:pPr>
        <w:spacing w:line="500" w:lineRule="atLeast"/>
        <w:ind w:firstLine="600"/>
        <w:divId w:val="1166941069"/>
        <w:rPr>
          <w:rFonts w:hint="eastAsia"/>
          <w:sz w:val="30"/>
          <w:szCs w:val="30"/>
        </w:rPr>
      </w:pPr>
      <w:r>
        <w:rPr>
          <w:rFonts w:hint="eastAsia"/>
          <w:sz w:val="30"/>
          <w:szCs w:val="30"/>
        </w:rPr>
        <w:t>其他股东随后发现，在恒安讯佳</w:t>
      </w:r>
      <w:r>
        <w:rPr>
          <w:rFonts w:hint="eastAsia"/>
          <w:sz w:val="30"/>
          <w:szCs w:val="30"/>
        </w:rPr>
        <w:t>公司成立之前，鼎盾公司的经营范围并不包括计算机信息系统安全专用产品，只生产销售普通的计算机软件，但在恒安讯佳公司成立之后，鼎盾公司开始转型，于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将经营范围扩大至包括计算机信息系统安全产品，直接与恒安讯佳公司形成同业竞争。其他股东调查还发现，谷宏兵利用在恒安讯佳公司担任总经理职务的便利，在鼎盾公司的军工研究所项目中，安排恒安讯佳公司员工为鼎盾公司工作，并在鼎盾公司的产品中擅自使用恒安讯佳公司的技术，却未支付恒安讯佳公司任何费用。在洛阳某基地项目中，谷宏兵将恒安讯佳公司研发的软件，标记为鼎盾</w:t>
      </w:r>
      <w:r>
        <w:rPr>
          <w:rFonts w:hint="eastAsia"/>
          <w:sz w:val="30"/>
          <w:szCs w:val="30"/>
        </w:rPr>
        <w:t>公司的</w:t>
      </w:r>
      <w:r>
        <w:rPr>
          <w:rFonts w:hint="eastAsia"/>
          <w:sz w:val="30"/>
          <w:szCs w:val="30"/>
        </w:rPr>
        <w:t>LOGO</w:t>
      </w:r>
      <w:r>
        <w:rPr>
          <w:rFonts w:hint="eastAsia"/>
          <w:sz w:val="30"/>
          <w:szCs w:val="30"/>
        </w:rPr>
        <w:t>，连同恒安讯佳公司独家代理的上海传真通信设备技术研究所有限公司“航天双翼打印机”，以鼎盾公司的名义销售给洛阳某基地，并安排恒安讯佳公司工作人员为上述项目工作，为鼎盾公司谋取商业利益，严重损害恒安讯佳公司利益。</w:t>
      </w:r>
    </w:p>
    <w:p w:rsidR="00000000" w:rsidRDefault="00414C54">
      <w:pPr>
        <w:spacing w:line="500" w:lineRule="atLeast"/>
        <w:ind w:firstLine="600"/>
        <w:divId w:val="146211587"/>
        <w:rPr>
          <w:rFonts w:hint="eastAsia"/>
          <w:sz w:val="30"/>
          <w:szCs w:val="30"/>
        </w:rPr>
      </w:pPr>
      <w:r>
        <w:rPr>
          <w:rFonts w:hint="eastAsia"/>
          <w:sz w:val="30"/>
          <w:szCs w:val="30"/>
        </w:rPr>
        <w:t>谷宏兵自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月在鼎盾公司的工资收入应归恒安讯佳公司所有，参照其在恒安讯佳公司的工资收入应为</w:t>
      </w:r>
      <w:r>
        <w:rPr>
          <w:rFonts w:hint="eastAsia"/>
          <w:sz w:val="30"/>
          <w:szCs w:val="30"/>
        </w:rPr>
        <w:t>367000</w:t>
      </w:r>
      <w:r>
        <w:rPr>
          <w:rFonts w:hint="eastAsia"/>
          <w:sz w:val="30"/>
          <w:szCs w:val="30"/>
        </w:rPr>
        <w:t>元。恒安讯佳公司在信息安全审计软件系统产品投入的研发成本</w:t>
      </w:r>
      <w:r>
        <w:rPr>
          <w:rFonts w:hint="eastAsia"/>
          <w:sz w:val="30"/>
          <w:szCs w:val="30"/>
        </w:rPr>
        <w:t>3021784.95</w:t>
      </w:r>
      <w:r>
        <w:rPr>
          <w:rFonts w:hint="eastAsia"/>
          <w:sz w:val="30"/>
          <w:szCs w:val="30"/>
        </w:rPr>
        <w:t>元应视为其损失。谷宏兵作为恒安讯佳公司高管期间，违反忠实义务，自营与恒安讯佳公司同类业</w:t>
      </w:r>
      <w:r>
        <w:rPr>
          <w:rFonts w:hint="eastAsia"/>
          <w:sz w:val="30"/>
          <w:szCs w:val="30"/>
        </w:rPr>
        <w:t>务，违反了《中华人民共和国公司法》及公司章程的规定，严重损害了公司利益。鼎盾公司与谷宏兵构成共同侵权，应对恒安讯佳公司的损失承担连带赔偿责任。为维护合法权益，恒安讯佳公司诉至法院。</w:t>
      </w:r>
    </w:p>
    <w:p w:rsidR="00000000" w:rsidRDefault="00414C54">
      <w:pPr>
        <w:spacing w:line="500" w:lineRule="atLeast"/>
        <w:ind w:firstLine="600"/>
        <w:divId w:val="551236511"/>
        <w:rPr>
          <w:rFonts w:hint="eastAsia"/>
          <w:sz w:val="30"/>
          <w:szCs w:val="30"/>
        </w:rPr>
      </w:pPr>
      <w:r>
        <w:rPr>
          <w:rFonts w:hint="eastAsia"/>
          <w:sz w:val="30"/>
          <w:szCs w:val="30"/>
        </w:rPr>
        <w:t>被告谷宏兵辩称，不同意恒安讯佳公司的诉讼请求，理由如下：</w:t>
      </w:r>
      <w:r>
        <w:rPr>
          <w:rFonts w:hint="eastAsia"/>
          <w:sz w:val="30"/>
          <w:szCs w:val="30"/>
        </w:rPr>
        <w:t>1.</w:t>
      </w:r>
      <w:r>
        <w:rPr>
          <w:rFonts w:hint="eastAsia"/>
          <w:sz w:val="30"/>
          <w:szCs w:val="30"/>
        </w:rPr>
        <w:t>恒安讯佳公司与徐彬对谷宏兵在鼎盾公司任职情况知情，谷宏兵对此亦未隐瞒；</w:t>
      </w:r>
      <w:r>
        <w:rPr>
          <w:rFonts w:hint="eastAsia"/>
          <w:sz w:val="30"/>
          <w:szCs w:val="30"/>
        </w:rPr>
        <w:t>2.</w:t>
      </w:r>
      <w:r>
        <w:rPr>
          <w:rFonts w:hint="eastAsia"/>
          <w:sz w:val="30"/>
          <w:szCs w:val="30"/>
        </w:rPr>
        <w:t>恒安讯佳公司经营软件，鼎盾公司经营硬件，二者经营范围不同，产品存在差异；</w:t>
      </w:r>
      <w:r>
        <w:rPr>
          <w:rFonts w:hint="eastAsia"/>
          <w:sz w:val="30"/>
          <w:szCs w:val="30"/>
        </w:rPr>
        <w:t>3.</w:t>
      </w:r>
      <w:r>
        <w:rPr>
          <w:rFonts w:hint="eastAsia"/>
          <w:sz w:val="30"/>
          <w:szCs w:val="30"/>
        </w:rPr>
        <w:t>鼎盾公司使用恒安讯佳公司软件系基于双方存在合作协议，恒安讯佳公司无相关资质，而鼎盾公司具有资质，故双方合作共同完成项目；</w:t>
      </w:r>
      <w:r>
        <w:rPr>
          <w:rFonts w:hint="eastAsia"/>
          <w:sz w:val="30"/>
          <w:szCs w:val="30"/>
        </w:rPr>
        <w:t>4.</w:t>
      </w:r>
      <w:r>
        <w:rPr>
          <w:rFonts w:hint="eastAsia"/>
          <w:sz w:val="30"/>
          <w:szCs w:val="30"/>
        </w:rPr>
        <w:t>恒安讯佳公司是一个高科技公司，在软件制作方面刚刚取得了各方面成就，也具备了大规模经营的条件，但股东间发生了矛盾，经营利润少是因为前期投入巨大；</w:t>
      </w:r>
      <w:r>
        <w:rPr>
          <w:rFonts w:hint="eastAsia"/>
          <w:sz w:val="30"/>
          <w:szCs w:val="30"/>
        </w:rPr>
        <w:t>5.</w:t>
      </w:r>
      <w:r>
        <w:rPr>
          <w:rFonts w:hint="eastAsia"/>
          <w:sz w:val="30"/>
          <w:szCs w:val="30"/>
        </w:rPr>
        <w:t>谷宏兵在鼎盾公司无任何收入；</w:t>
      </w:r>
      <w:r>
        <w:rPr>
          <w:rFonts w:hint="eastAsia"/>
          <w:sz w:val="30"/>
          <w:szCs w:val="30"/>
        </w:rPr>
        <w:t>6.</w:t>
      </w:r>
      <w:r>
        <w:rPr>
          <w:rFonts w:hint="eastAsia"/>
          <w:sz w:val="30"/>
          <w:szCs w:val="30"/>
        </w:rPr>
        <w:t>恒安讯佳公司称谷宏兵主动找到恒安讯佳公司并承诺退出鼎盾公司与事实不符；恒安讯佳公司称其产品取得认证后未销售出一套与事实不符。</w:t>
      </w:r>
    </w:p>
    <w:p w:rsidR="00000000" w:rsidRDefault="00414C54">
      <w:pPr>
        <w:spacing w:line="500" w:lineRule="atLeast"/>
        <w:ind w:firstLine="600"/>
        <w:divId w:val="1751001798"/>
        <w:rPr>
          <w:rFonts w:hint="eastAsia"/>
          <w:sz w:val="30"/>
          <w:szCs w:val="30"/>
        </w:rPr>
      </w:pPr>
      <w:r>
        <w:rPr>
          <w:rFonts w:hint="eastAsia"/>
          <w:sz w:val="30"/>
          <w:szCs w:val="30"/>
        </w:rPr>
        <w:t>被告鼎盾公司辩称，不同意恒安讯佳公司的诉讼请求，理由如下：</w:t>
      </w:r>
      <w:r>
        <w:rPr>
          <w:rFonts w:hint="eastAsia"/>
          <w:sz w:val="30"/>
          <w:szCs w:val="30"/>
        </w:rPr>
        <w:t>1.</w:t>
      </w:r>
      <w:r>
        <w:rPr>
          <w:rFonts w:hint="eastAsia"/>
          <w:sz w:val="30"/>
          <w:szCs w:val="30"/>
        </w:rPr>
        <w:t>鼎盾公司与恒安讯佳公司合作期间，为恒安讯佳公司提供多方面支持和帮助；</w:t>
      </w:r>
      <w:r>
        <w:rPr>
          <w:rFonts w:hint="eastAsia"/>
          <w:sz w:val="30"/>
          <w:szCs w:val="30"/>
        </w:rPr>
        <w:t>2.</w:t>
      </w:r>
      <w:r>
        <w:rPr>
          <w:rFonts w:hint="eastAsia"/>
          <w:sz w:val="30"/>
          <w:szCs w:val="30"/>
        </w:rPr>
        <w:t>关于军工研究所项目，鼎盾公司是恒安讯佳公司合法经销商；</w:t>
      </w:r>
      <w:r>
        <w:rPr>
          <w:rFonts w:hint="eastAsia"/>
          <w:sz w:val="30"/>
          <w:szCs w:val="30"/>
        </w:rPr>
        <w:t>3.</w:t>
      </w:r>
      <w:r>
        <w:rPr>
          <w:rFonts w:hint="eastAsia"/>
          <w:sz w:val="30"/>
          <w:szCs w:val="30"/>
        </w:rPr>
        <w:t>关于洛阳</w:t>
      </w:r>
      <w:r>
        <w:rPr>
          <w:rFonts w:hint="eastAsia"/>
          <w:sz w:val="30"/>
          <w:szCs w:val="30"/>
        </w:rPr>
        <w:t>33</w:t>
      </w:r>
      <w:r>
        <w:rPr>
          <w:rFonts w:hint="eastAsia"/>
          <w:sz w:val="30"/>
          <w:szCs w:val="30"/>
        </w:rPr>
        <w:t>所项目，鼎盾公司用其客户资源帮助恒安讯佳公司推广其产品，因恒安讯佳公司当时无销售资格，故以鼎盾公司的品牌进行销售，关于费用双方亦进行过沟通，但该项目因恒安讯佳公司后续没有人员跟进，故没有验收成功，不应由鼎盾公司承担赔偿责任；</w:t>
      </w:r>
      <w:r>
        <w:rPr>
          <w:rFonts w:hint="eastAsia"/>
          <w:sz w:val="30"/>
          <w:szCs w:val="30"/>
        </w:rPr>
        <w:t>4.</w:t>
      </w:r>
      <w:r>
        <w:rPr>
          <w:rFonts w:hint="eastAsia"/>
          <w:sz w:val="30"/>
          <w:szCs w:val="30"/>
        </w:rPr>
        <w:t>恒安讯佳公司与鼎盾公司产品不同，二者不存在同业竞争关系；</w:t>
      </w:r>
      <w:r>
        <w:rPr>
          <w:rFonts w:hint="eastAsia"/>
          <w:sz w:val="30"/>
          <w:szCs w:val="30"/>
        </w:rPr>
        <w:t>5.</w:t>
      </w:r>
      <w:r>
        <w:rPr>
          <w:rFonts w:hint="eastAsia"/>
          <w:sz w:val="30"/>
          <w:szCs w:val="30"/>
        </w:rPr>
        <w:t>恒安讯佳公司诉请不明确，相互矛盾，其所主张的损失为恒安讯佳公司研发产品投入的成本，但这些投入已转化为其无形资产，是其自身经营不当导致无法进行产品维护和销售，无法盘活资金。</w:t>
      </w:r>
    </w:p>
    <w:p w:rsidR="00000000" w:rsidRDefault="00414C54">
      <w:pPr>
        <w:spacing w:line="500" w:lineRule="atLeast"/>
        <w:ind w:firstLine="600"/>
        <w:divId w:val="156071961"/>
        <w:rPr>
          <w:rFonts w:hint="eastAsia"/>
          <w:sz w:val="30"/>
          <w:szCs w:val="30"/>
        </w:rPr>
      </w:pPr>
      <w:r>
        <w:rPr>
          <w:rFonts w:hint="eastAsia"/>
          <w:sz w:val="30"/>
          <w:szCs w:val="30"/>
        </w:rPr>
        <w:t>当事人围绕诉讼请求依法提交了证据，本院组织当事人进行</w:t>
      </w:r>
      <w:r>
        <w:rPr>
          <w:rFonts w:hint="eastAsia"/>
          <w:sz w:val="30"/>
          <w:szCs w:val="30"/>
        </w:rPr>
        <w:t>了证据交换和质证。根据本院审查认定的证据及当事人陈述，本院认定事实如下：</w:t>
      </w:r>
    </w:p>
    <w:p w:rsidR="00000000" w:rsidRDefault="00414C54">
      <w:pPr>
        <w:spacing w:line="500" w:lineRule="atLeast"/>
        <w:ind w:firstLine="600"/>
        <w:divId w:val="1881354925"/>
        <w:rPr>
          <w:rFonts w:hint="eastAsia"/>
          <w:sz w:val="30"/>
          <w:szCs w:val="30"/>
        </w:rPr>
      </w:pPr>
      <w:r>
        <w:rPr>
          <w:rFonts w:hint="eastAsia"/>
          <w:sz w:val="30"/>
          <w:szCs w:val="30"/>
        </w:rPr>
        <w:t>一、恒安讯佳公司本案诉请相关事项</w:t>
      </w:r>
    </w:p>
    <w:p w:rsidR="00000000" w:rsidRDefault="00414C54">
      <w:pPr>
        <w:spacing w:line="500" w:lineRule="atLeast"/>
        <w:ind w:firstLine="600"/>
        <w:divId w:val="841090023"/>
        <w:rPr>
          <w:rFonts w:hint="eastAsia"/>
          <w:sz w:val="30"/>
          <w:szCs w:val="30"/>
        </w:rPr>
      </w:pPr>
      <w:r>
        <w:rPr>
          <w:rFonts w:hint="eastAsia"/>
          <w:sz w:val="30"/>
          <w:szCs w:val="30"/>
        </w:rPr>
        <w:t>1.</w:t>
      </w:r>
      <w:r>
        <w:rPr>
          <w:rFonts w:hint="eastAsia"/>
          <w:sz w:val="30"/>
          <w:szCs w:val="30"/>
        </w:rPr>
        <w:t>恒安讯佳公司诉讼请求的理由及依据</w:t>
      </w:r>
    </w:p>
    <w:p w:rsidR="00000000" w:rsidRDefault="00414C54">
      <w:pPr>
        <w:spacing w:line="500" w:lineRule="atLeast"/>
        <w:ind w:firstLine="600"/>
        <w:divId w:val="1065565961"/>
        <w:rPr>
          <w:rFonts w:hint="eastAsia"/>
          <w:sz w:val="30"/>
          <w:szCs w:val="30"/>
        </w:rPr>
      </w:pPr>
      <w:r>
        <w:rPr>
          <w:rFonts w:hint="eastAsia"/>
          <w:sz w:val="30"/>
          <w:szCs w:val="30"/>
        </w:rPr>
        <w:t>恒安讯佳公司于本案审理过程中明确，其第一项诉请的理由及依据为：谷宏兵在与恒安讯佳公司经营同类业务的鼎盾公司任法定代表人、执行董事、经理及股东，违反《中华人民共和国公司法》第一百四十八条第一款第（五）项及恒安讯佳公司章程第二十五条的规定，其在鼎盾公司的工资收入应归恒安讯佳公司所有。因恒安讯佳公司对谷宏兵在鼎盾公司工资收入情况不知情，故该项诉请金额系参照谷宏兵</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月期间在恒安讯佳公司工资收入确定。鼎盾公司与谷宏兵因共同侵权对此应承担连带责任；其诉请第二项的理由和依据为：谷宏兵在洛阳</w:t>
      </w:r>
      <w:r>
        <w:rPr>
          <w:rFonts w:hint="eastAsia"/>
          <w:sz w:val="30"/>
          <w:szCs w:val="30"/>
        </w:rPr>
        <w:t>3</w:t>
      </w:r>
      <w:r>
        <w:rPr>
          <w:rFonts w:hint="eastAsia"/>
          <w:sz w:val="30"/>
          <w:szCs w:val="30"/>
        </w:rPr>
        <w:t>3</w:t>
      </w:r>
      <w:r>
        <w:rPr>
          <w:rFonts w:hint="eastAsia"/>
          <w:sz w:val="30"/>
          <w:szCs w:val="30"/>
        </w:rPr>
        <w:t>所项目中，利用恒安讯佳公司人员为鼎盾公司提供服务，将恒安讯佳公司产品“讯佳打印复印产品安全监控与审计系统</w:t>
      </w:r>
      <w:r>
        <w:rPr>
          <w:rFonts w:hint="eastAsia"/>
          <w:sz w:val="30"/>
          <w:szCs w:val="30"/>
        </w:rPr>
        <w:t>V1.0</w:t>
      </w:r>
      <w:r>
        <w:rPr>
          <w:rFonts w:hint="eastAsia"/>
          <w:sz w:val="30"/>
          <w:szCs w:val="30"/>
        </w:rPr>
        <w:t>”以鼎盾公司名义对外销售，导致该产品现已无价值，谷宏兵、鼎盾公司对此构成共同侵权，依据《中华人民共和国侵权责任法》的相关规定，谷宏兵、鼎盾公司应连带赔偿恒安讯佳公司为研发该产品支出的所有费用。</w:t>
      </w:r>
    </w:p>
    <w:p w:rsidR="00000000" w:rsidRDefault="00414C54">
      <w:pPr>
        <w:spacing w:line="500" w:lineRule="atLeast"/>
        <w:ind w:firstLine="600"/>
        <w:divId w:val="1348286132"/>
        <w:rPr>
          <w:rFonts w:hint="eastAsia"/>
          <w:sz w:val="30"/>
          <w:szCs w:val="30"/>
        </w:rPr>
      </w:pPr>
      <w:r>
        <w:rPr>
          <w:rFonts w:hint="eastAsia"/>
          <w:sz w:val="30"/>
          <w:szCs w:val="30"/>
        </w:rPr>
        <w:t>2.</w:t>
      </w:r>
      <w:r>
        <w:rPr>
          <w:rFonts w:hint="eastAsia"/>
          <w:sz w:val="30"/>
          <w:szCs w:val="30"/>
        </w:rPr>
        <w:t>谷宏兵在恒安讯佳公司、鼎盾公司工资收入相关情况</w:t>
      </w:r>
    </w:p>
    <w:p w:rsidR="00000000" w:rsidRDefault="00414C54">
      <w:pPr>
        <w:spacing w:line="500" w:lineRule="atLeast"/>
        <w:ind w:firstLine="600"/>
        <w:divId w:val="914970121"/>
        <w:rPr>
          <w:rFonts w:hint="eastAsia"/>
          <w:sz w:val="30"/>
          <w:szCs w:val="30"/>
        </w:rPr>
      </w:pPr>
      <w:r>
        <w:rPr>
          <w:rFonts w:hint="eastAsia"/>
          <w:sz w:val="30"/>
          <w:szCs w:val="30"/>
        </w:rPr>
        <w:t>各方均认可谷宏兵自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月期间仅在恒安讯佳公司工作。各方对于谷宏兵上述期间在恒安讯佳公司工资收入为</w:t>
      </w:r>
      <w:r>
        <w:rPr>
          <w:rFonts w:hint="eastAsia"/>
          <w:sz w:val="30"/>
          <w:szCs w:val="30"/>
        </w:rPr>
        <w:t>367000</w:t>
      </w:r>
      <w:r>
        <w:rPr>
          <w:rFonts w:hint="eastAsia"/>
          <w:sz w:val="30"/>
          <w:szCs w:val="30"/>
        </w:rPr>
        <w:t>元均无异议。谷宏兵、</w:t>
      </w:r>
      <w:r>
        <w:rPr>
          <w:rFonts w:hint="eastAsia"/>
          <w:sz w:val="30"/>
          <w:szCs w:val="30"/>
        </w:rPr>
        <w:t>鼎盾公司均否认谷宏兵上述期间在鼎盾公司有收入。本案审理过程中，本院依恒安讯佳公司申请，调取了鼎盾公司、谷宏兵在</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期间账户银行流水，根据调取的材料，鼎盾公司与谷宏兵存在相互之间的资金往来，但谷宏兵向鼎盾公司转账备注的款项性质为公司垫款，鼎盾公司向谷宏兵转账备注的款项性质为偿还垫资款、偿还借款。双方于上述期间并无工资类资金往来。此外，谷宏兵亦存在向恒安讯佳公司垫资的情况。</w:t>
      </w:r>
    </w:p>
    <w:p w:rsidR="00000000" w:rsidRDefault="00414C54">
      <w:pPr>
        <w:spacing w:line="500" w:lineRule="atLeast"/>
        <w:ind w:firstLine="600"/>
        <w:divId w:val="1047072659"/>
        <w:rPr>
          <w:rFonts w:hint="eastAsia"/>
          <w:sz w:val="30"/>
          <w:szCs w:val="30"/>
        </w:rPr>
      </w:pPr>
      <w:r>
        <w:rPr>
          <w:rFonts w:hint="eastAsia"/>
          <w:sz w:val="30"/>
          <w:szCs w:val="30"/>
        </w:rPr>
        <w:t>庭审中，恒安讯佳公司称其本来对谷宏兵在鼎盾公司身份情况知晓，但要求谷宏兵在加入恒安讯佳公司后一定时间内退出</w:t>
      </w:r>
      <w:r>
        <w:rPr>
          <w:rFonts w:hint="eastAsia"/>
          <w:sz w:val="30"/>
          <w:szCs w:val="30"/>
        </w:rPr>
        <w:t>鼎盾公司，因谷宏兵向其告知已退出鼎盾公司，故其才自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日起为谷宏兵发工资。</w:t>
      </w:r>
    </w:p>
    <w:p w:rsidR="00000000" w:rsidRDefault="00414C54">
      <w:pPr>
        <w:spacing w:line="500" w:lineRule="atLeast"/>
        <w:ind w:firstLine="600"/>
        <w:divId w:val="128717014"/>
        <w:rPr>
          <w:rFonts w:hint="eastAsia"/>
          <w:sz w:val="30"/>
          <w:szCs w:val="30"/>
        </w:rPr>
      </w:pPr>
      <w:r>
        <w:rPr>
          <w:rFonts w:hint="eastAsia"/>
          <w:sz w:val="30"/>
          <w:szCs w:val="30"/>
        </w:rPr>
        <w:t>3.</w:t>
      </w:r>
      <w:r>
        <w:rPr>
          <w:rFonts w:hint="eastAsia"/>
          <w:sz w:val="30"/>
          <w:szCs w:val="30"/>
        </w:rPr>
        <w:t>涉案恒安讯佳公司软件产品相关事实</w:t>
      </w:r>
    </w:p>
    <w:p w:rsidR="00000000" w:rsidRDefault="00414C54">
      <w:pPr>
        <w:spacing w:line="500" w:lineRule="atLeast"/>
        <w:ind w:firstLine="600"/>
        <w:divId w:val="1637485101"/>
        <w:rPr>
          <w:rFonts w:hint="eastAsia"/>
          <w:sz w:val="30"/>
          <w:szCs w:val="30"/>
        </w:rPr>
      </w:pPr>
      <w:r>
        <w:rPr>
          <w:rFonts w:hint="eastAsia"/>
          <w:sz w:val="30"/>
          <w:szCs w:val="30"/>
        </w:rPr>
        <w:t>恒安讯佳公司主张研发“讯佳打印复印产品安全监控与审计系统</w:t>
      </w:r>
      <w:r>
        <w:rPr>
          <w:rFonts w:hint="eastAsia"/>
          <w:sz w:val="30"/>
          <w:szCs w:val="30"/>
        </w:rPr>
        <w:t>V1.0</w:t>
      </w:r>
      <w:r>
        <w:rPr>
          <w:rFonts w:hint="eastAsia"/>
          <w:sz w:val="30"/>
          <w:szCs w:val="30"/>
        </w:rPr>
        <w:t>”产品支出金额包括支付给鼎盾公司的委托开发费用</w:t>
      </w:r>
      <w:r>
        <w:rPr>
          <w:rFonts w:hint="eastAsia"/>
          <w:sz w:val="30"/>
          <w:szCs w:val="30"/>
        </w:rPr>
        <w:t>1300750</w:t>
      </w:r>
      <w:r>
        <w:rPr>
          <w:rFonts w:hint="eastAsia"/>
          <w:sz w:val="30"/>
          <w:szCs w:val="30"/>
        </w:rPr>
        <w:t>元、研发人员工资支出</w:t>
      </w:r>
      <w:r>
        <w:rPr>
          <w:rFonts w:hint="eastAsia"/>
          <w:sz w:val="30"/>
          <w:szCs w:val="30"/>
        </w:rPr>
        <w:t>1647534.95</w:t>
      </w:r>
      <w:r>
        <w:rPr>
          <w:rFonts w:hint="eastAsia"/>
          <w:sz w:val="30"/>
          <w:szCs w:val="30"/>
        </w:rPr>
        <w:t>元、检测、测试、数字证书费</w:t>
      </w:r>
      <w:r>
        <w:rPr>
          <w:rFonts w:hint="eastAsia"/>
          <w:sz w:val="30"/>
          <w:szCs w:val="30"/>
        </w:rPr>
        <w:t>73500</w:t>
      </w:r>
      <w:r>
        <w:rPr>
          <w:rFonts w:hint="eastAsia"/>
          <w:sz w:val="30"/>
          <w:szCs w:val="30"/>
        </w:rPr>
        <w:t>元，以上合计</w:t>
      </w:r>
      <w:r>
        <w:rPr>
          <w:rFonts w:hint="eastAsia"/>
          <w:sz w:val="30"/>
          <w:szCs w:val="30"/>
        </w:rPr>
        <w:t>3021784.95</w:t>
      </w:r>
      <w:r>
        <w:rPr>
          <w:rFonts w:hint="eastAsia"/>
          <w:sz w:val="30"/>
          <w:szCs w:val="30"/>
        </w:rPr>
        <w:t>元即是其第二项诉请主张的金额。庭审中，恒安讯佳公司自述其与鼎盾公司存在</w:t>
      </w:r>
      <w:r>
        <w:rPr>
          <w:rFonts w:hint="eastAsia"/>
          <w:sz w:val="30"/>
          <w:szCs w:val="30"/>
        </w:rPr>
        <w:t>12</w:t>
      </w:r>
      <w:r>
        <w:rPr>
          <w:rFonts w:hint="eastAsia"/>
          <w:sz w:val="30"/>
          <w:szCs w:val="30"/>
        </w:rPr>
        <w:t>份技术服务合同，上述</w:t>
      </w:r>
      <w:r>
        <w:rPr>
          <w:rFonts w:hint="eastAsia"/>
          <w:sz w:val="30"/>
          <w:szCs w:val="30"/>
        </w:rPr>
        <w:t>1300750</w:t>
      </w:r>
      <w:r>
        <w:rPr>
          <w:rFonts w:hint="eastAsia"/>
          <w:sz w:val="30"/>
          <w:szCs w:val="30"/>
        </w:rPr>
        <w:t>元支付给鼎盾公司的委托开发费用并非针对洛阳</w:t>
      </w:r>
      <w:r>
        <w:rPr>
          <w:rFonts w:hint="eastAsia"/>
          <w:sz w:val="30"/>
          <w:szCs w:val="30"/>
        </w:rPr>
        <w:t>33</w:t>
      </w:r>
      <w:r>
        <w:rPr>
          <w:rFonts w:hint="eastAsia"/>
          <w:sz w:val="30"/>
          <w:szCs w:val="30"/>
        </w:rPr>
        <w:t>所项目的产品研发所支付的款项。谷宏兵、鼎盾公司认可恒安讯佳公司为研发产品存在上述支出，但鼎盾公司主张恒安讯佳公司不仅有“讯佳打印复印产品安全监控与审计系统</w:t>
      </w:r>
      <w:r>
        <w:rPr>
          <w:rFonts w:hint="eastAsia"/>
          <w:sz w:val="30"/>
          <w:szCs w:val="30"/>
        </w:rPr>
        <w:t>V1.0</w:t>
      </w:r>
      <w:r>
        <w:rPr>
          <w:rFonts w:hint="eastAsia"/>
          <w:sz w:val="30"/>
          <w:szCs w:val="30"/>
        </w:rPr>
        <w:t>”一个研发产品。</w:t>
      </w:r>
    </w:p>
    <w:p w:rsidR="00000000" w:rsidRDefault="00414C54">
      <w:pPr>
        <w:spacing w:line="500" w:lineRule="atLeast"/>
        <w:ind w:firstLine="600"/>
        <w:divId w:val="1850411336"/>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恒安讯佳公司与鼎盾公司签署《恒安讯佳认证经销商协议》，该协议由双方盖章，其中鼎盾公司盖章处加盖有谷宏兵人名章。该协议约定恒安讯佳公司授权鼎盾公司在授权区域及授权客户范围内以恒安讯佳公司经销商的身份营销恒安讯佳的产品。授权区域北京市，授权期限</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日。鼎盾公司认可其曾与客户在</w:t>
      </w:r>
      <w:r>
        <w:rPr>
          <w:rFonts w:hint="eastAsia"/>
          <w:sz w:val="30"/>
          <w:szCs w:val="30"/>
        </w:rPr>
        <w:t>20</w:t>
      </w:r>
      <w:r>
        <w:rPr>
          <w:rFonts w:hint="eastAsia"/>
          <w:sz w:val="30"/>
          <w:szCs w:val="30"/>
        </w:rPr>
        <w:t>14</w:t>
      </w:r>
      <w:r>
        <w:rPr>
          <w:rFonts w:hint="eastAsia"/>
          <w:sz w:val="30"/>
          <w:szCs w:val="30"/>
        </w:rPr>
        <w:t>年即签署了软件购销合同，在</w:t>
      </w:r>
      <w:r>
        <w:rPr>
          <w:rFonts w:hint="eastAsia"/>
          <w:sz w:val="30"/>
          <w:szCs w:val="30"/>
        </w:rPr>
        <w:t>2017</w:t>
      </w:r>
      <w:r>
        <w:rPr>
          <w:rFonts w:hint="eastAsia"/>
          <w:sz w:val="30"/>
          <w:szCs w:val="30"/>
        </w:rPr>
        <w:t>年与该客户履行洛阳</w:t>
      </w:r>
      <w:r>
        <w:rPr>
          <w:rFonts w:hint="eastAsia"/>
          <w:sz w:val="30"/>
          <w:szCs w:val="30"/>
        </w:rPr>
        <w:t>33</w:t>
      </w:r>
      <w:r>
        <w:rPr>
          <w:rFonts w:hint="eastAsia"/>
          <w:sz w:val="30"/>
          <w:szCs w:val="30"/>
        </w:rPr>
        <w:t>所项目软件购销事宜过程中，其系以鼎盾公司的名义对整体产品进行销售，该产品中包含恒安讯佳公司的“讯佳打印复印产品安全监控与审计系统</w:t>
      </w:r>
      <w:r>
        <w:rPr>
          <w:rFonts w:hint="eastAsia"/>
          <w:sz w:val="30"/>
          <w:szCs w:val="30"/>
        </w:rPr>
        <w:t>V1.0</w:t>
      </w:r>
      <w:r>
        <w:rPr>
          <w:rFonts w:hint="eastAsia"/>
          <w:sz w:val="30"/>
          <w:szCs w:val="30"/>
        </w:rPr>
        <w:t>”软件产品。根据恒安讯佳公司提交的电子邮件，在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月至</w:t>
      </w:r>
      <w:r>
        <w:rPr>
          <w:rFonts w:hint="eastAsia"/>
          <w:sz w:val="30"/>
          <w:szCs w:val="30"/>
        </w:rPr>
        <w:t>5</w:t>
      </w:r>
      <w:r>
        <w:rPr>
          <w:rFonts w:hint="eastAsia"/>
          <w:sz w:val="30"/>
          <w:szCs w:val="30"/>
        </w:rPr>
        <w:t>月期间，恒安讯佳公司工作人员崔崧与谷宏兵、鼎盾公司工作人员杨丽叶针对洛阳</w:t>
      </w:r>
      <w:r>
        <w:rPr>
          <w:rFonts w:hint="eastAsia"/>
          <w:sz w:val="30"/>
          <w:szCs w:val="30"/>
        </w:rPr>
        <w:t>33</w:t>
      </w:r>
      <w:r>
        <w:rPr>
          <w:rFonts w:hint="eastAsia"/>
          <w:sz w:val="30"/>
          <w:szCs w:val="30"/>
        </w:rPr>
        <w:t>所项目软件产品调试、问题排查等事项进行过沟通。各方对于该项目最终未能达成均未提出异议。</w:t>
      </w:r>
    </w:p>
    <w:p w:rsidR="00000000" w:rsidRDefault="00414C54">
      <w:pPr>
        <w:spacing w:line="500" w:lineRule="atLeast"/>
        <w:ind w:firstLine="600"/>
        <w:divId w:val="176161776"/>
        <w:rPr>
          <w:rFonts w:hint="eastAsia"/>
          <w:sz w:val="30"/>
          <w:szCs w:val="30"/>
        </w:rPr>
      </w:pPr>
      <w:r>
        <w:rPr>
          <w:rFonts w:hint="eastAsia"/>
          <w:sz w:val="30"/>
          <w:szCs w:val="30"/>
        </w:rPr>
        <w:t>关于“讯佳打印复印产品安全监控与审计系统</w:t>
      </w:r>
      <w:r>
        <w:rPr>
          <w:rFonts w:hint="eastAsia"/>
          <w:sz w:val="30"/>
          <w:szCs w:val="30"/>
        </w:rPr>
        <w:t>V1.0</w:t>
      </w:r>
      <w:r>
        <w:rPr>
          <w:rFonts w:hint="eastAsia"/>
          <w:sz w:val="30"/>
          <w:szCs w:val="30"/>
        </w:rPr>
        <w:t>”产品是否仍具有价值的问题，双方均认可该</w:t>
      </w:r>
      <w:r>
        <w:rPr>
          <w:rFonts w:hint="eastAsia"/>
          <w:sz w:val="30"/>
          <w:szCs w:val="30"/>
        </w:rPr>
        <w:t>产品现已过期，谷宏兵、鼎盾公司主张该产品可以申请延期，恒安讯佳公司亦称正常情况下，此类产品过期后可以申请延期，但主张该产品较为特殊，因鼎盾公司在洛阳</w:t>
      </w:r>
      <w:r>
        <w:rPr>
          <w:rFonts w:hint="eastAsia"/>
          <w:sz w:val="30"/>
          <w:szCs w:val="30"/>
        </w:rPr>
        <w:t>33</w:t>
      </w:r>
      <w:r>
        <w:rPr>
          <w:rFonts w:hint="eastAsia"/>
          <w:sz w:val="30"/>
          <w:szCs w:val="30"/>
        </w:rPr>
        <w:t>所项目中已经在该产品外包装上标注了鼎盾公司的标识，且向客户出示的是鼎盾公司的资质证书，故该产品的延期申请不会被准许。经询问，恒安讯佳公司表示其并未针对该产品提出过延期申请，且并无证据证明该产品现已无价值。</w:t>
      </w:r>
    </w:p>
    <w:p w:rsidR="00000000" w:rsidRDefault="00414C54">
      <w:pPr>
        <w:spacing w:line="500" w:lineRule="atLeast"/>
        <w:ind w:firstLine="600"/>
        <w:divId w:val="318389376"/>
        <w:rPr>
          <w:rFonts w:hint="eastAsia"/>
          <w:sz w:val="30"/>
          <w:szCs w:val="30"/>
        </w:rPr>
      </w:pPr>
      <w:r>
        <w:rPr>
          <w:rFonts w:hint="eastAsia"/>
          <w:sz w:val="30"/>
          <w:szCs w:val="30"/>
        </w:rPr>
        <w:t>二、恒安讯佳公司、鼎盾公司相关情况</w:t>
      </w:r>
    </w:p>
    <w:p w:rsidR="00000000" w:rsidRDefault="00414C54">
      <w:pPr>
        <w:spacing w:line="500" w:lineRule="atLeast"/>
        <w:ind w:firstLine="600"/>
        <w:divId w:val="581724154"/>
        <w:rPr>
          <w:rFonts w:hint="eastAsia"/>
          <w:sz w:val="30"/>
          <w:szCs w:val="30"/>
        </w:rPr>
      </w:pPr>
      <w:r>
        <w:rPr>
          <w:rFonts w:hint="eastAsia"/>
          <w:sz w:val="30"/>
          <w:szCs w:val="30"/>
        </w:rPr>
        <w:t>恒安讯佳公司成立于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日，注册资本</w:t>
      </w:r>
      <w:r>
        <w:rPr>
          <w:rFonts w:hint="eastAsia"/>
          <w:sz w:val="30"/>
          <w:szCs w:val="30"/>
        </w:rPr>
        <w:t>200</w:t>
      </w:r>
      <w:r>
        <w:rPr>
          <w:rFonts w:hint="eastAsia"/>
          <w:sz w:val="30"/>
          <w:szCs w:val="30"/>
        </w:rPr>
        <w:t>万元，三位股东徐彬、谷宏兵、刘鹰分别持股比例分别为</w:t>
      </w:r>
      <w:r>
        <w:rPr>
          <w:rFonts w:hint="eastAsia"/>
          <w:sz w:val="30"/>
          <w:szCs w:val="30"/>
        </w:rPr>
        <w:t>51%</w:t>
      </w:r>
      <w:r>
        <w:rPr>
          <w:rFonts w:hint="eastAsia"/>
          <w:sz w:val="30"/>
          <w:szCs w:val="30"/>
        </w:rPr>
        <w:t>、</w:t>
      </w:r>
      <w:r>
        <w:rPr>
          <w:rFonts w:hint="eastAsia"/>
          <w:sz w:val="30"/>
          <w:szCs w:val="30"/>
        </w:rPr>
        <w:t>44</w:t>
      </w:r>
      <w:r>
        <w:rPr>
          <w:rFonts w:hint="eastAsia"/>
          <w:sz w:val="30"/>
          <w:szCs w:val="30"/>
        </w:rPr>
        <w:t>%</w:t>
      </w:r>
      <w:r>
        <w:rPr>
          <w:rFonts w:hint="eastAsia"/>
          <w:sz w:val="30"/>
          <w:szCs w:val="30"/>
        </w:rPr>
        <w:t>、</w:t>
      </w:r>
      <w:r>
        <w:rPr>
          <w:rFonts w:hint="eastAsia"/>
          <w:sz w:val="30"/>
          <w:szCs w:val="30"/>
        </w:rPr>
        <w:t>5%</w:t>
      </w:r>
      <w:r>
        <w:rPr>
          <w:rFonts w:hint="eastAsia"/>
          <w:sz w:val="30"/>
          <w:szCs w:val="30"/>
        </w:rPr>
        <w:t>，法定代表人为谷宏兵。徐彬为董事长，谷宏兵为经理、董事，刘鹰为董事。公司经营范围为：技术开发；技术咨询；技术服务；技术推广；技术转让；计算机技术培训；计算机系统服务；数据处理；软件开发；基础软件服务；应用软件服务；销售计算机、软件及辅助设备、电子产品、办公用品、通讯设备；零售机械设备。（依法须经批准的项目，经相关部门批准后依批准的内容开展经营活动）。公司章程第二十五条规定：董事、经理不得自营或者为他人经营与其所任职公司经营相同或相近的项目，或者从事损害本公司利益的活动。从事上述营业或者活动的，所得收</w:t>
      </w:r>
      <w:r>
        <w:rPr>
          <w:rFonts w:hint="eastAsia"/>
          <w:sz w:val="30"/>
          <w:szCs w:val="30"/>
        </w:rPr>
        <w:t>入应当归公司所有。</w:t>
      </w:r>
      <w:r>
        <w:rPr>
          <w:rFonts w:hint="eastAsia"/>
          <w:sz w:val="30"/>
          <w:szCs w:val="30"/>
        </w:rPr>
        <w:t>2017</w:t>
      </w:r>
      <w:r>
        <w:rPr>
          <w:rFonts w:hint="eastAsia"/>
          <w:sz w:val="30"/>
          <w:szCs w:val="30"/>
        </w:rPr>
        <w:t>年</w:t>
      </w:r>
      <w:r>
        <w:rPr>
          <w:rFonts w:hint="eastAsia"/>
          <w:sz w:val="30"/>
          <w:szCs w:val="30"/>
        </w:rPr>
        <w:t>8</w:t>
      </w:r>
      <w:r>
        <w:rPr>
          <w:rFonts w:hint="eastAsia"/>
          <w:sz w:val="30"/>
          <w:szCs w:val="30"/>
        </w:rPr>
        <w:t>月，谷宏兵自该公司离职，</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日，法定代表人由谷宏兵变更为徐彬。</w:t>
      </w:r>
    </w:p>
    <w:p w:rsidR="00000000" w:rsidRDefault="00414C54">
      <w:pPr>
        <w:spacing w:line="500" w:lineRule="atLeast"/>
        <w:ind w:firstLine="600"/>
        <w:divId w:val="266155351"/>
        <w:rPr>
          <w:rFonts w:hint="eastAsia"/>
          <w:sz w:val="30"/>
          <w:szCs w:val="30"/>
        </w:rPr>
      </w:pPr>
      <w:r>
        <w:rPr>
          <w:rFonts w:hint="eastAsia"/>
          <w:sz w:val="30"/>
          <w:szCs w:val="30"/>
        </w:rPr>
        <w:t>北京鼎盾信息科技有限公司成立于</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日，注册资本</w:t>
      </w:r>
      <w:r>
        <w:rPr>
          <w:rFonts w:hint="eastAsia"/>
          <w:sz w:val="30"/>
          <w:szCs w:val="30"/>
        </w:rPr>
        <w:t>500</w:t>
      </w:r>
      <w:r>
        <w:rPr>
          <w:rFonts w:hint="eastAsia"/>
          <w:sz w:val="30"/>
          <w:szCs w:val="30"/>
        </w:rPr>
        <w:t>万元，谷宏兵为该公司股东，持股</w:t>
      </w:r>
      <w:r>
        <w:rPr>
          <w:rFonts w:hint="eastAsia"/>
          <w:sz w:val="30"/>
          <w:szCs w:val="30"/>
        </w:rPr>
        <w:t>40%</w:t>
      </w:r>
      <w:r>
        <w:rPr>
          <w:rFonts w:hint="eastAsia"/>
          <w:sz w:val="30"/>
          <w:szCs w:val="30"/>
        </w:rPr>
        <w:t>。公司成立时，谷宏兵担任法定代表人、执行董事、总经理。</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公司法定代表人和执行董事变更为张一奇，谷宏兵退出总经理职务，由杨丽叶担任公司经理。公司原经营范围为：技术开发、咨询、推广、转让、服务；计算机技术培训；计算机系统服务；基础软件服务；应用软件服务（不含医用软件）；数据处理；销售</w:t>
      </w:r>
      <w:r>
        <w:rPr>
          <w:rFonts w:hint="eastAsia"/>
          <w:sz w:val="30"/>
          <w:szCs w:val="30"/>
        </w:rPr>
        <w:t>计算机软、硬件及其辅助设备（不含计算机信息安全专用产品）、通讯设备、电子产品、仪器仪表、机电设备；货物进出口、技术进出口、代理进出口。后于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日进行了变更，删除了上述经营范围中“（不含计算机信息安全专用产品）”，增加了“（依法须经批准的项目，经相关部门批准后依批准的内容开展经营活动。）”。</w:t>
      </w:r>
    </w:p>
    <w:p w:rsidR="00000000" w:rsidRDefault="00414C54">
      <w:pPr>
        <w:spacing w:line="500" w:lineRule="atLeast"/>
        <w:ind w:firstLine="600"/>
        <w:divId w:val="1492142382"/>
        <w:rPr>
          <w:rFonts w:hint="eastAsia"/>
          <w:sz w:val="30"/>
          <w:szCs w:val="30"/>
        </w:rPr>
      </w:pPr>
      <w:r>
        <w:rPr>
          <w:rFonts w:hint="eastAsia"/>
          <w:sz w:val="30"/>
          <w:szCs w:val="30"/>
        </w:rPr>
        <w:t>上述事实有恒安讯佳公司工商材料、鼎盾公司工商材料、恒安讯佳公司人员工资支出凭证、检测费支出凭证、《软件技术服务协作合同书》</w:t>
      </w:r>
      <w:r>
        <w:rPr>
          <w:rFonts w:hint="eastAsia"/>
          <w:sz w:val="30"/>
          <w:szCs w:val="30"/>
        </w:rPr>
        <w:t>11</w:t>
      </w:r>
      <w:r>
        <w:rPr>
          <w:rFonts w:hint="eastAsia"/>
          <w:sz w:val="30"/>
          <w:szCs w:val="30"/>
        </w:rPr>
        <w:t>份、《技术开发合同》</w:t>
      </w:r>
      <w:r>
        <w:rPr>
          <w:rFonts w:hint="eastAsia"/>
          <w:sz w:val="30"/>
          <w:szCs w:val="30"/>
        </w:rPr>
        <w:t>1</w:t>
      </w:r>
      <w:r>
        <w:rPr>
          <w:rFonts w:hint="eastAsia"/>
          <w:sz w:val="30"/>
          <w:szCs w:val="30"/>
        </w:rPr>
        <w:t>份、恒安讯佳公司技术服务费支出凭证、《恒安讯佳认证经销商</w:t>
      </w:r>
      <w:r>
        <w:rPr>
          <w:rFonts w:hint="eastAsia"/>
          <w:sz w:val="30"/>
          <w:szCs w:val="30"/>
        </w:rPr>
        <w:t>协议》、谷宏兵工资发放明细及支付凭证、电子邮件、谷宏兵及鼎盾公司账户流水及当事人陈述在案佐证。</w:t>
      </w:r>
    </w:p>
    <w:p w:rsidR="00000000" w:rsidRDefault="00414C54">
      <w:pPr>
        <w:spacing w:line="500" w:lineRule="atLeast"/>
        <w:ind w:firstLine="600"/>
        <w:divId w:val="1983994435"/>
        <w:rPr>
          <w:rFonts w:hint="eastAsia"/>
          <w:sz w:val="30"/>
          <w:szCs w:val="30"/>
        </w:rPr>
      </w:pPr>
      <w:r>
        <w:rPr>
          <w:rFonts w:hint="eastAsia"/>
          <w:sz w:val="30"/>
          <w:szCs w:val="30"/>
        </w:rPr>
        <w:t>本院认为，根据审理情况，本案争议焦点为：</w:t>
      </w:r>
      <w:r>
        <w:rPr>
          <w:rFonts w:hint="eastAsia"/>
          <w:sz w:val="30"/>
          <w:szCs w:val="30"/>
        </w:rPr>
        <w:t>1.</w:t>
      </w:r>
      <w:r>
        <w:rPr>
          <w:rFonts w:hint="eastAsia"/>
          <w:sz w:val="30"/>
          <w:szCs w:val="30"/>
        </w:rPr>
        <w:t>谷宏兵是否违反忠实义务及恒安讯佳公司是否可以行使归入权；</w:t>
      </w:r>
      <w:r>
        <w:rPr>
          <w:rFonts w:hint="eastAsia"/>
          <w:sz w:val="30"/>
          <w:szCs w:val="30"/>
        </w:rPr>
        <w:t>2.</w:t>
      </w:r>
      <w:r>
        <w:rPr>
          <w:rFonts w:hint="eastAsia"/>
          <w:sz w:val="30"/>
          <w:szCs w:val="30"/>
        </w:rPr>
        <w:t>谷宏兵与鼎盾公司是否给恒安讯佳公司造成其所主张的损失。</w:t>
      </w:r>
    </w:p>
    <w:p w:rsidR="00000000" w:rsidRDefault="00414C54">
      <w:pPr>
        <w:spacing w:line="500" w:lineRule="atLeast"/>
        <w:ind w:firstLine="600"/>
        <w:divId w:val="1535575047"/>
        <w:rPr>
          <w:rFonts w:hint="eastAsia"/>
          <w:sz w:val="30"/>
          <w:szCs w:val="30"/>
        </w:rPr>
      </w:pPr>
      <w:r>
        <w:rPr>
          <w:rFonts w:hint="eastAsia"/>
          <w:sz w:val="30"/>
          <w:szCs w:val="30"/>
        </w:rPr>
        <w:t>一、谷宏兵是否违反忠实义务及恒安讯佳公司是否可以行使归入权</w:t>
      </w:r>
    </w:p>
    <w:p w:rsidR="00000000" w:rsidRDefault="00414C54">
      <w:pPr>
        <w:spacing w:line="500" w:lineRule="atLeast"/>
        <w:ind w:firstLine="600"/>
        <w:divId w:val="393508255"/>
        <w:rPr>
          <w:rFonts w:hint="eastAsia"/>
          <w:sz w:val="30"/>
          <w:szCs w:val="30"/>
        </w:rPr>
      </w:pPr>
      <w:r>
        <w:rPr>
          <w:rFonts w:hint="eastAsia"/>
          <w:sz w:val="30"/>
          <w:szCs w:val="30"/>
        </w:rPr>
        <w:t>本院认为，根据《中华人民共和国公司法》第一百四十八条的规定，公司董事、高级管理人员对公司负有忠实义务，违反规忠实义务的，所得的收入应当归公司所有。同时，恒安讯佳公司章程第二十五条规定，董事、经理不</w:t>
      </w:r>
      <w:r>
        <w:rPr>
          <w:rFonts w:hint="eastAsia"/>
          <w:sz w:val="30"/>
          <w:szCs w:val="30"/>
        </w:rPr>
        <w:t>得自营或者为他人经营与其所任职公司经营相同或相近的项目，或者从事损害本公司利益的活动。从事上述营业或者活动的，所得收入应当归公司所有。根据登记信息，谷宏兵在作为恒安讯佳公司董事、经理的同时，担任鼎盾公司股东、法定代表人、执行董事、总经理，而恒安讯佳公司与鼎盾公司营业执照登记的经营范围相近、存在重合，从表面来看，谷宏兵确实对恒安讯佳公司存在违反董事、高管忠实义务的情形。但本院注意到，谷宏兵在加入恒安讯佳公司之前即已在鼎盾公司存在上述身份，恒安讯佳公司亦认可其本就对此知晓，而谷宏兵在鼎盾公司的身份情况均属公司公</w:t>
      </w:r>
      <w:r>
        <w:rPr>
          <w:rFonts w:hint="eastAsia"/>
          <w:sz w:val="30"/>
          <w:szCs w:val="30"/>
        </w:rPr>
        <w:t>示信息，恒安讯佳公司有便利、快捷的渠道对谷宏兵是否退出鼎盾公司进行核实，且根据</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双方签署的《恒安讯佳认证经销商协议》，鼎盾公司盖章处加盖了谷宏兵人名章，此举可表明谷宏兵对其在鼎盾公司任职情况并无刻意隐瞒，且恒安讯佳公司完全可以注意到这一情形。恒安讯佳公司具备充分的条件及时了解到谷宏兵在恒安讯佳公司任职期间仍具备鼎盾公司上述身份，但恒安讯佳公司未举证证明其在本案诉讼之前对此提出过异议。另外，各方均认可谷宏兵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月期间仅在恒安讯佳公司工作。基于上述情节，本院认为本案</w:t>
      </w:r>
      <w:r>
        <w:rPr>
          <w:rFonts w:hint="eastAsia"/>
          <w:sz w:val="30"/>
          <w:szCs w:val="30"/>
        </w:rPr>
        <w:t>不足以认定谷宏兵在两公司交叉任职系违反恒安讯佳公司意志的行为，不足以认定谷宏兵对恒安讯佳公司存在违反董事、高管忠实义务的情形。</w:t>
      </w:r>
    </w:p>
    <w:p w:rsidR="00000000" w:rsidRDefault="00414C54">
      <w:pPr>
        <w:spacing w:line="500" w:lineRule="atLeast"/>
        <w:ind w:firstLine="600"/>
        <w:divId w:val="1936209965"/>
        <w:rPr>
          <w:rFonts w:hint="eastAsia"/>
          <w:sz w:val="30"/>
          <w:szCs w:val="30"/>
        </w:rPr>
      </w:pPr>
      <w:r>
        <w:rPr>
          <w:rFonts w:hint="eastAsia"/>
          <w:sz w:val="30"/>
          <w:szCs w:val="30"/>
        </w:rPr>
        <w:t>恒安讯佳公司本案中主张谷宏兵</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在鼎盾公司的工资收入应归恒安讯佳公司所有，鼎盾公司应承担连带责任。本院认为，根据本案查明事实，恒安讯佳公司并未举证证明谷宏兵上述期间在鼎盾公司存在工资收入，另，基于上述关于谷宏兵对恒安讯佳公司是否构成违反忠实义务的认定，本院认为恒安讯佳公司该项诉请缺乏事实和法律依据，本院不予支持。</w:t>
      </w:r>
    </w:p>
    <w:p w:rsidR="00000000" w:rsidRDefault="00414C54">
      <w:pPr>
        <w:spacing w:line="500" w:lineRule="atLeast"/>
        <w:ind w:firstLine="600"/>
        <w:divId w:val="701710248"/>
        <w:rPr>
          <w:rFonts w:hint="eastAsia"/>
          <w:sz w:val="30"/>
          <w:szCs w:val="30"/>
        </w:rPr>
      </w:pPr>
      <w:r>
        <w:rPr>
          <w:rFonts w:hint="eastAsia"/>
          <w:sz w:val="30"/>
          <w:szCs w:val="30"/>
        </w:rPr>
        <w:t>二、谷宏兵与鼎盾公司是否给恒安讯佳公司</w:t>
      </w:r>
      <w:r>
        <w:rPr>
          <w:rFonts w:hint="eastAsia"/>
          <w:sz w:val="30"/>
          <w:szCs w:val="30"/>
        </w:rPr>
        <w:t>造成其所主张的损失</w:t>
      </w:r>
    </w:p>
    <w:p w:rsidR="00000000" w:rsidRDefault="00414C54">
      <w:pPr>
        <w:spacing w:line="500" w:lineRule="atLeast"/>
        <w:ind w:firstLine="600"/>
        <w:divId w:val="616720609"/>
        <w:rPr>
          <w:rFonts w:hint="eastAsia"/>
          <w:sz w:val="30"/>
          <w:szCs w:val="30"/>
        </w:rPr>
      </w:pPr>
      <w:r>
        <w:rPr>
          <w:rFonts w:hint="eastAsia"/>
          <w:sz w:val="30"/>
          <w:szCs w:val="30"/>
        </w:rPr>
        <w:t>恒安讯佳公司主张，谷宏兵在洛阳</w:t>
      </w:r>
      <w:r>
        <w:rPr>
          <w:rFonts w:hint="eastAsia"/>
          <w:sz w:val="30"/>
          <w:szCs w:val="30"/>
        </w:rPr>
        <w:t>33</w:t>
      </w:r>
      <w:r>
        <w:rPr>
          <w:rFonts w:hint="eastAsia"/>
          <w:sz w:val="30"/>
          <w:szCs w:val="30"/>
        </w:rPr>
        <w:t>所项目中，利用恒安讯佳公司人员为鼎盾公司提供服务，将恒安讯佳公司产品“讯佳打印复印产品安全监控与审计系统</w:t>
      </w:r>
      <w:r>
        <w:rPr>
          <w:rFonts w:hint="eastAsia"/>
          <w:sz w:val="30"/>
          <w:szCs w:val="30"/>
        </w:rPr>
        <w:t>V1.0</w:t>
      </w:r>
      <w:r>
        <w:rPr>
          <w:rFonts w:hint="eastAsia"/>
          <w:sz w:val="30"/>
          <w:szCs w:val="30"/>
        </w:rPr>
        <w:t>”以鼎盾公司名义对外销售，导致该产品现已无价值，谷宏兵、鼎盾公司对此构成共同侵权，应赔偿其因研发该产品所产生的全部损失。对此本院认为，恒安讯佳公司为研发上述产品即使有支出，亦是为其产品进行的必要投入，在尚不足以认定该产品已无价值的情况下，其为该产品研发的支出不应视为其损失。本案中，即使鼎盾公司在洛阳</w:t>
      </w:r>
      <w:r>
        <w:rPr>
          <w:rFonts w:hint="eastAsia"/>
          <w:sz w:val="30"/>
          <w:szCs w:val="30"/>
        </w:rPr>
        <w:t>33</w:t>
      </w:r>
      <w:r>
        <w:rPr>
          <w:rFonts w:hint="eastAsia"/>
          <w:sz w:val="30"/>
          <w:szCs w:val="30"/>
        </w:rPr>
        <w:t>所项目中以鼎盾公司名义销售了恒安讯佳公司上</w:t>
      </w:r>
      <w:r>
        <w:rPr>
          <w:rFonts w:hint="eastAsia"/>
          <w:sz w:val="30"/>
          <w:szCs w:val="30"/>
        </w:rPr>
        <w:t>述产品，亦不代表该行为导致恒安讯佳公司上述产品因此完全失去价值。恒安讯佳公司于本案中自认其并未针对上述产品提起延期申请，亦未举证证明鼎盾公司上述行为已导致上述产品无法被准予延期、已无任何价值，应承担举证不利的后果。因此，恒安讯佳公司以谷宏兵、鼎盾公司存在上述共同侵权行为为由主张谷宏兵、鼎盾公司赔偿其为研发该产品的全部支出，缺乏事实依据，本院不予支持。</w:t>
      </w:r>
    </w:p>
    <w:p w:rsidR="00000000" w:rsidRDefault="00414C54">
      <w:pPr>
        <w:spacing w:line="500" w:lineRule="atLeast"/>
        <w:ind w:firstLine="600"/>
        <w:divId w:val="435827765"/>
        <w:rPr>
          <w:rFonts w:hint="eastAsia"/>
          <w:sz w:val="30"/>
          <w:szCs w:val="30"/>
        </w:rPr>
      </w:pPr>
      <w:r>
        <w:rPr>
          <w:rFonts w:hint="eastAsia"/>
          <w:sz w:val="30"/>
          <w:szCs w:val="30"/>
        </w:rPr>
        <w:t>综上所述，依照《中华人民共和国公司法》第一百四十八条、第一百四十九条、《中华人民共和国民事诉讼法》第六十四条之规定，判决如下：</w:t>
      </w:r>
    </w:p>
    <w:p w:rsidR="00000000" w:rsidRDefault="00414C54">
      <w:pPr>
        <w:spacing w:line="500" w:lineRule="atLeast"/>
        <w:ind w:firstLine="600"/>
        <w:divId w:val="1575161750"/>
        <w:rPr>
          <w:rFonts w:hint="eastAsia"/>
          <w:sz w:val="30"/>
          <w:szCs w:val="30"/>
        </w:rPr>
      </w:pPr>
      <w:r>
        <w:rPr>
          <w:rFonts w:hint="eastAsia"/>
          <w:sz w:val="30"/>
          <w:szCs w:val="30"/>
        </w:rPr>
        <w:t>驳回北京恒安讯佳信息安全技术有</w:t>
      </w:r>
      <w:r>
        <w:rPr>
          <w:rFonts w:hint="eastAsia"/>
          <w:sz w:val="30"/>
          <w:szCs w:val="30"/>
        </w:rPr>
        <w:t>限公司的全部诉讼请求。</w:t>
      </w:r>
    </w:p>
    <w:p w:rsidR="00000000" w:rsidRDefault="00414C54">
      <w:pPr>
        <w:spacing w:line="500" w:lineRule="atLeast"/>
        <w:ind w:firstLine="600"/>
        <w:divId w:val="1758555878"/>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414C54">
      <w:pPr>
        <w:spacing w:line="500" w:lineRule="atLeast"/>
        <w:ind w:firstLine="600"/>
        <w:divId w:val="492448302"/>
        <w:rPr>
          <w:rFonts w:hint="eastAsia"/>
          <w:sz w:val="30"/>
          <w:szCs w:val="30"/>
        </w:rPr>
      </w:pPr>
      <w:r>
        <w:rPr>
          <w:rFonts w:hint="eastAsia"/>
          <w:sz w:val="30"/>
          <w:szCs w:val="30"/>
        </w:rPr>
        <w:t>案件受理费</w:t>
      </w:r>
      <w:r>
        <w:rPr>
          <w:rFonts w:hint="eastAsia"/>
          <w:sz w:val="30"/>
          <w:szCs w:val="30"/>
        </w:rPr>
        <w:t>33910</w:t>
      </w:r>
      <w:r>
        <w:rPr>
          <w:rFonts w:hint="eastAsia"/>
          <w:sz w:val="30"/>
          <w:szCs w:val="30"/>
        </w:rPr>
        <w:t>元，由北京恒安讯佳信息安全技术有限公司负担（已交纳）。</w:t>
      </w:r>
    </w:p>
    <w:p w:rsidR="00000000" w:rsidRDefault="00414C54">
      <w:pPr>
        <w:spacing w:line="500" w:lineRule="atLeast"/>
        <w:ind w:firstLine="600"/>
        <w:divId w:val="1217549595"/>
        <w:rPr>
          <w:rFonts w:hint="eastAsia"/>
          <w:sz w:val="30"/>
          <w:szCs w:val="30"/>
        </w:rPr>
      </w:pPr>
      <w:r>
        <w:rPr>
          <w:rFonts w:hint="eastAsia"/>
          <w:sz w:val="30"/>
          <w:szCs w:val="30"/>
        </w:rPr>
        <w:t>如不服本判决，可在判决书送达之日起十五日内向本院递交上诉状，并按对方当事人的人数提出副本，同时按照不服本判决部分的上诉请求数额，交纳上诉案件受理费，上诉于北京市第二中级人民法院。如在上诉期满后七日内未交纳上诉案件受理费，按自动撤回上诉处理。</w:t>
      </w:r>
    </w:p>
    <w:p w:rsidR="00000000" w:rsidRDefault="00414C54">
      <w:pPr>
        <w:spacing w:line="500" w:lineRule="atLeast"/>
        <w:jc w:val="right"/>
        <w:divId w:val="5003363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任　毅</w:t>
      </w:r>
    </w:p>
    <w:p w:rsidR="00000000" w:rsidRDefault="00414C54">
      <w:pPr>
        <w:spacing w:line="500" w:lineRule="atLeast"/>
        <w:jc w:val="right"/>
        <w:divId w:val="17199451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员　　</w:t>
      </w:r>
      <w:r>
        <w:rPr>
          <w:rFonts w:hint="eastAsia"/>
          <w:sz w:val="30"/>
          <w:szCs w:val="30"/>
        </w:rPr>
        <w:t>万红玉</w:t>
      </w:r>
    </w:p>
    <w:p w:rsidR="00000000" w:rsidRDefault="00414C54">
      <w:pPr>
        <w:spacing w:line="500" w:lineRule="atLeast"/>
        <w:jc w:val="right"/>
        <w:divId w:val="48177861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王海超</w:t>
      </w:r>
    </w:p>
    <w:p w:rsidR="00000000" w:rsidRDefault="00414C54">
      <w:pPr>
        <w:spacing w:line="500" w:lineRule="atLeast"/>
        <w:jc w:val="right"/>
        <w:divId w:val="513308188"/>
        <w:rPr>
          <w:rFonts w:hint="eastAsia"/>
          <w:sz w:val="30"/>
          <w:szCs w:val="30"/>
        </w:rPr>
      </w:pPr>
      <w:r>
        <w:rPr>
          <w:rFonts w:hint="eastAsia"/>
          <w:sz w:val="30"/>
          <w:szCs w:val="30"/>
        </w:rPr>
        <w:t>二〇二一年三月二十三日</w:t>
      </w:r>
    </w:p>
    <w:p w:rsidR="00000000" w:rsidRDefault="00414C54">
      <w:pPr>
        <w:spacing w:line="500" w:lineRule="atLeast"/>
        <w:jc w:val="right"/>
        <w:divId w:val="1134179443"/>
        <w:rPr>
          <w:rFonts w:hint="eastAsia"/>
          <w:sz w:val="30"/>
          <w:szCs w:val="30"/>
        </w:rPr>
      </w:pPr>
      <w:r>
        <w:rPr>
          <w:rFonts w:hint="eastAsia"/>
          <w:sz w:val="30"/>
          <w:szCs w:val="30"/>
        </w:rPr>
        <w:t>法官助理　　支延杰</w:t>
      </w:r>
    </w:p>
    <w:p w:rsidR="00000000" w:rsidRDefault="00414C54">
      <w:pPr>
        <w:spacing w:line="500" w:lineRule="atLeast"/>
        <w:jc w:val="right"/>
        <w:divId w:val="64015928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王依依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C54" w:rsidRDefault="00414C54" w:rsidP="00414C54">
      <w:r>
        <w:separator/>
      </w:r>
    </w:p>
  </w:endnote>
  <w:endnote w:type="continuationSeparator" w:id="0">
    <w:p w:rsidR="00414C54" w:rsidRDefault="00414C54" w:rsidP="0041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C54" w:rsidRDefault="00414C54" w:rsidP="00414C54">
      <w:r>
        <w:separator/>
      </w:r>
    </w:p>
  </w:footnote>
  <w:footnote w:type="continuationSeparator" w:id="0">
    <w:p w:rsidR="00414C54" w:rsidRDefault="00414C54" w:rsidP="00414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14C54"/>
    <w:rsid w:val="0041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14C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4C54"/>
    <w:rPr>
      <w:rFonts w:ascii="宋体" w:eastAsia="宋体" w:hAnsi="宋体" w:cs="宋体"/>
      <w:sz w:val="18"/>
      <w:szCs w:val="18"/>
    </w:rPr>
  </w:style>
  <w:style w:type="paragraph" w:styleId="a5">
    <w:name w:val="footer"/>
    <w:basedOn w:val="a"/>
    <w:link w:val="a6"/>
    <w:uiPriority w:val="99"/>
    <w:unhideWhenUsed/>
    <w:rsid w:val="00414C54"/>
    <w:pPr>
      <w:tabs>
        <w:tab w:val="center" w:pos="4153"/>
        <w:tab w:val="right" w:pos="8306"/>
      </w:tabs>
      <w:snapToGrid w:val="0"/>
    </w:pPr>
    <w:rPr>
      <w:sz w:val="18"/>
      <w:szCs w:val="18"/>
    </w:rPr>
  </w:style>
  <w:style w:type="character" w:customStyle="1" w:styleId="a6">
    <w:name w:val="页脚 字符"/>
    <w:basedOn w:val="a0"/>
    <w:link w:val="a5"/>
    <w:uiPriority w:val="99"/>
    <w:rsid w:val="00414C5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0781">
      <w:marLeft w:val="0"/>
      <w:marRight w:val="0"/>
      <w:marTop w:val="10"/>
      <w:marBottom w:val="10"/>
      <w:divBdr>
        <w:top w:val="none" w:sz="0" w:space="0" w:color="auto"/>
        <w:left w:val="none" w:sz="0" w:space="0" w:color="auto"/>
        <w:bottom w:val="none" w:sz="0" w:space="0" w:color="auto"/>
        <w:right w:val="none" w:sz="0" w:space="0" w:color="auto"/>
      </w:divBdr>
    </w:div>
    <w:div w:id="50033636">
      <w:marLeft w:val="0"/>
      <w:marRight w:val="720"/>
      <w:marTop w:val="10"/>
      <w:marBottom w:val="10"/>
      <w:divBdr>
        <w:top w:val="none" w:sz="0" w:space="0" w:color="auto"/>
        <w:left w:val="none" w:sz="0" w:space="0" w:color="auto"/>
        <w:bottom w:val="none" w:sz="0" w:space="0" w:color="auto"/>
        <w:right w:val="none" w:sz="0" w:space="0" w:color="auto"/>
      </w:divBdr>
    </w:div>
    <w:div w:id="128717014">
      <w:marLeft w:val="0"/>
      <w:marRight w:val="0"/>
      <w:marTop w:val="10"/>
      <w:marBottom w:val="10"/>
      <w:divBdr>
        <w:top w:val="none" w:sz="0" w:space="0" w:color="auto"/>
        <w:left w:val="none" w:sz="0" w:space="0" w:color="auto"/>
        <w:bottom w:val="none" w:sz="0" w:space="0" w:color="auto"/>
        <w:right w:val="none" w:sz="0" w:space="0" w:color="auto"/>
      </w:divBdr>
    </w:div>
    <w:div w:id="146211587">
      <w:marLeft w:val="0"/>
      <w:marRight w:val="0"/>
      <w:marTop w:val="10"/>
      <w:marBottom w:val="10"/>
      <w:divBdr>
        <w:top w:val="none" w:sz="0" w:space="0" w:color="auto"/>
        <w:left w:val="none" w:sz="0" w:space="0" w:color="auto"/>
        <w:bottom w:val="none" w:sz="0" w:space="0" w:color="auto"/>
        <w:right w:val="none" w:sz="0" w:space="0" w:color="auto"/>
      </w:divBdr>
    </w:div>
    <w:div w:id="156071961">
      <w:marLeft w:val="0"/>
      <w:marRight w:val="0"/>
      <w:marTop w:val="10"/>
      <w:marBottom w:val="10"/>
      <w:divBdr>
        <w:top w:val="none" w:sz="0" w:space="0" w:color="auto"/>
        <w:left w:val="none" w:sz="0" w:space="0" w:color="auto"/>
        <w:bottom w:val="none" w:sz="0" w:space="0" w:color="auto"/>
        <w:right w:val="none" w:sz="0" w:space="0" w:color="auto"/>
      </w:divBdr>
    </w:div>
    <w:div w:id="171994517">
      <w:marLeft w:val="0"/>
      <w:marRight w:val="720"/>
      <w:marTop w:val="10"/>
      <w:marBottom w:val="10"/>
      <w:divBdr>
        <w:top w:val="none" w:sz="0" w:space="0" w:color="auto"/>
        <w:left w:val="none" w:sz="0" w:space="0" w:color="auto"/>
        <w:bottom w:val="none" w:sz="0" w:space="0" w:color="auto"/>
        <w:right w:val="none" w:sz="0" w:space="0" w:color="auto"/>
      </w:divBdr>
    </w:div>
    <w:div w:id="176161776">
      <w:marLeft w:val="0"/>
      <w:marRight w:val="0"/>
      <w:marTop w:val="10"/>
      <w:marBottom w:val="10"/>
      <w:divBdr>
        <w:top w:val="none" w:sz="0" w:space="0" w:color="auto"/>
        <w:left w:val="none" w:sz="0" w:space="0" w:color="auto"/>
        <w:bottom w:val="none" w:sz="0" w:space="0" w:color="auto"/>
        <w:right w:val="none" w:sz="0" w:space="0" w:color="auto"/>
      </w:divBdr>
    </w:div>
    <w:div w:id="266155351">
      <w:marLeft w:val="0"/>
      <w:marRight w:val="0"/>
      <w:marTop w:val="10"/>
      <w:marBottom w:val="10"/>
      <w:divBdr>
        <w:top w:val="none" w:sz="0" w:space="0" w:color="auto"/>
        <w:left w:val="none" w:sz="0" w:space="0" w:color="auto"/>
        <w:bottom w:val="none" w:sz="0" w:space="0" w:color="auto"/>
        <w:right w:val="none" w:sz="0" w:space="0" w:color="auto"/>
      </w:divBdr>
    </w:div>
    <w:div w:id="318389376">
      <w:marLeft w:val="0"/>
      <w:marRight w:val="0"/>
      <w:marTop w:val="10"/>
      <w:marBottom w:val="10"/>
      <w:divBdr>
        <w:top w:val="none" w:sz="0" w:space="0" w:color="auto"/>
        <w:left w:val="none" w:sz="0" w:space="0" w:color="auto"/>
        <w:bottom w:val="none" w:sz="0" w:space="0" w:color="auto"/>
        <w:right w:val="none" w:sz="0" w:space="0" w:color="auto"/>
      </w:divBdr>
    </w:div>
    <w:div w:id="392629115">
      <w:marLeft w:val="0"/>
      <w:marRight w:val="0"/>
      <w:marTop w:val="10"/>
      <w:marBottom w:val="10"/>
      <w:divBdr>
        <w:top w:val="none" w:sz="0" w:space="0" w:color="auto"/>
        <w:left w:val="none" w:sz="0" w:space="0" w:color="auto"/>
        <w:bottom w:val="none" w:sz="0" w:space="0" w:color="auto"/>
        <w:right w:val="none" w:sz="0" w:space="0" w:color="auto"/>
      </w:divBdr>
    </w:div>
    <w:div w:id="393508255">
      <w:marLeft w:val="0"/>
      <w:marRight w:val="0"/>
      <w:marTop w:val="10"/>
      <w:marBottom w:val="10"/>
      <w:divBdr>
        <w:top w:val="none" w:sz="0" w:space="0" w:color="auto"/>
        <w:left w:val="none" w:sz="0" w:space="0" w:color="auto"/>
        <w:bottom w:val="none" w:sz="0" w:space="0" w:color="auto"/>
        <w:right w:val="none" w:sz="0" w:space="0" w:color="auto"/>
      </w:divBdr>
    </w:div>
    <w:div w:id="435827765">
      <w:marLeft w:val="0"/>
      <w:marRight w:val="0"/>
      <w:marTop w:val="10"/>
      <w:marBottom w:val="10"/>
      <w:divBdr>
        <w:top w:val="none" w:sz="0" w:space="0" w:color="auto"/>
        <w:left w:val="none" w:sz="0" w:space="0" w:color="auto"/>
        <w:bottom w:val="none" w:sz="0" w:space="0" w:color="auto"/>
        <w:right w:val="none" w:sz="0" w:space="0" w:color="auto"/>
      </w:divBdr>
    </w:div>
    <w:div w:id="452867461">
      <w:marLeft w:val="0"/>
      <w:marRight w:val="0"/>
      <w:marTop w:val="10"/>
      <w:marBottom w:val="10"/>
      <w:divBdr>
        <w:top w:val="none" w:sz="0" w:space="0" w:color="auto"/>
        <w:left w:val="none" w:sz="0" w:space="0" w:color="auto"/>
        <w:bottom w:val="none" w:sz="0" w:space="0" w:color="auto"/>
        <w:right w:val="none" w:sz="0" w:space="0" w:color="auto"/>
      </w:divBdr>
    </w:div>
    <w:div w:id="481778612">
      <w:marLeft w:val="0"/>
      <w:marRight w:val="720"/>
      <w:marTop w:val="10"/>
      <w:marBottom w:val="10"/>
      <w:divBdr>
        <w:top w:val="none" w:sz="0" w:space="0" w:color="auto"/>
        <w:left w:val="none" w:sz="0" w:space="0" w:color="auto"/>
        <w:bottom w:val="none" w:sz="0" w:space="0" w:color="auto"/>
        <w:right w:val="none" w:sz="0" w:space="0" w:color="auto"/>
      </w:divBdr>
    </w:div>
    <w:div w:id="492448302">
      <w:marLeft w:val="0"/>
      <w:marRight w:val="0"/>
      <w:marTop w:val="10"/>
      <w:marBottom w:val="10"/>
      <w:divBdr>
        <w:top w:val="none" w:sz="0" w:space="0" w:color="auto"/>
        <w:left w:val="none" w:sz="0" w:space="0" w:color="auto"/>
        <w:bottom w:val="none" w:sz="0" w:space="0" w:color="auto"/>
        <w:right w:val="none" w:sz="0" w:space="0" w:color="auto"/>
      </w:divBdr>
    </w:div>
    <w:div w:id="513308188">
      <w:marLeft w:val="0"/>
      <w:marRight w:val="720"/>
      <w:marTop w:val="10"/>
      <w:marBottom w:val="10"/>
      <w:divBdr>
        <w:top w:val="none" w:sz="0" w:space="0" w:color="auto"/>
        <w:left w:val="none" w:sz="0" w:space="0" w:color="auto"/>
        <w:bottom w:val="none" w:sz="0" w:space="0" w:color="auto"/>
        <w:right w:val="none" w:sz="0" w:space="0" w:color="auto"/>
      </w:divBdr>
    </w:div>
    <w:div w:id="517893015">
      <w:marLeft w:val="0"/>
      <w:marRight w:val="0"/>
      <w:marTop w:val="10"/>
      <w:marBottom w:val="10"/>
      <w:divBdr>
        <w:top w:val="none" w:sz="0" w:space="0" w:color="auto"/>
        <w:left w:val="none" w:sz="0" w:space="0" w:color="auto"/>
        <w:bottom w:val="none" w:sz="0" w:space="0" w:color="auto"/>
        <w:right w:val="none" w:sz="0" w:space="0" w:color="auto"/>
      </w:divBdr>
    </w:div>
    <w:div w:id="551236511">
      <w:marLeft w:val="0"/>
      <w:marRight w:val="0"/>
      <w:marTop w:val="10"/>
      <w:marBottom w:val="10"/>
      <w:divBdr>
        <w:top w:val="none" w:sz="0" w:space="0" w:color="auto"/>
        <w:left w:val="none" w:sz="0" w:space="0" w:color="auto"/>
        <w:bottom w:val="none" w:sz="0" w:space="0" w:color="auto"/>
        <w:right w:val="none" w:sz="0" w:space="0" w:color="auto"/>
      </w:divBdr>
    </w:div>
    <w:div w:id="581724154">
      <w:marLeft w:val="0"/>
      <w:marRight w:val="0"/>
      <w:marTop w:val="10"/>
      <w:marBottom w:val="10"/>
      <w:divBdr>
        <w:top w:val="none" w:sz="0" w:space="0" w:color="auto"/>
        <w:left w:val="none" w:sz="0" w:space="0" w:color="auto"/>
        <w:bottom w:val="none" w:sz="0" w:space="0" w:color="auto"/>
        <w:right w:val="none" w:sz="0" w:space="0" w:color="auto"/>
      </w:divBdr>
    </w:div>
    <w:div w:id="597711901">
      <w:marLeft w:val="0"/>
      <w:marRight w:val="0"/>
      <w:marTop w:val="10"/>
      <w:marBottom w:val="10"/>
      <w:divBdr>
        <w:top w:val="none" w:sz="0" w:space="0" w:color="auto"/>
        <w:left w:val="none" w:sz="0" w:space="0" w:color="auto"/>
        <w:bottom w:val="none" w:sz="0" w:space="0" w:color="auto"/>
        <w:right w:val="none" w:sz="0" w:space="0" w:color="auto"/>
      </w:divBdr>
    </w:div>
    <w:div w:id="616720609">
      <w:marLeft w:val="0"/>
      <w:marRight w:val="0"/>
      <w:marTop w:val="10"/>
      <w:marBottom w:val="10"/>
      <w:divBdr>
        <w:top w:val="none" w:sz="0" w:space="0" w:color="auto"/>
        <w:left w:val="none" w:sz="0" w:space="0" w:color="auto"/>
        <w:bottom w:val="none" w:sz="0" w:space="0" w:color="auto"/>
        <w:right w:val="none" w:sz="0" w:space="0" w:color="auto"/>
      </w:divBdr>
    </w:div>
    <w:div w:id="640159282">
      <w:marLeft w:val="0"/>
      <w:marRight w:val="720"/>
      <w:marTop w:val="10"/>
      <w:marBottom w:val="10"/>
      <w:divBdr>
        <w:top w:val="none" w:sz="0" w:space="0" w:color="auto"/>
        <w:left w:val="none" w:sz="0" w:space="0" w:color="auto"/>
        <w:bottom w:val="none" w:sz="0" w:space="0" w:color="auto"/>
        <w:right w:val="none" w:sz="0" w:space="0" w:color="auto"/>
      </w:divBdr>
    </w:div>
    <w:div w:id="671834254">
      <w:marLeft w:val="0"/>
      <w:marRight w:val="0"/>
      <w:marTop w:val="10"/>
      <w:marBottom w:val="10"/>
      <w:divBdr>
        <w:top w:val="none" w:sz="0" w:space="0" w:color="auto"/>
        <w:left w:val="none" w:sz="0" w:space="0" w:color="auto"/>
        <w:bottom w:val="none" w:sz="0" w:space="0" w:color="auto"/>
        <w:right w:val="none" w:sz="0" w:space="0" w:color="auto"/>
      </w:divBdr>
    </w:div>
    <w:div w:id="701710248">
      <w:marLeft w:val="0"/>
      <w:marRight w:val="0"/>
      <w:marTop w:val="10"/>
      <w:marBottom w:val="10"/>
      <w:divBdr>
        <w:top w:val="none" w:sz="0" w:space="0" w:color="auto"/>
        <w:left w:val="none" w:sz="0" w:space="0" w:color="auto"/>
        <w:bottom w:val="none" w:sz="0" w:space="0" w:color="auto"/>
        <w:right w:val="none" w:sz="0" w:space="0" w:color="auto"/>
      </w:divBdr>
    </w:div>
    <w:div w:id="841090023">
      <w:marLeft w:val="0"/>
      <w:marRight w:val="0"/>
      <w:marTop w:val="10"/>
      <w:marBottom w:val="10"/>
      <w:divBdr>
        <w:top w:val="none" w:sz="0" w:space="0" w:color="auto"/>
        <w:left w:val="none" w:sz="0" w:space="0" w:color="auto"/>
        <w:bottom w:val="none" w:sz="0" w:space="0" w:color="auto"/>
        <w:right w:val="none" w:sz="0" w:space="0" w:color="auto"/>
      </w:divBdr>
    </w:div>
    <w:div w:id="885066290">
      <w:marLeft w:val="0"/>
      <w:marRight w:val="0"/>
      <w:marTop w:val="10"/>
      <w:marBottom w:val="10"/>
      <w:divBdr>
        <w:top w:val="none" w:sz="0" w:space="0" w:color="auto"/>
        <w:left w:val="none" w:sz="0" w:space="0" w:color="auto"/>
        <w:bottom w:val="none" w:sz="0" w:space="0" w:color="auto"/>
        <w:right w:val="none" w:sz="0" w:space="0" w:color="auto"/>
      </w:divBdr>
    </w:div>
    <w:div w:id="914970121">
      <w:marLeft w:val="0"/>
      <w:marRight w:val="0"/>
      <w:marTop w:val="10"/>
      <w:marBottom w:val="10"/>
      <w:divBdr>
        <w:top w:val="none" w:sz="0" w:space="0" w:color="auto"/>
        <w:left w:val="none" w:sz="0" w:space="0" w:color="auto"/>
        <w:bottom w:val="none" w:sz="0" w:space="0" w:color="auto"/>
        <w:right w:val="none" w:sz="0" w:space="0" w:color="auto"/>
      </w:divBdr>
    </w:div>
    <w:div w:id="1040860873">
      <w:marLeft w:val="0"/>
      <w:marRight w:val="0"/>
      <w:marTop w:val="10"/>
      <w:marBottom w:val="10"/>
      <w:divBdr>
        <w:top w:val="none" w:sz="0" w:space="0" w:color="auto"/>
        <w:left w:val="none" w:sz="0" w:space="0" w:color="auto"/>
        <w:bottom w:val="none" w:sz="0" w:space="0" w:color="auto"/>
        <w:right w:val="none" w:sz="0" w:space="0" w:color="auto"/>
      </w:divBdr>
    </w:div>
    <w:div w:id="1047072659">
      <w:marLeft w:val="0"/>
      <w:marRight w:val="0"/>
      <w:marTop w:val="10"/>
      <w:marBottom w:val="10"/>
      <w:divBdr>
        <w:top w:val="none" w:sz="0" w:space="0" w:color="auto"/>
        <w:left w:val="none" w:sz="0" w:space="0" w:color="auto"/>
        <w:bottom w:val="none" w:sz="0" w:space="0" w:color="auto"/>
        <w:right w:val="none" w:sz="0" w:space="0" w:color="auto"/>
      </w:divBdr>
    </w:div>
    <w:div w:id="1065565961">
      <w:marLeft w:val="0"/>
      <w:marRight w:val="0"/>
      <w:marTop w:val="10"/>
      <w:marBottom w:val="10"/>
      <w:divBdr>
        <w:top w:val="none" w:sz="0" w:space="0" w:color="auto"/>
        <w:left w:val="none" w:sz="0" w:space="0" w:color="auto"/>
        <w:bottom w:val="none" w:sz="0" w:space="0" w:color="auto"/>
        <w:right w:val="none" w:sz="0" w:space="0" w:color="auto"/>
      </w:divBdr>
    </w:div>
    <w:div w:id="1134179443">
      <w:marLeft w:val="0"/>
      <w:marRight w:val="720"/>
      <w:marTop w:val="10"/>
      <w:marBottom w:val="10"/>
      <w:divBdr>
        <w:top w:val="none" w:sz="0" w:space="0" w:color="auto"/>
        <w:left w:val="none" w:sz="0" w:space="0" w:color="auto"/>
        <w:bottom w:val="none" w:sz="0" w:space="0" w:color="auto"/>
        <w:right w:val="none" w:sz="0" w:space="0" w:color="auto"/>
      </w:divBdr>
    </w:div>
    <w:div w:id="1161313925">
      <w:marLeft w:val="0"/>
      <w:marRight w:val="0"/>
      <w:marTop w:val="10"/>
      <w:marBottom w:val="10"/>
      <w:divBdr>
        <w:top w:val="none" w:sz="0" w:space="0" w:color="auto"/>
        <w:left w:val="none" w:sz="0" w:space="0" w:color="auto"/>
        <w:bottom w:val="none" w:sz="0" w:space="0" w:color="auto"/>
        <w:right w:val="none" w:sz="0" w:space="0" w:color="auto"/>
      </w:divBdr>
    </w:div>
    <w:div w:id="1166941069">
      <w:marLeft w:val="0"/>
      <w:marRight w:val="0"/>
      <w:marTop w:val="10"/>
      <w:marBottom w:val="10"/>
      <w:divBdr>
        <w:top w:val="none" w:sz="0" w:space="0" w:color="auto"/>
        <w:left w:val="none" w:sz="0" w:space="0" w:color="auto"/>
        <w:bottom w:val="none" w:sz="0" w:space="0" w:color="auto"/>
        <w:right w:val="none" w:sz="0" w:space="0" w:color="auto"/>
      </w:divBdr>
    </w:div>
    <w:div w:id="1217549595">
      <w:marLeft w:val="0"/>
      <w:marRight w:val="0"/>
      <w:marTop w:val="10"/>
      <w:marBottom w:val="10"/>
      <w:divBdr>
        <w:top w:val="none" w:sz="0" w:space="0" w:color="auto"/>
        <w:left w:val="none" w:sz="0" w:space="0" w:color="auto"/>
        <w:bottom w:val="none" w:sz="0" w:space="0" w:color="auto"/>
        <w:right w:val="none" w:sz="0" w:space="0" w:color="auto"/>
      </w:divBdr>
    </w:div>
    <w:div w:id="1230073685">
      <w:marLeft w:val="0"/>
      <w:marRight w:val="0"/>
      <w:marTop w:val="10"/>
      <w:marBottom w:val="10"/>
      <w:divBdr>
        <w:top w:val="none" w:sz="0" w:space="0" w:color="auto"/>
        <w:left w:val="none" w:sz="0" w:space="0" w:color="auto"/>
        <w:bottom w:val="none" w:sz="0" w:space="0" w:color="auto"/>
        <w:right w:val="none" w:sz="0" w:space="0" w:color="auto"/>
      </w:divBdr>
    </w:div>
    <w:div w:id="1269700671">
      <w:marLeft w:val="0"/>
      <w:marRight w:val="0"/>
      <w:marTop w:val="10"/>
      <w:marBottom w:val="10"/>
      <w:divBdr>
        <w:top w:val="none" w:sz="0" w:space="0" w:color="auto"/>
        <w:left w:val="none" w:sz="0" w:space="0" w:color="auto"/>
        <w:bottom w:val="none" w:sz="0" w:space="0" w:color="auto"/>
        <w:right w:val="none" w:sz="0" w:space="0" w:color="auto"/>
      </w:divBdr>
    </w:div>
    <w:div w:id="1348286132">
      <w:marLeft w:val="0"/>
      <w:marRight w:val="0"/>
      <w:marTop w:val="10"/>
      <w:marBottom w:val="10"/>
      <w:divBdr>
        <w:top w:val="none" w:sz="0" w:space="0" w:color="auto"/>
        <w:left w:val="none" w:sz="0" w:space="0" w:color="auto"/>
        <w:bottom w:val="none" w:sz="0" w:space="0" w:color="auto"/>
        <w:right w:val="none" w:sz="0" w:space="0" w:color="auto"/>
      </w:divBdr>
    </w:div>
    <w:div w:id="1414739097">
      <w:marLeft w:val="0"/>
      <w:marRight w:val="0"/>
      <w:marTop w:val="10"/>
      <w:marBottom w:val="10"/>
      <w:divBdr>
        <w:top w:val="none" w:sz="0" w:space="0" w:color="auto"/>
        <w:left w:val="none" w:sz="0" w:space="0" w:color="auto"/>
        <w:bottom w:val="none" w:sz="0" w:space="0" w:color="auto"/>
        <w:right w:val="none" w:sz="0" w:space="0" w:color="auto"/>
      </w:divBdr>
    </w:div>
    <w:div w:id="1430616291">
      <w:marLeft w:val="0"/>
      <w:marRight w:val="0"/>
      <w:marTop w:val="10"/>
      <w:marBottom w:val="10"/>
      <w:divBdr>
        <w:top w:val="none" w:sz="0" w:space="0" w:color="auto"/>
        <w:left w:val="none" w:sz="0" w:space="0" w:color="auto"/>
        <w:bottom w:val="none" w:sz="0" w:space="0" w:color="auto"/>
        <w:right w:val="none" w:sz="0" w:space="0" w:color="auto"/>
      </w:divBdr>
    </w:div>
    <w:div w:id="1440300604">
      <w:marLeft w:val="0"/>
      <w:marRight w:val="0"/>
      <w:marTop w:val="10"/>
      <w:marBottom w:val="10"/>
      <w:divBdr>
        <w:top w:val="none" w:sz="0" w:space="0" w:color="auto"/>
        <w:left w:val="none" w:sz="0" w:space="0" w:color="auto"/>
        <w:bottom w:val="none" w:sz="0" w:space="0" w:color="auto"/>
        <w:right w:val="none" w:sz="0" w:space="0" w:color="auto"/>
      </w:divBdr>
    </w:div>
    <w:div w:id="1492142382">
      <w:marLeft w:val="0"/>
      <w:marRight w:val="0"/>
      <w:marTop w:val="10"/>
      <w:marBottom w:val="10"/>
      <w:divBdr>
        <w:top w:val="none" w:sz="0" w:space="0" w:color="auto"/>
        <w:left w:val="none" w:sz="0" w:space="0" w:color="auto"/>
        <w:bottom w:val="none" w:sz="0" w:space="0" w:color="auto"/>
        <w:right w:val="none" w:sz="0" w:space="0" w:color="auto"/>
      </w:divBdr>
    </w:div>
    <w:div w:id="1507087115">
      <w:marLeft w:val="0"/>
      <w:marRight w:val="0"/>
      <w:marTop w:val="10"/>
      <w:marBottom w:val="10"/>
      <w:divBdr>
        <w:top w:val="none" w:sz="0" w:space="0" w:color="auto"/>
        <w:left w:val="none" w:sz="0" w:space="0" w:color="auto"/>
        <w:bottom w:val="none" w:sz="0" w:space="0" w:color="auto"/>
        <w:right w:val="none" w:sz="0" w:space="0" w:color="auto"/>
      </w:divBdr>
    </w:div>
    <w:div w:id="1535575047">
      <w:marLeft w:val="0"/>
      <w:marRight w:val="0"/>
      <w:marTop w:val="10"/>
      <w:marBottom w:val="10"/>
      <w:divBdr>
        <w:top w:val="none" w:sz="0" w:space="0" w:color="auto"/>
        <w:left w:val="none" w:sz="0" w:space="0" w:color="auto"/>
        <w:bottom w:val="none" w:sz="0" w:space="0" w:color="auto"/>
        <w:right w:val="none" w:sz="0" w:space="0" w:color="auto"/>
      </w:divBdr>
    </w:div>
    <w:div w:id="1575161750">
      <w:marLeft w:val="0"/>
      <w:marRight w:val="0"/>
      <w:marTop w:val="10"/>
      <w:marBottom w:val="10"/>
      <w:divBdr>
        <w:top w:val="none" w:sz="0" w:space="0" w:color="auto"/>
        <w:left w:val="none" w:sz="0" w:space="0" w:color="auto"/>
        <w:bottom w:val="none" w:sz="0" w:space="0" w:color="auto"/>
        <w:right w:val="none" w:sz="0" w:space="0" w:color="auto"/>
      </w:divBdr>
    </w:div>
    <w:div w:id="1637485101">
      <w:marLeft w:val="0"/>
      <w:marRight w:val="0"/>
      <w:marTop w:val="10"/>
      <w:marBottom w:val="10"/>
      <w:divBdr>
        <w:top w:val="none" w:sz="0" w:space="0" w:color="auto"/>
        <w:left w:val="none" w:sz="0" w:space="0" w:color="auto"/>
        <w:bottom w:val="none" w:sz="0" w:space="0" w:color="auto"/>
        <w:right w:val="none" w:sz="0" w:space="0" w:color="auto"/>
      </w:divBdr>
    </w:div>
    <w:div w:id="1686326594">
      <w:marLeft w:val="0"/>
      <w:marRight w:val="0"/>
      <w:marTop w:val="10"/>
      <w:marBottom w:val="10"/>
      <w:divBdr>
        <w:top w:val="none" w:sz="0" w:space="0" w:color="auto"/>
        <w:left w:val="none" w:sz="0" w:space="0" w:color="auto"/>
        <w:bottom w:val="none" w:sz="0" w:space="0" w:color="auto"/>
        <w:right w:val="none" w:sz="0" w:space="0" w:color="auto"/>
      </w:divBdr>
    </w:div>
    <w:div w:id="1751001798">
      <w:marLeft w:val="0"/>
      <w:marRight w:val="0"/>
      <w:marTop w:val="10"/>
      <w:marBottom w:val="10"/>
      <w:divBdr>
        <w:top w:val="none" w:sz="0" w:space="0" w:color="auto"/>
        <w:left w:val="none" w:sz="0" w:space="0" w:color="auto"/>
        <w:bottom w:val="none" w:sz="0" w:space="0" w:color="auto"/>
        <w:right w:val="none" w:sz="0" w:space="0" w:color="auto"/>
      </w:divBdr>
    </w:div>
    <w:div w:id="1758555878">
      <w:marLeft w:val="0"/>
      <w:marRight w:val="0"/>
      <w:marTop w:val="10"/>
      <w:marBottom w:val="10"/>
      <w:divBdr>
        <w:top w:val="none" w:sz="0" w:space="0" w:color="auto"/>
        <w:left w:val="none" w:sz="0" w:space="0" w:color="auto"/>
        <w:bottom w:val="none" w:sz="0" w:space="0" w:color="auto"/>
        <w:right w:val="none" w:sz="0" w:space="0" w:color="auto"/>
      </w:divBdr>
    </w:div>
    <w:div w:id="1841382486">
      <w:marLeft w:val="0"/>
      <w:marRight w:val="0"/>
      <w:marTop w:val="10"/>
      <w:marBottom w:val="10"/>
      <w:divBdr>
        <w:top w:val="none" w:sz="0" w:space="0" w:color="auto"/>
        <w:left w:val="none" w:sz="0" w:space="0" w:color="auto"/>
        <w:bottom w:val="none" w:sz="0" w:space="0" w:color="auto"/>
        <w:right w:val="none" w:sz="0" w:space="0" w:color="auto"/>
      </w:divBdr>
    </w:div>
    <w:div w:id="1850411336">
      <w:marLeft w:val="0"/>
      <w:marRight w:val="0"/>
      <w:marTop w:val="10"/>
      <w:marBottom w:val="10"/>
      <w:divBdr>
        <w:top w:val="none" w:sz="0" w:space="0" w:color="auto"/>
        <w:left w:val="none" w:sz="0" w:space="0" w:color="auto"/>
        <w:bottom w:val="none" w:sz="0" w:space="0" w:color="auto"/>
        <w:right w:val="none" w:sz="0" w:space="0" w:color="auto"/>
      </w:divBdr>
    </w:div>
    <w:div w:id="1881354925">
      <w:marLeft w:val="0"/>
      <w:marRight w:val="0"/>
      <w:marTop w:val="10"/>
      <w:marBottom w:val="10"/>
      <w:divBdr>
        <w:top w:val="none" w:sz="0" w:space="0" w:color="auto"/>
        <w:left w:val="none" w:sz="0" w:space="0" w:color="auto"/>
        <w:bottom w:val="none" w:sz="0" w:space="0" w:color="auto"/>
        <w:right w:val="none" w:sz="0" w:space="0" w:color="auto"/>
      </w:divBdr>
    </w:div>
    <w:div w:id="1898668004">
      <w:marLeft w:val="0"/>
      <w:marRight w:val="0"/>
      <w:marTop w:val="10"/>
      <w:marBottom w:val="10"/>
      <w:divBdr>
        <w:top w:val="none" w:sz="0" w:space="0" w:color="auto"/>
        <w:left w:val="none" w:sz="0" w:space="0" w:color="auto"/>
        <w:bottom w:val="none" w:sz="0" w:space="0" w:color="auto"/>
        <w:right w:val="none" w:sz="0" w:space="0" w:color="auto"/>
      </w:divBdr>
    </w:div>
    <w:div w:id="1936209965">
      <w:marLeft w:val="0"/>
      <w:marRight w:val="0"/>
      <w:marTop w:val="10"/>
      <w:marBottom w:val="10"/>
      <w:divBdr>
        <w:top w:val="none" w:sz="0" w:space="0" w:color="auto"/>
        <w:left w:val="none" w:sz="0" w:space="0" w:color="auto"/>
        <w:bottom w:val="none" w:sz="0" w:space="0" w:color="auto"/>
        <w:right w:val="none" w:sz="0" w:space="0" w:color="auto"/>
      </w:divBdr>
    </w:div>
    <w:div w:id="1983994435">
      <w:marLeft w:val="0"/>
      <w:marRight w:val="0"/>
      <w:marTop w:val="10"/>
      <w:marBottom w:val="10"/>
      <w:divBdr>
        <w:top w:val="none" w:sz="0" w:space="0" w:color="auto"/>
        <w:left w:val="none" w:sz="0" w:space="0" w:color="auto"/>
        <w:bottom w:val="none" w:sz="0" w:space="0" w:color="auto"/>
        <w:right w:val="none" w:sz="0" w:space="0" w:color="auto"/>
      </w:divBdr>
    </w:div>
    <w:div w:id="2049914309">
      <w:marLeft w:val="0"/>
      <w:marRight w:val="0"/>
      <w:marTop w:val="10"/>
      <w:marBottom w:val="10"/>
      <w:divBdr>
        <w:top w:val="none" w:sz="0" w:space="0" w:color="auto"/>
        <w:left w:val="none" w:sz="0" w:space="0" w:color="auto"/>
        <w:bottom w:val="none" w:sz="0" w:space="0" w:color="auto"/>
        <w:right w:val="none" w:sz="0" w:space="0" w:color="auto"/>
      </w:divBdr>
    </w:div>
    <w:div w:id="20647910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