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A29CB">
      <w:pPr>
        <w:spacing w:line="500" w:lineRule="atLeast"/>
        <w:jc w:val="center"/>
        <w:divId w:val="1534418744"/>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2A29CB">
      <w:pPr>
        <w:spacing w:line="500" w:lineRule="atLeast"/>
        <w:jc w:val="center"/>
        <w:divId w:val="206930404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A29CB">
      <w:pPr>
        <w:spacing w:line="500" w:lineRule="atLeast"/>
        <w:jc w:val="right"/>
        <w:divId w:val="659307651"/>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15566</w:t>
      </w:r>
      <w:r>
        <w:rPr>
          <w:rFonts w:hint="eastAsia"/>
          <w:sz w:val="30"/>
          <w:szCs w:val="30"/>
        </w:rPr>
        <w:t>号</w:t>
      </w:r>
    </w:p>
    <w:p w:rsidR="00000000" w:rsidRDefault="002A29CB">
      <w:pPr>
        <w:spacing w:line="500" w:lineRule="atLeast"/>
        <w:ind w:firstLine="600"/>
        <w:divId w:val="448668573"/>
        <w:rPr>
          <w:rFonts w:hint="eastAsia"/>
          <w:sz w:val="30"/>
          <w:szCs w:val="30"/>
        </w:rPr>
      </w:pPr>
      <w:r>
        <w:rPr>
          <w:rFonts w:hint="eastAsia"/>
          <w:sz w:val="30"/>
          <w:szCs w:val="30"/>
        </w:rPr>
        <w:t>原告北京新月长城投资管理有限公司，住所地北京市。</w:t>
      </w:r>
    </w:p>
    <w:p w:rsidR="00000000" w:rsidRDefault="002A29CB">
      <w:pPr>
        <w:spacing w:line="500" w:lineRule="atLeast"/>
        <w:ind w:firstLine="600"/>
        <w:divId w:val="1347562178"/>
        <w:rPr>
          <w:rFonts w:hint="eastAsia"/>
          <w:sz w:val="30"/>
          <w:szCs w:val="30"/>
        </w:rPr>
      </w:pPr>
      <w:r>
        <w:rPr>
          <w:rFonts w:hint="eastAsia"/>
          <w:sz w:val="30"/>
          <w:szCs w:val="30"/>
        </w:rPr>
        <w:t>法定代表人张建忠。</w:t>
      </w:r>
    </w:p>
    <w:p w:rsidR="00000000" w:rsidRDefault="002A29CB">
      <w:pPr>
        <w:spacing w:line="500" w:lineRule="atLeast"/>
        <w:ind w:firstLine="600"/>
        <w:divId w:val="1755587108"/>
        <w:rPr>
          <w:rFonts w:hint="eastAsia"/>
          <w:sz w:val="30"/>
          <w:szCs w:val="30"/>
        </w:rPr>
      </w:pPr>
      <w:r>
        <w:rPr>
          <w:rFonts w:hint="eastAsia"/>
          <w:sz w:val="30"/>
          <w:szCs w:val="30"/>
        </w:rPr>
        <w:t>委托代理人任莉，女。</w:t>
      </w:r>
    </w:p>
    <w:p w:rsidR="00000000" w:rsidRDefault="002A29CB">
      <w:pPr>
        <w:spacing w:line="500" w:lineRule="atLeast"/>
        <w:ind w:firstLine="600"/>
        <w:divId w:val="1405908761"/>
        <w:rPr>
          <w:rFonts w:hint="eastAsia"/>
          <w:sz w:val="30"/>
          <w:szCs w:val="30"/>
        </w:rPr>
      </w:pPr>
      <w:r>
        <w:rPr>
          <w:rFonts w:hint="eastAsia"/>
          <w:sz w:val="30"/>
          <w:szCs w:val="30"/>
        </w:rPr>
        <w:t>委托代理人刘金友，北京易准律师事务所律师。</w:t>
      </w:r>
    </w:p>
    <w:p w:rsidR="00000000" w:rsidRDefault="002A29CB">
      <w:pPr>
        <w:spacing w:line="500" w:lineRule="atLeast"/>
        <w:ind w:firstLine="600"/>
        <w:divId w:val="920414048"/>
        <w:rPr>
          <w:rFonts w:hint="eastAsia"/>
          <w:sz w:val="30"/>
          <w:szCs w:val="30"/>
        </w:rPr>
      </w:pPr>
      <w:r>
        <w:rPr>
          <w:rFonts w:hint="eastAsia"/>
          <w:sz w:val="30"/>
          <w:szCs w:val="30"/>
        </w:rPr>
        <w:t>被告马生辉，男，</w:t>
      </w:r>
      <w:r>
        <w:rPr>
          <w:rFonts w:hint="eastAsia"/>
          <w:sz w:val="30"/>
          <w:szCs w:val="30"/>
        </w:rPr>
        <w:t>1977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日生，回族，住上海市浦东新区。</w:t>
      </w:r>
    </w:p>
    <w:p w:rsidR="00000000" w:rsidRDefault="002A29CB">
      <w:pPr>
        <w:spacing w:line="500" w:lineRule="atLeast"/>
        <w:ind w:firstLine="600"/>
        <w:divId w:val="45303163"/>
        <w:rPr>
          <w:rFonts w:hint="eastAsia"/>
          <w:sz w:val="30"/>
          <w:szCs w:val="30"/>
        </w:rPr>
      </w:pPr>
      <w:r>
        <w:rPr>
          <w:rFonts w:hint="eastAsia"/>
          <w:sz w:val="30"/>
          <w:szCs w:val="30"/>
        </w:rPr>
        <w:t>委托代理人斯伟江，上海大邦律师事务所律师。</w:t>
      </w:r>
    </w:p>
    <w:p w:rsidR="00000000" w:rsidRDefault="002A29CB">
      <w:pPr>
        <w:spacing w:line="500" w:lineRule="atLeast"/>
        <w:ind w:firstLine="600"/>
        <w:divId w:val="479350028"/>
        <w:rPr>
          <w:rFonts w:hint="eastAsia"/>
          <w:sz w:val="30"/>
          <w:szCs w:val="30"/>
        </w:rPr>
      </w:pPr>
      <w:r>
        <w:rPr>
          <w:rFonts w:hint="eastAsia"/>
          <w:sz w:val="30"/>
          <w:szCs w:val="30"/>
        </w:rPr>
        <w:t>委托代理人严涵，上海大邦律师事务所律师。</w:t>
      </w:r>
    </w:p>
    <w:p w:rsidR="00000000" w:rsidRDefault="002A29CB">
      <w:pPr>
        <w:spacing w:line="500" w:lineRule="atLeast"/>
        <w:ind w:firstLine="600"/>
        <w:divId w:val="1905218150"/>
        <w:rPr>
          <w:rFonts w:hint="eastAsia"/>
          <w:sz w:val="30"/>
          <w:szCs w:val="30"/>
        </w:rPr>
      </w:pPr>
      <w:r>
        <w:rPr>
          <w:rFonts w:hint="eastAsia"/>
          <w:sz w:val="30"/>
          <w:szCs w:val="30"/>
        </w:rPr>
        <w:t>被告上海萍辉石油工程服务有限公司，住所地上海市浦东新区。</w:t>
      </w:r>
    </w:p>
    <w:p w:rsidR="00000000" w:rsidRDefault="002A29CB">
      <w:pPr>
        <w:spacing w:line="500" w:lineRule="atLeast"/>
        <w:ind w:firstLine="600"/>
        <w:divId w:val="951131326"/>
        <w:rPr>
          <w:rFonts w:hint="eastAsia"/>
          <w:sz w:val="30"/>
          <w:szCs w:val="30"/>
        </w:rPr>
      </w:pPr>
      <w:r>
        <w:rPr>
          <w:rFonts w:hint="eastAsia"/>
          <w:sz w:val="30"/>
          <w:szCs w:val="30"/>
        </w:rPr>
        <w:t>法定代表人马生辉。</w:t>
      </w:r>
    </w:p>
    <w:p w:rsidR="00000000" w:rsidRDefault="002A29CB">
      <w:pPr>
        <w:spacing w:line="500" w:lineRule="atLeast"/>
        <w:ind w:firstLine="600"/>
        <w:divId w:val="800415570"/>
        <w:rPr>
          <w:rFonts w:hint="eastAsia"/>
          <w:sz w:val="30"/>
          <w:szCs w:val="30"/>
        </w:rPr>
      </w:pPr>
      <w:r>
        <w:rPr>
          <w:rFonts w:hint="eastAsia"/>
          <w:sz w:val="30"/>
          <w:szCs w:val="30"/>
        </w:rPr>
        <w:t>委托代理人吴布达，上海大邦律师事务所律师。</w:t>
      </w:r>
    </w:p>
    <w:p w:rsidR="00000000" w:rsidRDefault="002A29CB">
      <w:pPr>
        <w:spacing w:line="500" w:lineRule="atLeast"/>
        <w:ind w:firstLine="600"/>
        <w:divId w:val="2060744187"/>
        <w:rPr>
          <w:rFonts w:hint="eastAsia"/>
          <w:sz w:val="30"/>
          <w:szCs w:val="30"/>
        </w:rPr>
      </w:pPr>
      <w:r>
        <w:rPr>
          <w:rFonts w:hint="eastAsia"/>
          <w:sz w:val="30"/>
          <w:szCs w:val="30"/>
        </w:rPr>
        <w:t>原告北京新月长城投资管理有限公司与被告马生辉、上海萍辉石油工程服务有限公司损害公司利益责任纠纷一案，本院于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日立案受理后，依法适用普通程序，于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日和</w:t>
      </w:r>
      <w:r>
        <w:rPr>
          <w:rFonts w:hint="eastAsia"/>
          <w:sz w:val="30"/>
          <w:szCs w:val="30"/>
        </w:rPr>
        <w:t>6</w:t>
      </w:r>
      <w:r>
        <w:rPr>
          <w:rFonts w:hint="eastAsia"/>
          <w:sz w:val="30"/>
          <w:szCs w:val="30"/>
        </w:rPr>
        <w:t>月</w:t>
      </w:r>
      <w:r>
        <w:rPr>
          <w:rFonts w:hint="eastAsia"/>
          <w:sz w:val="30"/>
          <w:szCs w:val="30"/>
        </w:rPr>
        <w:t>23</w:t>
      </w:r>
      <w:r>
        <w:rPr>
          <w:rFonts w:hint="eastAsia"/>
          <w:sz w:val="30"/>
          <w:szCs w:val="30"/>
        </w:rPr>
        <w:t>日召开了两次庭前会议，并于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公开开庭进行了审理。原告的法定代表人张建忠、原告的委托代理人任莉、刘金友，被告马生辉及其委托代理人斯伟江、严涵，被告上海萍辉石油工程服务有限公司的委托代理人吴布达均到庭参加诉讼。本案现已审理终结。</w:t>
      </w:r>
    </w:p>
    <w:p w:rsidR="00000000" w:rsidRDefault="002A29CB">
      <w:pPr>
        <w:spacing w:line="500" w:lineRule="atLeast"/>
        <w:ind w:firstLine="600"/>
        <w:divId w:val="956445585"/>
        <w:rPr>
          <w:rFonts w:hint="eastAsia"/>
          <w:sz w:val="30"/>
          <w:szCs w:val="30"/>
        </w:rPr>
      </w:pPr>
      <w:r>
        <w:rPr>
          <w:rFonts w:hint="eastAsia"/>
          <w:sz w:val="30"/>
          <w:szCs w:val="30"/>
        </w:rPr>
        <w:t>原告北京新月长城投资管理有限公司诉称：原告原名为“北京新月友谊国际贸易有限公司”，</w:t>
      </w:r>
      <w:r>
        <w:rPr>
          <w:rFonts w:hint="eastAsia"/>
          <w:sz w:val="30"/>
          <w:szCs w:val="30"/>
        </w:rPr>
        <w:t>员工多为少数民族。原告利用自身优势，积极开展与伊朗的经贸往来。经过十多次的商业考察洽谈，与伊朗国家石油勘探公司</w:t>
      </w:r>
      <w:r>
        <w:rPr>
          <w:rFonts w:hint="eastAsia"/>
          <w:sz w:val="30"/>
          <w:szCs w:val="30"/>
        </w:rPr>
        <w:t>(</w:t>
      </w:r>
      <w:r>
        <w:rPr>
          <w:rFonts w:hint="eastAsia"/>
          <w:sz w:val="30"/>
          <w:szCs w:val="30"/>
        </w:rPr>
        <w:t>简称伊朗</w:t>
      </w:r>
      <w:r>
        <w:rPr>
          <w:rFonts w:hint="eastAsia"/>
          <w:sz w:val="30"/>
          <w:szCs w:val="30"/>
        </w:rPr>
        <w:t>OEOC</w:t>
      </w:r>
      <w:r>
        <w:rPr>
          <w:rFonts w:hint="eastAsia"/>
          <w:sz w:val="30"/>
          <w:szCs w:val="30"/>
        </w:rPr>
        <w:t>公司</w:t>
      </w:r>
      <w:r>
        <w:rPr>
          <w:rFonts w:hint="eastAsia"/>
          <w:sz w:val="30"/>
          <w:szCs w:val="30"/>
        </w:rPr>
        <w:t>)</w:t>
      </w:r>
      <w:r>
        <w:rPr>
          <w:rFonts w:hint="eastAsia"/>
          <w:sz w:val="30"/>
          <w:szCs w:val="30"/>
        </w:rPr>
        <w:lastRenderedPageBreak/>
        <w:t>就购买石油钻机及其他相关设备事宜进行了三个多月的反复沟通与磋商，并邀请伊朗</w:t>
      </w:r>
      <w:r>
        <w:rPr>
          <w:rFonts w:hint="eastAsia"/>
          <w:sz w:val="30"/>
          <w:szCs w:val="30"/>
        </w:rPr>
        <w:t>OEOC</w:t>
      </w:r>
      <w:r>
        <w:rPr>
          <w:rFonts w:hint="eastAsia"/>
          <w:sz w:val="30"/>
          <w:szCs w:val="30"/>
        </w:rPr>
        <w:t>公司高级代表团访华，促成了该公司与上海三高石油设备有限公司</w:t>
      </w:r>
      <w:r>
        <w:rPr>
          <w:rFonts w:hint="eastAsia"/>
          <w:sz w:val="30"/>
          <w:szCs w:val="30"/>
        </w:rPr>
        <w:t>(</w:t>
      </w:r>
      <w:r>
        <w:rPr>
          <w:rFonts w:hint="eastAsia"/>
          <w:sz w:val="30"/>
          <w:szCs w:val="30"/>
        </w:rPr>
        <w:t>简称上海三高公司</w:t>
      </w:r>
      <w:r>
        <w:rPr>
          <w:rFonts w:hint="eastAsia"/>
          <w:sz w:val="30"/>
          <w:szCs w:val="30"/>
        </w:rPr>
        <w:t>)</w:t>
      </w:r>
      <w:r>
        <w:rPr>
          <w:rFonts w:hint="eastAsia"/>
          <w:sz w:val="30"/>
          <w:szCs w:val="30"/>
        </w:rPr>
        <w:t>于</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日和</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日签订了总计八台石油钻机的两份购销合同，合同项下总货值达到了</w:t>
      </w:r>
      <w:r>
        <w:rPr>
          <w:rFonts w:hint="eastAsia"/>
          <w:sz w:val="30"/>
          <w:szCs w:val="30"/>
        </w:rPr>
        <w:t>8,920</w:t>
      </w:r>
      <w:r>
        <w:rPr>
          <w:rFonts w:hint="eastAsia"/>
          <w:sz w:val="30"/>
          <w:szCs w:val="30"/>
        </w:rPr>
        <w:t>万欧元。原告于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日与被告马生辉签订了编号为</w:t>
      </w:r>
      <w:r>
        <w:rPr>
          <w:rFonts w:hint="eastAsia"/>
          <w:sz w:val="30"/>
          <w:szCs w:val="30"/>
        </w:rPr>
        <w:t>2007-07-18</w:t>
      </w:r>
      <w:r>
        <w:rPr>
          <w:rFonts w:hint="eastAsia"/>
          <w:sz w:val="30"/>
          <w:szCs w:val="30"/>
        </w:rPr>
        <w:t>号的《合作协议》，聘任被</w:t>
      </w:r>
      <w:r>
        <w:rPr>
          <w:rFonts w:hint="eastAsia"/>
          <w:sz w:val="30"/>
          <w:szCs w:val="30"/>
        </w:rPr>
        <w:t>告马生辉担任原告驻伊朗代表处总代表、经理。在此期间，被告马生辉作为原告的高管</w:t>
      </w:r>
      <w:r>
        <w:rPr>
          <w:rFonts w:hint="eastAsia"/>
          <w:sz w:val="30"/>
          <w:szCs w:val="30"/>
        </w:rPr>
        <w:t>(</w:t>
      </w:r>
      <w:r>
        <w:rPr>
          <w:rFonts w:hint="eastAsia"/>
          <w:sz w:val="30"/>
          <w:szCs w:val="30"/>
        </w:rPr>
        <w:t>且担任波斯语翻译</w:t>
      </w:r>
      <w:r>
        <w:rPr>
          <w:rFonts w:hint="eastAsia"/>
          <w:sz w:val="30"/>
          <w:szCs w:val="30"/>
        </w:rPr>
        <w:t>)</w:t>
      </w:r>
      <w:r>
        <w:rPr>
          <w:rFonts w:hint="eastAsia"/>
          <w:sz w:val="30"/>
          <w:szCs w:val="30"/>
        </w:rPr>
        <w:t>全程参与了伊朗</w:t>
      </w:r>
      <w:r>
        <w:rPr>
          <w:rFonts w:hint="eastAsia"/>
          <w:sz w:val="30"/>
          <w:szCs w:val="30"/>
        </w:rPr>
        <w:t>OEOC</w:t>
      </w:r>
      <w:r>
        <w:rPr>
          <w:rFonts w:hint="eastAsia"/>
          <w:sz w:val="30"/>
          <w:szCs w:val="30"/>
        </w:rPr>
        <w:t>公司与原告就寻找中国钻机制造商的洽谈过程，并获取了原告所掌握的伊朗</w:t>
      </w:r>
      <w:r>
        <w:rPr>
          <w:rFonts w:hint="eastAsia"/>
          <w:sz w:val="30"/>
          <w:szCs w:val="30"/>
        </w:rPr>
        <w:t>OEOC</w:t>
      </w:r>
      <w:r>
        <w:rPr>
          <w:rFonts w:hint="eastAsia"/>
          <w:sz w:val="30"/>
          <w:szCs w:val="30"/>
        </w:rPr>
        <w:t>公司所需要购买石油钻机成套设备的商业机会和所需石油钻机成套设备的型号、数量、价格、付款方式、交货期限等商业秘密。被告马生辉作为原告聘任的公司驻伊朗高管，其明知负有对公司的忠实义务和保密义务，却暗地里与原告的客户私下联络，导致原告另外一笔重大业务落空，严重损害了原告的利益。为此，原告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日与其解除了劳动合</w:t>
      </w:r>
      <w:r>
        <w:rPr>
          <w:rFonts w:hint="eastAsia"/>
          <w:sz w:val="30"/>
          <w:szCs w:val="30"/>
        </w:rPr>
        <w:t>同。然而就在被告马生辉离职后几天，在原告毫不知情的情况下，其利用从原告处获悉的商业机会和商业秘密，与案外人上海中曼石油天然气集团有限公司</w:t>
      </w:r>
      <w:r>
        <w:rPr>
          <w:rFonts w:hint="eastAsia"/>
          <w:sz w:val="30"/>
          <w:szCs w:val="30"/>
        </w:rPr>
        <w:t>(</w:t>
      </w:r>
      <w:r>
        <w:rPr>
          <w:rFonts w:hint="eastAsia"/>
          <w:sz w:val="30"/>
          <w:szCs w:val="30"/>
        </w:rPr>
        <w:t>简称中曼公司</w:t>
      </w:r>
      <w:r>
        <w:rPr>
          <w:rFonts w:hint="eastAsia"/>
          <w:sz w:val="30"/>
          <w:szCs w:val="30"/>
        </w:rPr>
        <w:t>)</w:t>
      </w:r>
      <w:r>
        <w:rPr>
          <w:rFonts w:hint="eastAsia"/>
          <w:sz w:val="30"/>
          <w:szCs w:val="30"/>
        </w:rPr>
        <w:t>签订了《代理协议书》，约定自</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日期间为中曼公司与第三方公司合作提供服务。其后，中曼公司作为甲方、马生辉作为乙方、马生辉担任法定代表人的上海霖辉贸易有限公司</w:t>
      </w:r>
      <w:r>
        <w:rPr>
          <w:rFonts w:hint="eastAsia"/>
          <w:sz w:val="30"/>
          <w:szCs w:val="30"/>
        </w:rPr>
        <w:t>(</w:t>
      </w:r>
      <w:r>
        <w:rPr>
          <w:rFonts w:hint="eastAsia"/>
          <w:sz w:val="30"/>
          <w:szCs w:val="30"/>
        </w:rPr>
        <w:t>系被告上海萍辉石油工程服务有限公司原名</w:t>
      </w:r>
      <w:r>
        <w:rPr>
          <w:rFonts w:hint="eastAsia"/>
          <w:sz w:val="30"/>
          <w:szCs w:val="30"/>
        </w:rPr>
        <w:t>)</w:t>
      </w:r>
      <w:r>
        <w:rPr>
          <w:rFonts w:hint="eastAsia"/>
          <w:sz w:val="30"/>
          <w:szCs w:val="30"/>
        </w:rPr>
        <w:t>作为丙方签订了《补充协议书》，约定自</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日起上述《代理协议书》中乙方的权利义务转移至丙方。在此期间，在被告马生辉与中</w:t>
      </w:r>
      <w:r>
        <w:rPr>
          <w:rFonts w:hint="eastAsia"/>
          <w:sz w:val="30"/>
          <w:szCs w:val="30"/>
        </w:rPr>
        <w:t>曼公司及其有关人员的联络下，中曼公司于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日与伊朗</w:t>
      </w:r>
      <w:r>
        <w:rPr>
          <w:rFonts w:hint="eastAsia"/>
          <w:sz w:val="30"/>
          <w:szCs w:val="30"/>
        </w:rPr>
        <w:t>OEOC</w:t>
      </w:r>
      <w:r>
        <w:rPr>
          <w:rFonts w:hint="eastAsia"/>
          <w:sz w:val="30"/>
          <w:szCs w:val="30"/>
        </w:rPr>
        <w:t>公司签订了《石油钻机销售合同》，该合同的格式、条款</w:t>
      </w:r>
      <w:r>
        <w:rPr>
          <w:rFonts w:hint="eastAsia"/>
          <w:sz w:val="30"/>
          <w:szCs w:val="30"/>
        </w:rPr>
        <w:lastRenderedPageBreak/>
        <w:t>设置、涉及的设备型号、数量、价格等内容与伊朗</w:t>
      </w:r>
      <w:r>
        <w:rPr>
          <w:rFonts w:hint="eastAsia"/>
          <w:sz w:val="30"/>
          <w:szCs w:val="30"/>
        </w:rPr>
        <w:t>OEOC</w:t>
      </w:r>
      <w:r>
        <w:rPr>
          <w:rFonts w:hint="eastAsia"/>
          <w:sz w:val="30"/>
          <w:szCs w:val="30"/>
        </w:rPr>
        <w:t>公司与上海三高公司所签协议基本相同。中曼公司认可该协议已经全部履行完毕，从中获利约人民币</w:t>
      </w:r>
      <w:r>
        <w:rPr>
          <w:rFonts w:hint="eastAsia"/>
          <w:sz w:val="30"/>
          <w:szCs w:val="30"/>
        </w:rPr>
        <w:t>1.72</w:t>
      </w:r>
      <w:r>
        <w:rPr>
          <w:rFonts w:hint="eastAsia"/>
          <w:sz w:val="30"/>
          <w:szCs w:val="30"/>
        </w:rPr>
        <w:t>亿元</w:t>
      </w:r>
      <w:r>
        <w:rPr>
          <w:rFonts w:hint="eastAsia"/>
          <w:sz w:val="30"/>
          <w:szCs w:val="30"/>
        </w:rPr>
        <w:t>(</w:t>
      </w:r>
      <w:r>
        <w:rPr>
          <w:rFonts w:hint="eastAsia"/>
          <w:sz w:val="30"/>
          <w:szCs w:val="30"/>
        </w:rPr>
        <w:t>以下无特殊说明币种均为人民币</w:t>
      </w:r>
      <w:r>
        <w:rPr>
          <w:rFonts w:hint="eastAsia"/>
          <w:sz w:val="30"/>
          <w:szCs w:val="30"/>
        </w:rPr>
        <w:t>)</w:t>
      </w:r>
      <w:r>
        <w:rPr>
          <w:rFonts w:hint="eastAsia"/>
          <w:sz w:val="30"/>
          <w:szCs w:val="30"/>
        </w:rPr>
        <w:t>。中曼公司为此向马生辉支付了佣金</w:t>
      </w:r>
      <w:r>
        <w:rPr>
          <w:rFonts w:hint="eastAsia"/>
          <w:sz w:val="30"/>
          <w:szCs w:val="30"/>
        </w:rPr>
        <w:t>1,450</w:t>
      </w:r>
      <w:r>
        <w:rPr>
          <w:rFonts w:hint="eastAsia"/>
          <w:sz w:val="30"/>
          <w:szCs w:val="30"/>
        </w:rPr>
        <w:t>万元，收款人为被告上海萍辉石油工程服务有限公司。为维护自身权益，原告以侵犯商业秘密为由对中曼公司等提起了诉讼，北京市高级人民法院认为中曼公司等共同侵害原告商业秘密，</w:t>
      </w:r>
      <w:r>
        <w:rPr>
          <w:rFonts w:hint="eastAsia"/>
          <w:sz w:val="30"/>
          <w:szCs w:val="30"/>
        </w:rPr>
        <w:t>需赔偿原告</w:t>
      </w:r>
      <w:r>
        <w:rPr>
          <w:rFonts w:hint="eastAsia"/>
          <w:sz w:val="30"/>
          <w:szCs w:val="30"/>
        </w:rPr>
        <w:t>2,200</w:t>
      </w:r>
      <w:r>
        <w:rPr>
          <w:rFonts w:hint="eastAsia"/>
          <w:sz w:val="30"/>
          <w:szCs w:val="30"/>
        </w:rPr>
        <w:t>余万元。此后，经最高人民法院再审，裁定维持原判。最高人民法院的裁定认为“中曼公司存在侵害商业秘密的行为”，且“在再审申请阶段提交的新证据亦证明，中曼公司还存在利用其便利条件与新月公司的前雇员联络的行为”。从而确认原告的前雇员马生辉与中曼公司的“联络行为”是中曼公司侵害原告商业秘密的根源所在。原告由此才得知被告马生辉利用其获悉的原告的商业机会和商业秘密的便利与中曼公司等串通损害原告利益的证据和事实。原告认为，根据公司法第</w:t>
      </w:r>
      <w:r>
        <w:rPr>
          <w:rFonts w:hint="eastAsia"/>
          <w:sz w:val="30"/>
          <w:szCs w:val="30"/>
        </w:rPr>
        <w:t>148</w:t>
      </w:r>
      <w:r>
        <w:rPr>
          <w:rFonts w:hint="eastAsia"/>
          <w:sz w:val="30"/>
          <w:szCs w:val="30"/>
        </w:rPr>
        <w:t>条和</w:t>
      </w:r>
      <w:r>
        <w:rPr>
          <w:rFonts w:hint="eastAsia"/>
          <w:sz w:val="30"/>
          <w:szCs w:val="30"/>
        </w:rPr>
        <w:t>149</w:t>
      </w:r>
      <w:r>
        <w:rPr>
          <w:rFonts w:hint="eastAsia"/>
          <w:sz w:val="30"/>
          <w:szCs w:val="30"/>
        </w:rPr>
        <w:t>条之规定，被告马生辉将原告的商业机会和商业秘密透露给中</w:t>
      </w:r>
      <w:r>
        <w:rPr>
          <w:rFonts w:hint="eastAsia"/>
          <w:sz w:val="30"/>
          <w:szCs w:val="30"/>
        </w:rPr>
        <w:t>曼公司，致使两份合同解除，并由中曼公司以新的合同取代，直接违反了忠实义务，损害了原告利益，应当依法将“所得的收入归公司所有”。原告还认为，被告马生辉还违反了反不正当竞争法的有关规定。因此，原告诉至法院，请求判决：</w:t>
      </w:r>
      <w:r>
        <w:rPr>
          <w:rFonts w:hint="eastAsia"/>
          <w:sz w:val="30"/>
          <w:szCs w:val="30"/>
        </w:rPr>
        <w:t>1</w:t>
      </w:r>
      <w:r>
        <w:rPr>
          <w:rFonts w:hint="eastAsia"/>
          <w:sz w:val="30"/>
          <w:szCs w:val="30"/>
        </w:rPr>
        <w:t>、两被告违法所得的收入</w:t>
      </w:r>
      <w:r>
        <w:rPr>
          <w:rFonts w:hint="eastAsia"/>
          <w:sz w:val="30"/>
          <w:szCs w:val="30"/>
        </w:rPr>
        <w:t>1,450</w:t>
      </w:r>
      <w:r>
        <w:rPr>
          <w:rFonts w:hint="eastAsia"/>
          <w:sz w:val="30"/>
          <w:szCs w:val="30"/>
        </w:rPr>
        <w:t>万元归原告所有；</w:t>
      </w:r>
      <w:r>
        <w:rPr>
          <w:rFonts w:hint="eastAsia"/>
          <w:sz w:val="30"/>
          <w:szCs w:val="30"/>
        </w:rPr>
        <w:t>2</w:t>
      </w:r>
      <w:r>
        <w:rPr>
          <w:rFonts w:hint="eastAsia"/>
          <w:sz w:val="30"/>
          <w:szCs w:val="30"/>
        </w:rPr>
        <w:t>、原告为本案支出的律师费</w:t>
      </w:r>
      <w:r>
        <w:rPr>
          <w:rFonts w:hint="eastAsia"/>
          <w:sz w:val="30"/>
          <w:szCs w:val="30"/>
        </w:rPr>
        <w:t>20</w:t>
      </w:r>
      <w:r>
        <w:rPr>
          <w:rFonts w:hint="eastAsia"/>
          <w:sz w:val="30"/>
          <w:szCs w:val="30"/>
        </w:rPr>
        <w:t>万元及诉讼费用由两被告承担。</w:t>
      </w:r>
    </w:p>
    <w:p w:rsidR="00000000" w:rsidRDefault="002A29CB">
      <w:pPr>
        <w:spacing w:line="500" w:lineRule="atLeast"/>
        <w:ind w:firstLine="600"/>
        <w:divId w:val="1359741373"/>
        <w:rPr>
          <w:rFonts w:hint="eastAsia"/>
          <w:sz w:val="30"/>
          <w:szCs w:val="30"/>
        </w:rPr>
      </w:pPr>
      <w:r>
        <w:rPr>
          <w:rFonts w:hint="eastAsia"/>
          <w:sz w:val="30"/>
          <w:szCs w:val="30"/>
        </w:rPr>
        <w:t>被告马生辉辩称：应当驳回原告的全部诉讼请求。第一，原告主张归入权没有事实和法律依据。</w:t>
      </w:r>
      <w:r>
        <w:rPr>
          <w:rFonts w:hint="eastAsia"/>
          <w:sz w:val="30"/>
          <w:szCs w:val="30"/>
        </w:rPr>
        <w:t>1</w:t>
      </w:r>
      <w:r>
        <w:rPr>
          <w:rFonts w:hint="eastAsia"/>
          <w:sz w:val="30"/>
          <w:szCs w:val="30"/>
        </w:rPr>
        <w:t>、被告马生辉并非原告高管，与原告没有雇佣关系，双方是一种松散的合作关系。原告与被告马生辉之间协议的名称是</w:t>
      </w:r>
      <w:r>
        <w:rPr>
          <w:rFonts w:hint="eastAsia"/>
          <w:sz w:val="30"/>
          <w:szCs w:val="30"/>
        </w:rPr>
        <w:t>合作协议，驻伊朗代表处是由原告和案外人上海浦东亿菱机械设备有限公司</w:t>
      </w:r>
      <w:r>
        <w:rPr>
          <w:rFonts w:hint="eastAsia"/>
          <w:sz w:val="30"/>
          <w:szCs w:val="30"/>
        </w:rPr>
        <w:t>(</w:t>
      </w:r>
      <w:r>
        <w:rPr>
          <w:rFonts w:hint="eastAsia"/>
          <w:sz w:val="30"/>
          <w:szCs w:val="30"/>
        </w:rPr>
        <w:t>简称亿菱公司</w:t>
      </w:r>
      <w:r>
        <w:rPr>
          <w:rFonts w:hint="eastAsia"/>
          <w:sz w:val="30"/>
          <w:szCs w:val="30"/>
        </w:rPr>
        <w:t>)</w:t>
      </w:r>
      <w:r>
        <w:rPr>
          <w:rFonts w:hint="eastAsia"/>
          <w:sz w:val="30"/>
          <w:szCs w:val="30"/>
        </w:rPr>
        <w:t>共同设立的，被告马生辉是两家公司的代表，收取的是合作费用。合作协议还约定了付款方式、佣金和提成等，双方没有劳动合同，也未缴纳社保等。原告的章程等文件由股东和职工签字，但其中没有被告马生辉，原告未向被告马生辉支付过工资，马生辉也未要求原告支付过工资。原告的章程规定，公司设经理一名，由股东会聘任，原告股东会未聘任马生辉担任经理，工商档案显示原告的经理空缺。</w:t>
      </w:r>
      <w:r>
        <w:rPr>
          <w:rFonts w:hint="eastAsia"/>
          <w:sz w:val="30"/>
          <w:szCs w:val="30"/>
        </w:rPr>
        <w:t>2</w:t>
      </w:r>
      <w:r>
        <w:rPr>
          <w:rFonts w:hint="eastAsia"/>
          <w:sz w:val="30"/>
          <w:szCs w:val="30"/>
        </w:rPr>
        <w:t>、原告违约在先。原告为了逃避向被告马生辉支付高额合作费用，在即将取得巨额利</w:t>
      </w:r>
      <w:r>
        <w:rPr>
          <w:rFonts w:hint="eastAsia"/>
          <w:sz w:val="30"/>
          <w:szCs w:val="30"/>
        </w:rPr>
        <w:t>润前，突然解除合作协议，原告至今没有履行合作协议。</w:t>
      </w:r>
      <w:r>
        <w:rPr>
          <w:rFonts w:hint="eastAsia"/>
          <w:sz w:val="30"/>
          <w:szCs w:val="30"/>
        </w:rPr>
        <w:t>3</w:t>
      </w:r>
      <w:r>
        <w:rPr>
          <w:rFonts w:hint="eastAsia"/>
          <w:sz w:val="30"/>
          <w:szCs w:val="30"/>
        </w:rPr>
        <w:t>、原告的证据与其主张自相矛盾。公司高管的忠实义务存在于任职期间，而中曼公司与伊朗</w:t>
      </w:r>
      <w:r>
        <w:rPr>
          <w:rFonts w:hint="eastAsia"/>
          <w:sz w:val="30"/>
          <w:szCs w:val="30"/>
        </w:rPr>
        <w:t>OEOC</w:t>
      </w:r>
      <w:r>
        <w:rPr>
          <w:rFonts w:hint="eastAsia"/>
          <w:sz w:val="30"/>
          <w:szCs w:val="30"/>
        </w:rPr>
        <w:t>公司签订合同时，被告马生辉已经不在原告处任职。第二，原告主张两被告侵害其商业秘密没有事实和法律依据。</w:t>
      </w:r>
      <w:r>
        <w:rPr>
          <w:rFonts w:hint="eastAsia"/>
          <w:sz w:val="30"/>
          <w:szCs w:val="30"/>
        </w:rPr>
        <w:t>1</w:t>
      </w:r>
      <w:r>
        <w:rPr>
          <w:rFonts w:hint="eastAsia"/>
          <w:sz w:val="30"/>
          <w:szCs w:val="30"/>
        </w:rPr>
        <w:t>、马生辉是通过自身的努力获取交易机会，并无证据证明商业信息是原告的。</w:t>
      </w:r>
      <w:r>
        <w:rPr>
          <w:rFonts w:hint="eastAsia"/>
          <w:sz w:val="30"/>
          <w:szCs w:val="30"/>
        </w:rPr>
        <w:t>2</w:t>
      </w:r>
      <w:r>
        <w:rPr>
          <w:rFonts w:hint="eastAsia"/>
          <w:sz w:val="30"/>
          <w:szCs w:val="30"/>
        </w:rPr>
        <w:t>、合作协议中并未约定保密条款，马生辉不负有保密义务。</w:t>
      </w:r>
      <w:r>
        <w:rPr>
          <w:rFonts w:hint="eastAsia"/>
          <w:sz w:val="30"/>
          <w:szCs w:val="30"/>
        </w:rPr>
        <w:t>3</w:t>
      </w:r>
      <w:r>
        <w:rPr>
          <w:rFonts w:hint="eastAsia"/>
          <w:sz w:val="30"/>
          <w:szCs w:val="30"/>
        </w:rPr>
        <w:t>、中曼公司获取商业信息自有其来源，已经生效法律文书确认，马生辉没有披露或使用原告的所谓商业秘密。第三，原告的诉请超过诉讼时效。合同是</w:t>
      </w:r>
      <w:r>
        <w:rPr>
          <w:rFonts w:hint="eastAsia"/>
          <w:sz w:val="30"/>
          <w:szCs w:val="30"/>
        </w:rPr>
        <w:t>2008</w:t>
      </w:r>
      <w:r>
        <w:rPr>
          <w:rFonts w:hint="eastAsia"/>
          <w:sz w:val="30"/>
          <w:szCs w:val="30"/>
        </w:rPr>
        <w:t>年签订</w:t>
      </w:r>
      <w:r>
        <w:rPr>
          <w:rFonts w:hint="eastAsia"/>
          <w:sz w:val="30"/>
          <w:szCs w:val="30"/>
        </w:rPr>
        <w:t>的。因此，请求驳回原告的全部诉讼请求。</w:t>
      </w:r>
    </w:p>
    <w:p w:rsidR="00000000" w:rsidRDefault="002A29CB">
      <w:pPr>
        <w:spacing w:line="500" w:lineRule="atLeast"/>
        <w:ind w:firstLine="600"/>
        <w:divId w:val="883063770"/>
        <w:rPr>
          <w:rFonts w:hint="eastAsia"/>
          <w:sz w:val="30"/>
          <w:szCs w:val="30"/>
        </w:rPr>
      </w:pPr>
      <w:r>
        <w:rPr>
          <w:rFonts w:hint="eastAsia"/>
          <w:sz w:val="30"/>
          <w:szCs w:val="30"/>
        </w:rPr>
        <w:t>被告上海萍辉石油工程服务有限公司辩称：同意被告马生辉的意见。同时，被告上海萍辉石油工程服务有限公司</w:t>
      </w:r>
      <w:r>
        <w:rPr>
          <w:rFonts w:hint="eastAsia"/>
          <w:sz w:val="30"/>
          <w:szCs w:val="30"/>
        </w:rPr>
        <w:t>(</w:t>
      </w:r>
      <w:r>
        <w:rPr>
          <w:rFonts w:hint="eastAsia"/>
          <w:sz w:val="30"/>
          <w:szCs w:val="30"/>
        </w:rPr>
        <w:t>简称萍辉公司</w:t>
      </w:r>
      <w:r>
        <w:rPr>
          <w:rFonts w:hint="eastAsia"/>
          <w:sz w:val="30"/>
          <w:szCs w:val="30"/>
        </w:rPr>
        <w:t>)</w:t>
      </w:r>
      <w:r>
        <w:rPr>
          <w:rFonts w:hint="eastAsia"/>
          <w:sz w:val="30"/>
          <w:szCs w:val="30"/>
        </w:rPr>
        <w:t>与本案无任何关联，不应作为被告。有关协议签订于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月，被告萍辉公司设立于</w:t>
      </w:r>
      <w:r>
        <w:rPr>
          <w:rFonts w:hint="eastAsia"/>
          <w:sz w:val="30"/>
          <w:szCs w:val="30"/>
        </w:rPr>
        <w:t>2008</w:t>
      </w:r>
      <w:r>
        <w:rPr>
          <w:rFonts w:hint="eastAsia"/>
          <w:sz w:val="30"/>
          <w:szCs w:val="30"/>
        </w:rPr>
        <w:t>年</w:t>
      </w:r>
      <w:r>
        <w:rPr>
          <w:rFonts w:hint="eastAsia"/>
          <w:sz w:val="30"/>
          <w:szCs w:val="30"/>
        </w:rPr>
        <w:t>8</w:t>
      </w:r>
      <w:r>
        <w:rPr>
          <w:rFonts w:hint="eastAsia"/>
          <w:sz w:val="30"/>
          <w:szCs w:val="30"/>
        </w:rPr>
        <w:t>月，不存在泄露原告商业秘密的事实基础。</w:t>
      </w:r>
    </w:p>
    <w:p w:rsidR="00000000" w:rsidRDefault="002A29CB">
      <w:pPr>
        <w:spacing w:line="500" w:lineRule="atLeast"/>
        <w:ind w:firstLine="600"/>
        <w:divId w:val="68115093"/>
        <w:rPr>
          <w:rFonts w:hint="eastAsia"/>
          <w:sz w:val="30"/>
          <w:szCs w:val="30"/>
        </w:rPr>
      </w:pPr>
      <w:r>
        <w:rPr>
          <w:rFonts w:hint="eastAsia"/>
          <w:sz w:val="30"/>
          <w:szCs w:val="30"/>
        </w:rPr>
        <w:t>经审理查明以下事实：</w:t>
      </w:r>
    </w:p>
    <w:p w:rsidR="00000000" w:rsidRDefault="002A29CB">
      <w:pPr>
        <w:spacing w:line="500" w:lineRule="atLeast"/>
        <w:ind w:firstLine="600"/>
        <w:divId w:val="778842305"/>
        <w:rPr>
          <w:rFonts w:hint="eastAsia"/>
          <w:sz w:val="30"/>
          <w:szCs w:val="30"/>
        </w:rPr>
      </w:pPr>
      <w:r>
        <w:rPr>
          <w:rFonts w:hint="eastAsia"/>
          <w:sz w:val="30"/>
          <w:szCs w:val="30"/>
        </w:rPr>
        <w:t>一、关于原告与被告马生辉的合同关系。</w:t>
      </w:r>
    </w:p>
    <w:p w:rsidR="00000000" w:rsidRDefault="002A29CB">
      <w:pPr>
        <w:spacing w:line="500" w:lineRule="atLeast"/>
        <w:ind w:firstLine="600"/>
        <w:divId w:val="1795250774"/>
        <w:rPr>
          <w:rFonts w:hint="eastAsia"/>
          <w:sz w:val="30"/>
          <w:szCs w:val="30"/>
        </w:rPr>
      </w:pPr>
      <w:r>
        <w:rPr>
          <w:rFonts w:hint="eastAsia"/>
          <w:sz w:val="30"/>
          <w:szCs w:val="30"/>
        </w:rPr>
        <w:t>原告公司原名为“北京新月友谊国际贸易有限公司”，</w:t>
      </w:r>
      <w:r>
        <w:rPr>
          <w:rFonts w:hint="eastAsia"/>
          <w:sz w:val="30"/>
          <w:szCs w:val="30"/>
        </w:rPr>
        <w:t>2010</w:t>
      </w:r>
      <w:r>
        <w:rPr>
          <w:rFonts w:hint="eastAsia"/>
          <w:sz w:val="30"/>
          <w:szCs w:val="30"/>
        </w:rPr>
        <w:t>年</w:t>
      </w:r>
      <w:r>
        <w:rPr>
          <w:rFonts w:hint="eastAsia"/>
          <w:sz w:val="30"/>
          <w:szCs w:val="30"/>
        </w:rPr>
        <w:t>3</w:t>
      </w:r>
      <w:r>
        <w:rPr>
          <w:rFonts w:hint="eastAsia"/>
          <w:sz w:val="30"/>
          <w:szCs w:val="30"/>
        </w:rPr>
        <w:t>月经核准变更为现名。</w:t>
      </w:r>
    </w:p>
    <w:p w:rsidR="00000000" w:rsidRDefault="002A29CB">
      <w:pPr>
        <w:spacing w:line="500" w:lineRule="atLeast"/>
        <w:ind w:firstLine="600"/>
        <w:divId w:val="910189794"/>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日，原告与被告马生辉签订一份《合作协议》，内容涉及：为搞好原告目前</w:t>
      </w:r>
      <w:r>
        <w:rPr>
          <w:rFonts w:hint="eastAsia"/>
          <w:sz w:val="30"/>
          <w:szCs w:val="30"/>
        </w:rPr>
        <w:t>与伊朗石油部及国家钻井公司等部门开展的项目合作，原告与亿菱公司共同在伊朗设立了代表处；经原告股东会研究同意被告马生辉为原告驻伊朗代表处总代表、经理；被告马生辉应履行本职工作，尽职尽责认真完成原告交办的工作，协调与伊朗各部门的友谊和业务事宜，促使合作项目顺利进行，并在开展业务过程中及时向北京总部汇报工作；如果原告与国内合作的公司同伊朗国家钻井公司等其他伊朗某公司签订海洋钻井平台和陆地钻机合同，原告同意向被告马生辉支付合同金额的</w:t>
      </w:r>
      <w:r>
        <w:rPr>
          <w:rFonts w:hint="eastAsia"/>
          <w:sz w:val="30"/>
          <w:szCs w:val="30"/>
        </w:rPr>
        <w:t>1.50%</w:t>
      </w:r>
      <w:r>
        <w:rPr>
          <w:rFonts w:hint="eastAsia"/>
          <w:sz w:val="30"/>
          <w:szCs w:val="30"/>
        </w:rPr>
        <w:t>作为合作费用，但最终合作佣金金额需保证在原告收到</w:t>
      </w:r>
      <w:r>
        <w:rPr>
          <w:rFonts w:hint="eastAsia"/>
          <w:sz w:val="30"/>
          <w:szCs w:val="30"/>
        </w:rPr>
        <w:t>5%</w:t>
      </w:r>
      <w:r>
        <w:rPr>
          <w:rFonts w:hint="eastAsia"/>
          <w:sz w:val="30"/>
          <w:szCs w:val="30"/>
        </w:rPr>
        <w:t>合同金额的前提下，否则</w:t>
      </w:r>
      <w:r>
        <w:rPr>
          <w:rFonts w:hint="eastAsia"/>
          <w:sz w:val="30"/>
          <w:szCs w:val="30"/>
        </w:rPr>
        <w:t>按比例进行调整；凡是被告马生辉独立从项目信息收集，甲方配合到运作完成的项目，提成按纯利润的</w:t>
      </w:r>
      <w:r>
        <w:rPr>
          <w:rFonts w:hint="eastAsia"/>
          <w:sz w:val="30"/>
          <w:szCs w:val="30"/>
        </w:rPr>
        <w:t>30%</w:t>
      </w:r>
      <w:r>
        <w:rPr>
          <w:rFonts w:hint="eastAsia"/>
          <w:sz w:val="30"/>
          <w:szCs w:val="30"/>
        </w:rPr>
        <w:t>执行；由原告统一安排的项目，被告马生辉担当项目负责人执行的项目，提成按纯利润的</w:t>
      </w:r>
      <w:r>
        <w:rPr>
          <w:rFonts w:hint="eastAsia"/>
          <w:sz w:val="30"/>
          <w:szCs w:val="30"/>
        </w:rPr>
        <w:t>10%</w:t>
      </w:r>
      <w:r>
        <w:rPr>
          <w:rFonts w:hint="eastAsia"/>
          <w:sz w:val="30"/>
          <w:szCs w:val="30"/>
        </w:rPr>
        <w:t>执行；每个项目经营方案结束进行一次结算；付款方式由被告马生辉建议；因原告目前严重亏损，从</w:t>
      </w:r>
      <w:r>
        <w:rPr>
          <w:rFonts w:hint="eastAsia"/>
          <w:sz w:val="30"/>
          <w:szCs w:val="30"/>
        </w:rPr>
        <w:t>2006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日应付被告马生辉的工资待公司效益好转时一次付清，</w:t>
      </w:r>
      <w:r>
        <w:rPr>
          <w:rFonts w:hint="eastAsia"/>
          <w:sz w:val="30"/>
          <w:szCs w:val="30"/>
        </w:rPr>
        <w:t>2007</w:t>
      </w:r>
      <w:r>
        <w:rPr>
          <w:rFonts w:hint="eastAsia"/>
          <w:sz w:val="30"/>
          <w:szCs w:val="30"/>
        </w:rPr>
        <w:t>年</w:t>
      </w:r>
      <w:r>
        <w:rPr>
          <w:rFonts w:hint="eastAsia"/>
          <w:sz w:val="30"/>
          <w:szCs w:val="30"/>
        </w:rPr>
        <w:t>6</w:t>
      </w:r>
      <w:r>
        <w:rPr>
          <w:rFonts w:hint="eastAsia"/>
          <w:sz w:val="30"/>
          <w:szCs w:val="30"/>
        </w:rPr>
        <w:t>月止；总代表的薪酬实行佣金和业务提成办法从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月开始施行项目效益佣金和业务提成分配方案；合同期限自</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日止等。</w:t>
      </w:r>
    </w:p>
    <w:p w:rsidR="00000000" w:rsidRDefault="002A29CB">
      <w:pPr>
        <w:spacing w:line="500" w:lineRule="atLeast"/>
        <w:ind w:firstLine="600"/>
        <w:divId w:val="1483544349"/>
        <w:rPr>
          <w:rFonts w:hint="eastAsia"/>
          <w:sz w:val="30"/>
          <w:szCs w:val="30"/>
        </w:rPr>
      </w:pP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日，原告向被告马生辉发出《终止、解除劳动合同通知书》，内容涉及：</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日，原告与被告马生辉签订的自</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日止十年期限的劳动合同，由于被告马生辉的原因，原告决定解除劳动合同，根据有关规定不发给经济补偿等。同日，原告又出具了《解除劳动合同证明》，证明原告与被告马生辉之间自</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日的十年劳动合同现已解除。双方均认可自此以后，被告马生辉不再担任原告驻伊朗代表处的总代表。</w:t>
      </w:r>
    </w:p>
    <w:p w:rsidR="00000000" w:rsidRDefault="002A29CB">
      <w:pPr>
        <w:spacing w:line="500" w:lineRule="atLeast"/>
        <w:ind w:firstLine="600"/>
        <w:divId w:val="1189609945"/>
        <w:rPr>
          <w:rFonts w:hint="eastAsia"/>
          <w:sz w:val="30"/>
          <w:szCs w:val="30"/>
        </w:rPr>
      </w:pPr>
      <w:r>
        <w:rPr>
          <w:rFonts w:hint="eastAsia"/>
          <w:sz w:val="30"/>
          <w:szCs w:val="30"/>
        </w:rPr>
        <w:t>原告于</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日登记设立，自成立至今，公司的股东和章程</w:t>
      </w:r>
      <w:r>
        <w:rPr>
          <w:rFonts w:hint="eastAsia"/>
          <w:sz w:val="30"/>
          <w:szCs w:val="30"/>
        </w:rPr>
        <w:t>等曾多次进行过变更，原告自成立时至</w:t>
      </w:r>
      <w:r>
        <w:rPr>
          <w:rFonts w:hint="eastAsia"/>
          <w:sz w:val="30"/>
          <w:szCs w:val="30"/>
        </w:rPr>
        <w:t>2010</w:t>
      </w:r>
      <w:r>
        <w:rPr>
          <w:rFonts w:hint="eastAsia"/>
          <w:sz w:val="30"/>
          <w:szCs w:val="30"/>
        </w:rPr>
        <w:t>年间的章程规定，原告的股东为张建忠、李力、张亮等；公司不设董事会，仅设执行董事一人，由股东会选举产生，执行董事为公司的法定代表人；公司设经理一名，由股东会聘任，对股东会负责，行使的职权包括主持公司的生产经营管理工作，组织实施股东会决议，组织实施公司年度经营计划和投资方案，拟订公司内部管理机构设置方案，拟订公司的基本管理制度，制定公司的具体规章，聘任或者解聘公司副经理、财务负责人，聘任或者解聘应由股东会聘任或者解聘以外的负责管理人员；公司设监事一人，由股东会选举产生；</w:t>
      </w:r>
      <w:r>
        <w:rPr>
          <w:rFonts w:hint="eastAsia"/>
          <w:sz w:val="30"/>
          <w:szCs w:val="30"/>
        </w:rPr>
        <w:t>公司登记事项以公司登记机关核准的为准等。根据原告的工商登记档案记载，原告当时的法定代表人亦为张建忠，监事和经理未进行登记。</w:t>
      </w:r>
    </w:p>
    <w:p w:rsidR="00000000" w:rsidRDefault="002A29CB">
      <w:pPr>
        <w:spacing w:line="500" w:lineRule="atLeast"/>
        <w:ind w:firstLine="600"/>
        <w:divId w:val="1970895126"/>
        <w:rPr>
          <w:rFonts w:hint="eastAsia"/>
          <w:sz w:val="30"/>
          <w:szCs w:val="30"/>
        </w:rPr>
      </w:pPr>
      <w:r>
        <w:rPr>
          <w:rFonts w:hint="eastAsia"/>
          <w:sz w:val="30"/>
          <w:szCs w:val="30"/>
        </w:rPr>
        <w:t>二、关于中曼公司、陈少云等侵害原告商业秘密的事实。</w:t>
      </w:r>
    </w:p>
    <w:p w:rsidR="00000000" w:rsidRDefault="002A29CB">
      <w:pPr>
        <w:spacing w:line="500" w:lineRule="atLeast"/>
        <w:ind w:firstLine="600"/>
        <w:divId w:val="1652323255"/>
        <w:rPr>
          <w:rFonts w:hint="eastAsia"/>
          <w:sz w:val="30"/>
          <w:szCs w:val="30"/>
        </w:rPr>
      </w:pPr>
      <w:r>
        <w:rPr>
          <w:rFonts w:hint="eastAsia"/>
          <w:sz w:val="30"/>
          <w:szCs w:val="30"/>
        </w:rPr>
        <w:t>原告</w:t>
      </w:r>
      <w:r>
        <w:rPr>
          <w:rFonts w:hint="eastAsia"/>
          <w:sz w:val="30"/>
          <w:szCs w:val="30"/>
        </w:rPr>
        <w:t>(</w:t>
      </w:r>
      <w:r>
        <w:rPr>
          <w:rFonts w:hint="eastAsia"/>
          <w:sz w:val="30"/>
          <w:szCs w:val="30"/>
        </w:rPr>
        <w:t>为便于区分，在该节事实中均称为“新月公司”</w:t>
      </w:r>
      <w:r>
        <w:rPr>
          <w:rFonts w:hint="eastAsia"/>
          <w:sz w:val="30"/>
          <w:szCs w:val="30"/>
        </w:rPr>
        <w:t>)</w:t>
      </w:r>
      <w:r>
        <w:rPr>
          <w:rFonts w:hint="eastAsia"/>
          <w:sz w:val="30"/>
          <w:szCs w:val="30"/>
        </w:rPr>
        <w:t>曾以中曼公司、陈少云等侵害其商业秘密为由，向北京市第二中级人民法院</w:t>
      </w:r>
      <w:r>
        <w:rPr>
          <w:rFonts w:hint="eastAsia"/>
          <w:sz w:val="30"/>
          <w:szCs w:val="30"/>
        </w:rPr>
        <w:t>(</w:t>
      </w:r>
      <w:r>
        <w:rPr>
          <w:rFonts w:hint="eastAsia"/>
          <w:sz w:val="30"/>
          <w:szCs w:val="30"/>
        </w:rPr>
        <w:t>简称北京市二中院</w:t>
      </w:r>
      <w:r>
        <w:rPr>
          <w:rFonts w:hint="eastAsia"/>
          <w:sz w:val="30"/>
          <w:szCs w:val="30"/>
        </w:rPr>
        <w:t>)</w:t>
      </w:r>
      <w:r>
        <w:rPr>
          <w:rFonts w:hint="eastAsia"/>
          <w:sz w:val="30"/>
          <w:szCs w:val="30"/>
        </w:rPr>
        <w:t>提起诉讼，案号为</w:t>
      </w:r>
      <w:r>
        <w:rPr>
          <w:rFonts w:hint="eastAsia"/>
          <w:sz w:val="30"/>
          <w:szCs w:val="30"/>
        </w:rPr>
        <w:t>(2014)</w:t>
      </w:r>
      <w:r>
        <w:rPr>
          <w:rFonts w:hint="eastAsia"/>
          <w:sz w:val="30"/>
          <w:szCs w:val="30"/>
        </w:rPr>
        <w:t>二中民</w:t>
      </w:r>
      <w:r>
        <w:rPr>
          <w:rFonts w:hint="eastAsia"/>
          <w:sz w:val="30"/>
          <w:szCs w:val="30"/>
        </w:rPr>
        <w:t>(</w:t>
      </w:r>
      <w:r>
        <w:rPr>
          <w:rFonts w:hint="eastAsia"/>
          <w:sz w:val="30"/>
          <w:szCs w:val="30"/>
        </w:rPr>
        <w:t>知</w:t>
      </w:r>
      <w:r>
        <w:rPr>
          <w:rFonts w:hint="eastAsia"/>
          <w:sz w:val="30"/>
          <w:szCs w:val="30"/>
        </w:rPr>
        <w:t>)</w:t>
      </w:r>
      <w:r>
        <w:rPr>
          <w:rFonts w:hint="eastAsia"/>
          <w:sz w:val="30"/>
          <w:szCs w:val="30"/>
        </w:rPr>
        <w:t>初字第</w:t>
      </w:r>
      <w:r>
        <w:rPr>
          <w:rFonts w:hint="eastAsia"/>
          <w:sz w:val="30"/>
          <w:szCs w:val="30"/>
        </w:rPr>
        <w:t>07791</w:t>
      </w:r>
      <w:r>
        <w:rPr>
          <w:rFonts w:hint="eastAsia"/>
          <w:sz w:val="30"/>
          <w:szCs w:val="30"/>
        </w:rPr>
        <w:t>号。北京市二中院认为，中曼公司和陈少云等均侵害了新月公司的商业秘密，判决中曼公司、陈少云等立即停止侵害新月公司涉案商业秘密，并共同赔偿新月公司损</w:t>
      </w:r>
      <w:r>
        <w:rPr>
          <w:rFonts w:hint="eastAsia"/>
          <w:sz w:val="30"/>
          <w:szCs w:val="30"/>
        </w:rPr>
        <w:t>失</w:t>
      </w:r>
      <w:r>
        <w:rPr>
          <w:rFonts w:hint="eastAsia"/>
          <w:sz w:val="30"/>
          <w:szCs w:val="30"/>
        </w:rPr>
        <w:t>43,554,470.40</w:t>
      </w:r>
      <w:r>
        <w:rPr>
          <w:rFonts w:hint="eastAsia"/>
          <w:sz w:val="30"/>
          <w:szCs w:val="30"/>
        </w:rPr>
        <w:t>元及诉讼支出</w:t>
      </w:r>
      <w:r>
        <w:rPr>
          <w:rFonts w:hint="eastAsia"/>
          <w:sz w:val="30"/>
          <w:szCs w:val="30"/>
        </w:rPr>
        <w:t>40</w:t>
      </w:r>
      <w:r>
        <w:rPr>
          <w:rFonts w:hint="eastAsia"/>
          <w:sz w:val="30"/>
          <w:szCs w:val="30"/>
        </w:rPr>
        <w:t>万元等。</w:t>
      </w:r>
    </w:p>
    <w:p w:rsidR="00000000" w:rsidRDefault="002A29CB">
      <w:pPr>
        <w:spacing w:line="500" w:lineRule="atLeast"/>
        <w:ind w:firstLine="600"/>
        <w:divId w:val="1848055479"/>
        <w:rPr>
          <w:rFonts w:hint="eastAsia"/>
          <w:sz w:val="30"/>
          <w:szCs w:val="30"/>
        </w:rPr>
      </w:pPr>
      <w:r>
        <w:rPr>
          <w:rFonts w:hint="eastAsia"/>
          <w:sz w:val="30"/>
          <w:szCs w:val="30"/>
        </w:rPr>
        <w:t>该案判决后，中曼公司和陈少云等提起上诉，北京市高级人民法院</w:t>
      </w:r>
      <w:r>
        <w:rPr>
          <w:rFonts w:hint="eastAsia"/>
          <w:sz w:val="30"/>
          <w:szCs w:val="30"/>
        </w:rPr>
        <w:t>(</w:t>
      </w:r>
      <w:r>
        <w:rPr>
          <w:rFonts w:hint="eastAsia"/>
          <w:sz w:val="30"/>
          <w:szCs w:val="30"/>
        </w:rPr>
        <w:t>简称北京市高院</w:t>
      </w:r>
      <w:r>
        <w:rPr>
          <w:rFonts w:hint="eastAsia"/>
          <w:sz w:val="30"/>
          <w:szCs w:val="30"/>
        </w:rPr>
        <w:t>)</w:t>
      </w:r>
      <w:r>
        <w:rPr>
          <w:rFonts w:hint="eastAsia"/>
          <w:sz w:val="30"/>
          <w:szCs w:val="30"/>
        </w:rPr>
        <w:t>立案受理，案号为</w:t>
      </w:r>
      <w:r>
        <w:rPr>
          <w:rFonts w:hint="eastAsia"/>
          <w:sz w:val="30"/>
          <w:szCs w:val="30"/>
        </w:rPr>
        <w:t>(2015)</w:t>
      </w:r>
      <w:r>
        <w:rPr>
          <w:rFonts w:hint="eastAsia"/>
          <w:sz w:val="30"/>
          <w:szCs w:val="30"/>
        </w:rPr>
        <w:t>高民</w:t>
      </w:r>
      <w:r>
        <w:rPr>
          <w:rFonts w:hint="eastAsia"/>
          <w:sz w:val="30"/>
          <w:szCs w:val="30"/>
        </w:rPr>
        <w:t>(</w:t>
      </w:r>
      <w:r>
        <w:rPr>
          <w:rFonts w:hint="eastAsia"/>
          <w:sz w:val="30"/>
          <w:szCs w:val="30"/>
        </w:rPr>
        <w:t>知</w:t>
      </w:r>
      <w:r>
        <w:rPr>
          <w:rFonts w:hint="eastAsia"/>
          <w:sz w:val="30"/>
          <w:szCs w:val="30"/>
        </w:rPr>
        <w:t>)</w:t>
      </w:r>
      <w:r>
        <w:rPr>
          <w:rFonts w:hint="eastAsia"/>
          <w:sz w:val="30"/>
          <w:szCs w:val="30"/>
        </w:rPr>
        <w:t>终字第</w:t>
      </w:r>
      <w:r>
        <w:rPr>
          <w:rFonts w:hint="eastAsia"/>
          <w:sz w:val="30"/>
          <w:szCs w:val="30"/>
        </w:rPr>
        <w:t>22</w:t>
      </w:r>
      <w:r>
        <w:rPr>
          <w:rFonts w:hint="eastAsia"/>
          <w:sz w:val="30"/>
          <w:szCs w:val="30"/>
        </w:rPr>
        <w:t>号，认定以下事实：</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日，伊朗</w:t>
      </w:r>
      <w:r>
        <w:rPr>
          <w:rFonts w:hint="eastAsia"/>
          <w:sz w:val="30"/>
          <w:szCs w:val="30"/>
        </w:rPr>
        <w:t>OEOC</w:t>
      </w:r>
      <w:r>
        <w:rPr>
          <w:rFonts w:hint="eastAsia"/>
          <w:sz w:val="30"/>
          <w:szCs w:val="30"/>
        </w:rPr>
        <w:t>公司向新月公司伊朗代表处的马生辉先生发出主题为“访问中国”的函，内容涉及：在三个月卓有成效的合作及辛勤工作之后，现一支</w:t>
      </w:r>
      <w:r>
        <w:rPr>
          <w:rFonts w:hint="eastAsia"/>
          <w:sz w:val="30"/>
          <w:szCs w:val="30"/>
        </w:rPr>
        <w:t>OEOC</w:t>
      </w:r>
      <w:r>
        <w:rPr>
          <w:rFonts w:hint="eastAsia"/>
          <w:sz w:val="30"/>
          <w:szCs w:val="30"/>
        </w:rPr>
        <w:t>代表团将前往中国进行访问，对近三个月的项目继续进行整体评估；查看钻机制造工厂，就有关钻机购买进行研讨，谈判将包括费用、技术及生产时间计划安排；钻井服务整体项</w:t>
      </w:r>
      <w:r>
        <w:rPr>
          <w:rFonts w:hint="eastAsia"/>
          <w:sz w:val="30"/>
          <w:szCs w:val="30"/>
        </w:rPr>
        <w:t>目以及参观制造厂与采购谈判等。</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日，上海三高公司与伊朗</w:t>
      </w:r>
      <w:r>
        <w:rPr>
          <w:rFonts w:hint="eastAsia"/>
          <w:sz w:val="30"/>
          <w:szCs w:val="30"/>
        </w:rPr>
        <w:t>OEOC</w:t>
      </w:r>
      <w:r>
        <w:rPr>
          <w:rFonts w:hint="eastAsia"/>
          <w:sz w:val="30"/>
          <w:szCs w:val="30"/>
        </w:rPr>
        <w:t>公司签订《石油钻机销售合同》和《谅解备忘录》，并举行了合作签字仪式。同日，上海三高公司与新月公司签订《协议书》，内容涉及：新月公司利用自身与伊朗政府及其他中东国家的关系优势为上海三高公司协调与外方公司签订成套石油钻机设备和部件合同，上海三高公司同意向新月公司支付合同金额</w:t>
      </w:r>
      <w:r>
        <w:rPr>
          <w:rFonts w:hint="eastAsia"/>
          <w:sz w:val="30"/>
          <w:szCs w:val="30"/>
        </w:rPr>
        <w:t>6%</w:t>
      </w:r>
      <w:r>
        <w:rPr>
          <w:rFonts w:hint="eastAsia"/>
          <w:sz w:val="30"/>
          <w:szCs w:val="30"/>
        </w:rPr>
        <w:t>的佣金，上海三高公司需保守因履行本协议所获知的新月公司的商业秘密等。</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日，上海三高公司与伊朗</w:t>
      </w:r>
      <w:r>
        <w:rPr>
          <w:rFonts w:hint="eastAsia"/>
          <w:sz w:val="30"/>
          <w:szCs w:val="30"/>
        </w:rPr>
        <w:t>OEOC</w:t>
      </w:r>
      <w:r>
        <w:rPr>
          <w:rFonts w:hint="eastAsia"/>
          <w:sz w:val="30"/>
          <w:szCs w:val="30"/>
        </w:rPr>
        <w:t>公司签订《石油钻机销售合同》；</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日，双方又签订了《解除石油钻机销售合同的协议》，约定解除</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日和</w:t>
      </w:r>
      <w:r>
        <w:rPr>
          <w:rFonts w:hint="eastAsia"/>
          <w:sz w:val="30"/>
          <w:szCs w:val="30"/>
        </w:rPr>
        <w:t>12</w:t>
      </w:r>
      <w:r>
        <w:rPr>
          <w:rFonts w:hint="eastAsia"/>
          <w:sz w:val="30"/>
          <w:szCs w:val="30"/>
        </w:rPr>
        <w:t>月</w:t>
      </w:r>
      <w:r>
        <w:rPr>
          <w:rFonts w:hint="eastAsia"/>
          <w:sz w:val="30"/>
          <w:szCs w:val="30"/>
        </w:rPr>
        <w:t>18</w:t>
      </w:r>
      <w:r>
        <w:rPr>
          <w:rFonts w:hint="eastAsia"/>
          <w:sz w:val="30"/>
          <w:szCs w:val="30"/>
        </w:rPr>
        <w:t>日签订的两份《石油钻机销售合同》。</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日，伊朗</w:t>
      </w:r>
      <w:r>
        <w:rPr>
          <w:rFonts w:hint="eastAsia"/>
          <w:sz w:val="30"/>
          <w:szCs w:val="30"/>
        </w:rPr>
        <w:t>OEOC</w:t>
      </w:r>
      <w:r>
        <w:rPr>
          <w:rFonts w:hint="eastAsia"/>
          <w:sz w:val="30"/>
          <w:szCs w:val="30"/>
        </w:rPr>
        <w:t>公司与中曼公司签订《石油钻机销售合同》，合同总金额</w:t>
      </w:r>
      <w:r>
        <w:rPr>
          <w:rFonts w:hint="eastAsia"/>
          <w:sz w:val="30"/>
          <w:szCs w:val="30"/>
        </w:rPr>
        <w:t>6,720</w:t>
      </w:r>
      <w:r>
        <w:rPr>
          <w:rFonts w:hint="eastAsia"/>
          <w:sz w:val="30"/>
          <w:szCs w:val="30"/>
        </w:rPr>
        <w:t>万欧元，合同的格式、条款设置、涉及设备型号、数量、价格等内容与伊朗</w:t>
      </w:r>
      <w:r>
        <w:rPr>
          <w:rFonts w:hint="eastAsia"/>
          <w:sz w:val="30"/>
          <w:szCs w:val="30"/>
        </w:rPr>
        <w:t>OEOC</w:t>
      </w:r>
      <w:r>
        <w:rPr>
          <w:rFonts w:hint="eastAsia"/>
          <w:sz w:val="30"/>
          <w:szCs w:val="30"/>
        </w:rPr>
        <w:t>公司与上海三高公司签订的</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日《石油钻机销售合同》基本相同。</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日，新月公司向中曼公司和上海三高公司等发出催告函，阐明侵权事项并主张侵权赔偿。</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日，中国国际贸易仲裁</w:t>
      </w:r>
      <w:r>
        <w:rPr>
          <w:rFonts w:hint="eastAsia"/>
          <w:sz w:val="30"/>
          <w:szCs w:val="30"/>
        </w:rPr>
        <w:t>委员会就新月公司与上海三高公司之间就《协议书》产生的合同纠纷作出</w:t>
      </w:r>
      <w:r>
        <w:rPr>
          <w:rFonts w:hint="eastAsia"/>
          <w:sz w:val="30"/>
          <w:szCs w:val="30"/>
        </w:rPr>
        <w:t>[2012]</w:t>
      </w:r>
      <w:r>
        <w:rPr>
          <w:rFonts w:hint="eastAsia"/>
          <w:sz w:val="30"/>
          <w:szCs w:val="30"/>
        </w:rPr>
        <w:t>中国贸仲京裁字第</w:t>
      </w:r>
      <w:r>
        <w:rPr>
          <w:rFonts w:hint="eastAsia"/>
          <w:sz w:val="30"/>
          <w:szCs w:val="30"/>
        </w:rPr>
        <w:t>0687</w:t>
      </w:r>
      <w:r>
        <w:rPr>
          <w:rFonts w:hint="eastAsia"/>
          <w:sz w:val="30"/>
          <w:szCs w:val="30"/>
        </w:rPr>
        <w:t>号裁决，认定新月公司未能履行《协议书》约定的协助和保证义务，不应全额收取佣金，而应根据劳务合理确定佣金数额，最终裁决上海三高公司按钻机设备合同总额的</w:t>
      </w:r>
      <w:r>
        <w:rPr>
          <w:rFonts w:hint="eastAsia"/>
          <w:sz w:val="30"/>
          <w:szCs w:val="30"/>
        </w:rPr>
        <w:t>1.50%</w:t>
      </w:r>
      <w:r>
        <w:rPr>
          <w:rFonts w:hint="eastAsia"/>
          <w:sz w:val="30"/>
          <w:szCs w:val="30"/>
        </w:rPr>
        <w:t>向新月公司支付佣金，金额为</w:t>
      </w:r>
      <w:r>
        <w:rPr>
          <w:rFonts w:hint="eastAsia"/>
          <w:sz w:val="30"/>
          <w:szCs w:val="30"/>
        </w:rPr>
        <w:t>1,338,000</w:t>
      </w:r>
      <w:r>
        <w:rPr>
          <w:rFonts w:hint="eastAsia"/>
          <w:sz w:val="30"/>
          <w:szCs w:val="30"/>
        </w:rPr>
        <w:t>欧元。北京市高院经审理后认为，中曼公司和陈少云侵害了新月公司的商业秘密，但是由于新月公司与上海三高公司之间的合同纠纷经由中国国际贸易仲裁委员会裁决后，其部分合同利益已经实现，新月公司不应再获得超出其可得利益的利</w:t>
      </w:r>
      <w:r>
        <w:rPr>
          <w:rFonts w:hint="eastAsia"/>
          <w:sz w:val="30"/>
          <w:szCs w:val="30"/>
        </w:rPr>
        <w:t>益。鉴于伊朗</w:t>
      </w:r>
      <w:r>
        <w:rPr>
          <w:rFonts w:hint="eastAsia"/>
          <w:sz w:val="30"/>
          <w:szCs w:val="30"/>
        </w:rPr>
        <w:t>OEOC</w:t>
      </w:r>
      <w:r>
        <w:rPr>
          <w:rFonts w:hint="eastAsia"/>
          <w:sz w:val="30"/>
          <w:szCs w:val="30"/>
        </w:rPr>
        <w:t>公司采购需求已经实现，新月公司的相关商业秘密已经公开，新月公司主张停止侵权的法律责任没有依据。北京市高院对北京市二中院的判决予以改判，并判决：撤销北京市二中院</w:t>
      </w:r>
      <w:r>
        <w:rPr>
          <w:rFonts w:hint="eastAsia"/>
          <w:sz w:val="30"/>
          <w:szCs w:val="30"/>
        </w:rPr>
        <w:t>(2014)</w:t>
      </w:r>
      <w:r>
        <w:rPr>
          <w:rFonts w:hint="eastAsia"/>
          <w:sz w:val="30"/>
          <w:szCs w:val="30"/>
        </w:rPr>
        <w:t>二中民</w:t>
      </w:r>
      <w:r>
        <w:rPr>
          <w:rFonts w:hint="eastAsia"/>
          <w:sz w:val="30"/>
          <w:szCs w:val="30"/>
        </w:rPr>
        <w:t>(</w:t>
      </w:r>
      <w:r>
        <w:rPr>
          <w:rFonts w:hint="eastAsia"/>
          <w:sz w:val="30"/>
          <w:szCs w:val="30"/>
        </w:rPr>
        <w:t>知</w:t>
      </w:r>
      <w:r>
        <w:rPr>
          <w:rFonts w:hint="eastAsia"/>
          <w:sz w:val="30"/>
          <w:szCs w:val="30"/>
        </w:rPr>
        <w:t>)</w:t>
      </w:r>
      <w:r>
        <w:rPr>
          <w:rFonts w:hint="eastAsia"/>
          <w:sz w:val="30"/>
          <w:szCs w:val="30"/>
        </w:rPr>
        <w:t>初字第</w:t>
      </w:r>
      <w:r>
        <w:rPr>
          <w:rFonts w:hint="eastAsia"/>
          <w:sz w:val="30"/>
          <w:szCs w:val="30"/>
        </w:rPr>
        <w:t>7791</w:t>
      </w:r>
      <w:r>
        <w:rPr>
          <w:rFonts w:hint="eastAsia"/>
          <w:sz w:val="30"/>
          <w:szCs w:val="30"/>
        </w:rPr>
        <w:t>号民事判决，中曼公司和陈少云赔偿新月公司经济损失</w:t>
      </w:r>
      <w:r>
        <w:rPr>
          <w:rFonts w:hint="eastAsia"/>
          <w:sz w:val="30"/>
          <w:szCs w:val="30"/>
        </w:rPr>
        <w:t>2,256</w:t>
      </w:r>
      <w:r>
        <w:rPr>
          <w:rFonts w:hint="eastAsia"/>
          <w:sz w:val="30"/>
          <w:szCs w:val="30"/>
        </w:rPr>
        <w:t>万元及诉讼合理支出</w:t>
      </w:r>
      <w:r>
        <w:rPr>
          <w:rFonts w:hint="eastAsia"/>
          <w:sz w:val="30"/>
          <w:szCs w:val="30"/>
        </w:rPr>
        <w:t>10</w:t>
      </w:r>
      <w:r>
        <w:rPr>
          <w:rFonts w:hint="eastAsia"/>
          <w:sz w:val="30"/>
          <w:szCs w:val="30"/>
        </w:rPr>
        <w:t>万元等。中曼公司、陈少云、新月公司均不服，向最高人民法院申请再审。最高人民法院再审审查期间，陈少云提供了由本案被告马生辉出具的书面《声明书》作为证据，内容涉及：马生辉根据有关协议，为中曼公司与伊朗</w:t>
      </w:r>
      <w:r>
        <w:rPr>
          <w:rFonts w:hint="eastAsia"/>
          <w:sz w:val="30"/>
          <w:szCs w:val="30"/>
        </w:rPr>
        <w:t>OEOC</w:t>
      </w:r>
      <w:r>
        <w:rPr>
          <w:rFonts w:hint="eastAsia"/>
          <w:sz w:val="30"/>
          <w:szCs w:val="30"/>
        </w:rPr>
        <w:t>公司的合作提</w:t>
      </w:r>
      <w:r>
        <w:rPr>
          <w:rFonts w:hint="eastAsia"/>
          <w:sz w:val="30"/>
          <w:szCs w:val="30"/>
        </w:rPr>
        <w:t>供服务，并收取了中曼公司支付的佣金；马生辉提供《代理协议书》、《补充协议书》复印件。此后，最高人民法院作出</w:t>
      </w:r>
      <w:r>
        <w:rPr>
          <w:rFonts w:hint="eastAsia"/>
          <w:sz w:val="30"/>
          <w:szCs w:val="30"/>
        </w:rPr>
        <w:t>(2015)</w:t>
      </w:r>
      <w:r>
        <w:rPr>
          <w:rFonts w:hint="eastAsia"/>
          <w:sz w:val="30"/>
          <w:szCs w:val="30"/>
        </w:rPr>
        <w:t>民申字第</w:t>
      </w:r>
      <w:r>
        <w:rPr>
          <w:rFonts w:hint="eastAsia"/>
          <w:sz w:val="30"/>
          <w:szCs w:val="30"/>
        </w:rPr>
        <w:t>1518</w:t>
      </w:r>
      <w:r>
        <w:rPr>
          <w:rFonts w:hint="eastAsia"/>
          <w:sz w:val="30"/>
          <w:szCs w:val="30"/>
        </w:rPr>
        <w:t>号民事裁定，认为陈少云在再审申请阶段提交的新证据证明中曼公司还存在利用其便利与新月公司的前雇员联络的行为；北京市高院二审判决认定的事实和适用法律并无不当，最终驳回中曼公司、陈少云、新月公司的再审申请。</w:t>
      </w:r>
    </w:p>
    <w:p w:rsidR="00000000" w:rsidRDefault="002A29CB">
      <w:pPr>
        <w:spacing w:line="500" w:lineRule="atLeast"/>
        <w:ind w:firstLine="600"/>
        <w:divId w:val="98527122"/>
        <w:rPr>
          <w:rFonts w:hint="eastAsia"/>
          <w:sz w:val="30"/>
          <w:szCs w:val="30"/>
        </w:rPr>
      </w:pPr>
      <w:r>
        <w:rPr>
          <w:rFonts w:hint="eastAsia"/>
          <w:sz w:val="30"/>
          <w:szCs w:val="30"/>
        </w:rPr>
        <w:t>三、关于两被告与中曼公司的合同关系及从中曼公司收取款项的情况。</w:t>
      </w:r>
    </w:p>
    <w:p w:rsidR="00000000" w:rsidRDefault="002A29CB">
      <w:pPr>
        <w:spacing w:line="500" w:lineRule="atLeast"/>
        <w:ind w:firstLine="600"/>
        <w:divId w:val="38021770"/>
        <w:rPr>
          <w:rFonts w:hint="eastAsia"/>
          <w:sz w:val="30"/>
          <w:szCs w:val="30"/>
        </w:rPr>
      </w:pPr>
      <w:r>
        <w:rPr>
          <w:rFonts w:hint="eastAsia"/>
          <w:sz w:val="30"/>
          <w:szCs w:val="30"/>
        </w:rPr>
        <w:t>根据最高人民法院再审审查期间陈少云提供的证据</w:t>
      </w:r>
      <w:r>
        <w:rPr>
          <w:rFonts w:hint="eastAsia"/>
          <w:sz w:val="30"/>
          <w:szCs w:val="30"/>
        </w:rPr>
        <w:t>(</w:t>
      </w:r>
      <w:r>
        <w:rPr>
          <w:rFonts w:hint="eastAsia"/>
          <w:sz w:val="30"/>
          <w:szCs w:val="30"/>
        </w:rPr>
        <w:t>由本案被告马生辉配合提交</w:t>
      </w:r>
      <w:r>
        <w:rPr>
          <w:rFonts w:hint="eastAsia"/>
          <w:sz w:val="30"/>
          <w:szCs w:val="30"/>
        </w:rPr>
        <w:t>)</w:t>
      </w:r>
      <w:r>
        <w:rPr>
          <w:rFonts w:hint="eastAsia"/>
          <w:sz w:val="30"/>
          <w:szCs w:val="30"/>
        </w:rPr>
        <w:t>显示：</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日，被告马生辉作为乙方，案外人中曼公司作为甲方签订了《代理协议书》，内容涉及：甲方委托乙方作为其代理，以便在伊朗伊斯兰共和国获得相应的订单，代理期限自</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日；凡经乙方的渠道获得信息或虽通过其他渠道获得信息但由乙方跟踪而与甲方签订销售合同的</w:t>
      </w:r>
      <w:r>
        <w:rPr>
          <w:rFonts w:hint="eastAsia"/>
          <w:sz w:val="30"/>
          <w:szCs w:val="30"/>
        </w:rPr>
        <w:t>(</w:t>
      </w:r>
      <w:r>
        <w:rPr>
          <w:rFonts w:hint="eastAsia"/>
          <w:sz w:val="30"/>
          <w:szCs w:val="30"/>
        </w:rPr>
        <w:t>包括甲方与伊朗</w:t>
      </w:r>
      <w:r>
        <w:rPr>
          <w:rFonts w:hint="eastAsia"/>
          <w:sz w:val="30"/>
          <w:szCs w:val="30"/>
        </w:rPr>
        <w:t>OEOC</w:t>
      </w:r>
      <w:r>
        <w:rPr>
          <w:rFonts w:hint="eastAsia"/>
          <w:sz w:val="30"/>
          <w:szCs w:val="30"/>
        </w:rPr>
        <w:t>公司的合作</w:t>
      </w:r>
      <w:r>
        <w:rPr>
          <w:rFonts w:hint="eastAsia"/>
          <w:sz w:val="30"/>
          <w:szCs w:val="30"/>
        </w:rPr>
        <w:t>)</w:t>
      </w:r>
      <w:r>
        <w:rPr>
          <w:rFonts w:hint="eastAsia"/>
          <w:sz w:val="30"/>
          <w:szCs w:val="30"/>
        </w:rPr>
        <w:t>，甲方将按合同销售价的</w:t>
      </w:r>
      <w:r>
        <w:rPr>
          <w:rFonts w:hint="eastAsia"/>
          <w:sz w:val="30"/>
          <w:szCs w:val="30"/>
        </w:rPr>
        <w:t>2.60%</w:t>
      </w:r>
      <w:r>
        <w:rPr>
          <w:rFonts w:hint="eastAsia"/>
          <w:sz w:val="30"/>
          <w:szCs w:val="30"/>
        </w:rPr>
        <w:t>向乙方支付佣金</w:t>
      </w:r>
      <w:r>
        <w:rPr>
          <w:rFonts w:hint="eastAsia"/>
          <w:sz w:val="30"/>
          <w:szCs w:val="30"/>
        </w:rPr>
        <w:t>(</w:t>
      </w:r>
      <w:r>
        <w:rPr>
          <w:rFonts w:hint="eastAsia"/>
          <w:sz w:val="30"/>
          <w:szCs w:val="30"/>
        </w:rPr>
        <w:t>税前</w:t>
      </w:r>
      <w:r>
        <w:rPr>
          <w:rFonts w:hint="eastAsia"/>
          <w:sz w:val="30"/>
          <w:szCs w:val="30"/>
        </w:rPr>
        <w:t>)</w:t>
      </w:r>
      <w:r>
        <w:rPr>
          <w:rFonts w:hint="eastAsia"/>
          <w:sz w:val="30"/>
          <w:szCs w:val="30"/>
        </w:rPr>
        <w:t>；乙方本人投资注册的公司成立后，本合同项下的权利义务转</w:t>
      </w:r>
      <w:r>
        <w:rPr>
          <w:rFonts w:hint="eastAsia"/>
          <w:sz w:val="30"/>
          <w:szCs w:val="30"/>
        </w:rPr>
        <w:t>移至该公司，由该公司向甲方出具发票，甲方将佣金支付给该公司，但付款前三方应当签订补充协议等。</w:t>
      </w:r>
    </w:p>
    <w:p w:rsidR="00000000" w:rsidRDefault="002A29CB">
      <w:pPr>
        <w:spacing w:line="500" w:lineRule="atLeast"/>
        <w:ind w:firstLine="600"/>
        <w:divId w:val="160894664"/>
        <w:rPr>
          <w:rFonts w:hint="eastAsia"/>
          <w:sz w:val="30"/>
          <w:szCs w:val="30"/>
        </w:rPr>
      </w:pPr>
      <w:r>
        <w:rPr>
          <w:rFonts w:hint="eastAsia"/>
          <w:sz w:val="30"/>
          <w:szCs w:val="30"/>
        </w:rPr>
        <w:t>被告萍辉公司系</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日登记设立的一人有限责任公司，股东为被告马生辉，公司原名为“上海霖辉贸易有限公司”，</w:t>
      </w:r>
      <w:r>
        <w:rPr>
          <w:rFonts w:hint="eastAsia"/>
          <w:sz w:val="30"/>
          <w:szCs w:val="30"/>
        </w:rPr>
        <w:t>2013</w:t>
      </w:r>
      <w:r>
        <w:rPr>
          <w:rFonts w:hint="eastAsia"/>
          <w:sz w:val="30"/>
          <w:szCs w:val="30"/>
        </w:rPr>
        <w:t>年</w:t>
      </w:r>
      <w:r>
        <w:rPr>
          <w:rFonts w:hint="eastAsia"/>
          <w:sz w:val="30"/>
          <w:szCs w:val="30"/>
        </w:rPr>
        <w:t>2</w:t>
      </w:r>
      <w:r>
        <w:rPr>
          <w:rFonts w:hint="eastAsia"/>
          <w:sz w:val="30"/>
          <w:szCs w:val="30"/>
        </w:rPr>
        <w:t>月经核准后变更为现名</w:t>
      </w:r>
      <w:r>
        <w:rPr>
          <w:rFonts w:hint="eastAsia"/>
          <w:sz w:val="30"/>
          <w:szCs w:val="30"/>
        </w:rPr>
        <w:t>(</w:t>
      </w:r>
      <w:r>
        <w:rPr>
          <w:rFonts w:hint="eastAsia"/>
          <w:sz w:val="30"/>
          <w:szCs w:val="30"/>
        </w:rPr>
        <w:t>为表述方便，以下均使用现名</w:t>
      </w:r>
      <w:r>
        <w:rPr>
          <w:rFonts w:hint="eastAsia"/>
          <w:sz w:val="30"/>
          <w:szCs w:val="30"/>
        </w:rPr>
        <w:t>)</w:t>
      </w:r>
      <w:r>
        <w:rPr>
          <w:rFonts w:hint="eastAsia"/>
          <w:sz w:val="30"/>
          <w:szCs w:val="30"/>
        </w:rPr>
        <w:t>。</w:t>
      </w:r>
    </w:p>
    <w:p w:rsidR="00000000" w:rsidRDefault="002A29CB">
      <w:pPr>
        <w:spacing w:line="500" w:lineRule="atLeast"/>
        <w:ind w:firstLine="600"/>
        <w:divId w:val="561065328"/>
        <w:rPr>
          <w:rFonts w:hint="eastAsia"/>
          <w:sz w:val="30"/>
          <w:szCs w:val="30"/>
        </w:rPr>
      </w:pPr>
      <w:r>
        <w:rPr>
          <w:rFonts w:hint="eastAsia"/>
          <w:sz w:val="30"/>
          <w:szCs w:val="30"/>
        </w:rPr>
        <w:t>被告萍辉公司设立后，中曼公司作为甲方，被告马生辉作为乙方，被告萍辉公司作为丙方签订了《补充协议书》，内容涉及：根据甲乙双方在</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日签订的《代理协议书》之约定，三方达成补充协议；自</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日起，甲乙双方于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日签订的《代理协议书》中乙方项下的全部权利义务转移至丙方，自签字盖章之日起生效。</w:t>
      </w:r>
    </w:p>
    <w:p w:rsidR="00000000" w:rsidRDefault="002A29CB">
      <w:pPr>
        <w:spacing w:line="500" w:lineRule="atLeast"/>
        <w:ind w:firstLine="600"/>
        <w:divId w:val="677392523"/>
        <w:rPr>
          <w:rFonts w:hint="eastAsia"/>
          <w:sz w:val="30"/>
          <w:szCs w:val="30"/>
        </w:rPr>
      </w:pPr>
      <w:r>
        <w:rPr>
          <w:rFonts w:hint="eastAsia"/>
          <w:sz w:val="30"/>
          <w:szCs w:val="30"/>
        </w:rPr>
        <w:t>2008</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月期间，中曼公司共向被告萍辉公司支付了</w:t>
      </w:r>
      <w:r>
        <w:rPr>
          <w:rFonts w:hint="eastAsia"/>
          <w:sz w:val="30"/>
          <w:szCs w:val="30"/>
        </w:rPr>
        <w:t>1,450</w:t>
      </w:r>
      <w:r>
        <w:rPr>
          <w:rFonts w:hint="eastAsia"/>
          <w:sz w:val="30"/>
          <w:szCs w:val="30"/>
        </w:rPr>
        <w:t>万元。其中中曼公司</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日的付款</w:t>
      </w:r>
      <w:r>
        <w:rPr>
          <w:rFonts w:hint="eastAsia"/>
          <w:sz w:val="30"/>
          <w:szCs w:val="30"/>
        </w:rPr>
        <w:t>100</w:t>
      </w:r>
      <w:r>
        <w:rPr>
          <w:rFonts w:hint="eastAsia"/>
          <w:sz w:val="30"/>
          <w:szCs w:val="30"/>
        </w:rPr>
        <w:t>万元的审批单中注明“支付</w:t>
      </w:r>
      <w:r>
        <w:rPr>
          <w:rFonts w:hint="eastAsia"/>
          <w:sz w:val="30"/>
          <w:szCs w:val="30"/>
        </w:rPr>
        <w:t>OEOC</w:t>
      </w:r>
      <w:r>
        <w:rPr>
          <w:rFonts w:hint="eastAsia"/>
          <w:sz w:val="30"/>
          <w:szCs w:val="30"/>
        </w:rPr>
        <w:t>项目代理费用”。</w:t>
      </w:r>
    </w:p>
    <w:p w:rsidR="00000000" w:rsidRDefault="002A29CB">
      <w:pPr>
        <w:spacing w:line="500" w:lineRule="atLeast"/>
        <w:ind w:firstLine="600"/>
        <w:divId w:val="1238786304"/>
        <w:rPr>
          <w:rFonts w:hint="eastAsia"/>
          <w:sz w:val="30"/>
          <w:szCs w:val="30"/>
        </w:rPr>
      </w:pPr>
      <w:r>
        <w:rPr>
          <w:rFonts w:hint="eastAsia"/>
          <w:sz w:val="30"/>
          <w:szCs w:val="30"/>
        </w:rPr>
        <w:t>另外，在本案起诉状、庭前会议及法庭审理中，原告均表示其系依据公司法有关“归入权”的规定来主张本案权利。</w:t>
      </w:r>
    </w:p>
    <w:p w:rsidR="00000000" w:rsidRDefault="002A29CB">
      <w:pPr>
        <w:spacing w:line="500" w:lineRule="atLeast"/>
        <w:ind w:firstLine="600"/>
        <w:divId w:val="1764181470"/>
        <w:rPr>
          <w:rFonts w:hint="eastAsia"/>
          <w:sz w:val="30"/>
          <w:szCs w:val="30"/>
        </w:rPr>
      </w:pPr>
      <w:r>
        <w:rPr>
          <w:rFonts w:hint="eastAsia"/>
          <w:sz w:val="30"/>
          <w:szCs w:val="30"/>
        </w:rPr>
        <w:t>以上事实由原告提供的《名称变更通知》、</w:t>
      </w:r>
      <w:r>
        <w:rPr>
          <w:rFonts w:hint="eastAsia"/>
          <w:sz w:val="30"/>
          <w:szCs w:val="30"/>
        </w:rPr>
        <w:t>(2014)</w:t>
      </w:r>
      <w:r>
        <w:rPr>
          <w:rFonts w:hint="eastAsia"/>
          <w:sz w:val="30"/>
          <w:szCs w:val="30"/>
        </w:rPr>
        <w:t>二中民</w:t>
      </w:r>
      <w:r>
        <w:rPr>
          <w:rFonts w:hint="eastAsia"/>
          <w:sz w:val="30"/>
          <w:szCs w:val="30"/>
        </w:rPr>
        <w:t>(</w:t>
      </w:r>
      <w:r>
        <w:rPr>
          <w:rFonts w:hint="eastAsia"/>
          <w:sz w:val="30"/>
          <w:szCs w:val="30"/>
        </w:rPr>
        <w:t>知</w:t>
      </w:r>
      <w:r>
        <w:rPr>
          <w:rFonts w:hint="eastAsia"/>
          <w:sz w:val="30"/>
          <w:szCs w:val="30"/>
        </w:rPr>
        <w:t>)</w:t>
      </w:r>
      <w:r>
        <w:rPr>
          <w:rFonts w:hint="eastAsia"/>
          <w:sz w:val="30"/>
          <w:szCs w:val="30"/>
        </w:rPr>
        <w:t>初字第</w:t>
      </w:r>
      <w:r>
        <w:rPr>
          <w:rFonts w:hint="eastAsia"/>
          <w:sz w:val="30"/>
          <w:szCs w:val="30"/>
        </w:rPr>
        <w:t>07791</w:t>
      </w:r>
      <w:r>
        <w:rPr>
          <w:rFonts w:hint="eastAsia"/>
          <w:sz w:val="30"/>
          <w:szCs w:val="30"/>
        </w:rPr>
        <w:t>号民事判决书、</w:t>
      </w:r>
      <w:r>
        <w:rPr>
          <w:rFonts w:hint="eastAsia"/>
          <w:sz w:val="30"/>
          <w:szCs w:val="30"/>
        </w:rPr>
        <w:t>(2015)</w:t>
      </w:r>
      <w:r>
        <w:rPr>
          <w:rFonts w:hint="eastAsia"/>
          <w:sz w:val="30"/>
          <w:szCs w:val="30"/>
        </w:rPr>
        <w:t>高民</w:t>
      </w:r>
      <w:r>
        <w:rPr>
          <w:rFonts w:hint="eastAsia"/>
          <w:sz w:val="30"/>
          <w:szCs w:val="30"/>
        </w:rPr>
        <w:t>(</w:t>
      </w:r>
      <w:r>
        <w:rPr>
          <w:rFonts w:hint="eastAsia"/>
          <w:sz w:val="30"/>
          <w:szCs w:val="30"/>
        </w:rPr>
        <w:t>知</w:t>
      </w:r>
      <w:r>
        <w:rPr>
          <w:rFonts w:hint="eastAsia"/>
          <w:sz w:val="30"/>
          <w:szCs w:val="30"/>
        </w:rPr>
        <w:t>)</w:t>
      </w:r>
      <w:r>
        <w:rPr>
          <w:rFonts w:hint="eastAsia"/>
          <w:sz w:val="30"/>
          <w:szCs w:val="30"/>
        </w:rPr>
        <w:t>终字第</w:t>
      </w:r>
      <w:r>
        <w:rPr>
          <w:rFonts w:hint="eastAsia"/>
          <w:sz w:val="30"/>
          <w:szCs w:val="30"/>
        </w:rPr>
        <w:t>22</w:t>
      </w:r>
      <w:r>
        <w:rPr>
          <w:rFonts w:hint="eastAsia"/>
          <w:sz w:val="30"/>
          <w:szCs w:val="30"/>
        </w:rPr>
        <w:t>号民事判决书、</w:t>
      </w:r>
      <w:r>
        <w:rPr>
          <w:rFonts w:hint="eastAsia"/>
          <w:sz w:val="30"/>
          <w:szCs w:val="30"/>
        </w:rPr>
        <w:t>(20</w:t>
      </w:r>
      <w:r>
        <w:rPr>
          <w:rFonts w:hint="eastAsia"/>
          <w:sz w:val="30"/>
          <w:szCs w:val="30"/>
        </w:rPr>
        <w:t>15)</w:t>
      </w:r>
      <w:r>
        <w:rPr>
          <w:rFonts w:hint="eastAsia"/>
          <w:sz w:val="30"/>
          <w:szCs w:val="30"/>
        </w:rPr>
        <w:t>民申字第</w:t>
      </w:r>
      <w:r>
        <w:rPr>
          <w:rFonts w:hint="eastAsia"/>
          <w:sz w:val="30"/>
          <w:szCs w:val="30"/>
        </w:rPr>
        <w:t>1518</w:t>
      </w:r>
      <w:r>
        <w:rPr>
          <w:rFonts w:hint="eastAsia"/>
          <w:sz w:val="30"/>
          <w:szCs w:val="30"/>
        </w:rPr>
        <w:t>号民事裁定书及该案补充证据材料，被告马生辉提供的《合作协议》、《终止、解除劳动合同通知书》、《解除劳动合同证明》、从北京市工商行政管理局调取的原告工商档案资料，以及本案庭审记录等予以佐证。</w:t>
      </w:r>
    </w:p>
    <w:p w:rsidR="00000000" w:rsidRDefault="002A29CB">
      <w:pPr>
        <w:spacing w:line="500" w:lineRule="atLeast"/>
        <w:ind w:firstLine="600"/>
        <w:divId w:val="1746956919"/>
        <w:rPr>
          <w:rFonts w:hint="eastAsia"/>
          <w:sz w:val="30"/>
          <w:szCs w:val="30"/>
        </w:rPr>
      </w:pPr>
      <w:r>
        <w:rPr>
          <w:rFonts w:hint="eastAsia"/>
          <w:sz w:val="30"/>
          <w:szCs w:val="30"/>
        </w:rPr>
        <w:t>本院认为，本案系一起损害公司利益责任纠纷，应当适用《中华人民共和国公司法》等法律法规处理本案争议。根据法律规定，当事人对自己提出的诉讼请求所依据的事实有责任提供证据加以证明。没有证据或者证据不足以证明当事人的事实主张的，由负有举证责任的当事人承担不利后果。由于原告明确以“归入权”作为其提起本案诉讼的</w:t>
      </w:r>
      <w:r>
        <w:rPr>
          <w:rFonts w:hint="eastAsia"/>
          <w:sz w:val="30"/>
          <w:szCs w:val="30"/>
        </w:rPr>
        <w:t>请求权基础，原告应对与其请求权基础有关的事实承担举证责任。本院认为，本案的争议焦点在于：第一，被告马生辉是否属于原告的高级管理人员；第二，原告主张归入权是否合理。分述如下：</w:t>
      </w:r>
    </w:p>
    <w:p w:rsidR="00000000" w:rsidRDefault="002A29CB">
      <w:pPr>
        <w:spacing w:line="500" w:lineRule="atLeast"/>
        <w:ind w:firstLine="600"/>
        <w:divId w:val="1834908997"/>
        <w:rPr>
          <w:rFonts w:hint="eastAsia"/>
          <w:sz w:val="30"/>
          <w:szCs w:val="30"/>
        </w:rPr>
      </w:pPr>
      <w:r>
        <w:rPr>
          <w:rFonts w:hint="eastAsia"/>
          <w:sz w:val="30"/>
          <w:szCs w:val="30"/>
        </w:rPr>
        <w:t>第一，被告马生辉是否属于原告的高级管理人员。</w:t>
      </w:r>
    </w:p>
    <w:p w:rsidR="00000000" w:rsidRDefault="002A29CB">
      <w:pPr>
        <w:spacing w:line="500" w:lineRule="atLeast"/>
        <w:ind w:firstLine="600"/>
        <w:divId w:val="1675111494"/>
        <w:rPr>
          <w:rFonts w:hint="eastAsia"/>
          <w:sz w:val="30"/>
          <w:szCs w:val="30"/>
        </w:rPr>
      </w:pPr>
      <w:r>
        <w:rPr>
          <w:rFonts w:hint="eastAsia"/>
          <w:sz w:val="30"/>
          <w:szCs w:val="30"/>
        </w:rPr>
        <w:t>我国公司法第</w:t>
      </w:r>
      <w:r>
        <w:rPr>
          <w:rFonts w:hint="eastAsia"/>
          <w:sz w:val="30"/>
          <w:szCs w:val="30"/>
        </w:rPr>
        <w:t>147</w:t>
      </w:r>
      <w:r>
        <w:rPr>
          <w:rFonts w:hint="eastAsia"/>
          <w:sz w:val="30"/>
          <w:szCs w:val="30"/>
        </w:rPr>
        <w:t>条第</w:t>
      </w:r>
      <w:r>
        <w:rPr>
          <w:rFonts w:hint="eastAsia"/>
          <w:sz w:val="30"/>
          <w:szCs w:val="30"/>
        </w:rPr>
        <w:t>1</w:t>
      </w:r>
      <w:r>
        <w:rPr>
          <w:rFonts w:hint="eastAsia"/>
          <w:sz w:val="30"/>
          <w:szCs w:val="30"/>
        </w:rPr>
        <w:t>款规定“董事、监事、高级管理人员应当遵守法律、行政法规和公司章程，对公司负有忠实义务和勤勉义务”。公司法第</w:t>
      </w:r>
      <w:r>
        <w:rPr>
          <w:rFonts w:hint="eastAsia"/>
          <w:sz w:val="30"/>
          <w:szCs w:val="30"/>
        </w:rPr>
        <w:t>148</w:t>
      </w:r>
      <w:r>
        <w:rPr>
          <w:rFonts w:hint="eastAsia"/>
          <w:sz w:val="30"/>
          <w:szCs w:val="30"/>
        </w:rPr>
        <w:t>条规定，董事、高级管理人员未经股东会或者股东大会同意，利用职务便利为自己或者他人谋取属于公司的商业机会，自营或者为他人经营与所任职公司同类的业务，所得的收入</w:t>
      </w:r>
      <w:r>
        <w:rPr>
          <w:rFonts w:hint="eastAsia"/>
          <w:sz w:val="30"/>
          <w:szCs w:val="30"/>
        </w:rPr>
        <w:t>应当归公司所有等。公司法第</w:t>
      </w:r>
      <w:r>
        <w:rPr>
          <w:rFonts w:hint="eastAsia"/>
          <w:sz w:val="30"/>
          <w:szCs w:val="30"/>
        </w:rPr>
        <w:t>216</w:t>
      </w:r>
      <w:r>
        <w:rPr>
          <w:rFonts w:hint="eastAsia"/>
          <w:sz w:val="30"/>
          <w:szCs w:val="30"/>
        </w:rPr>
        <w:t>条规定，“高级管理人员”的含义是指公司的经理、副经理、财务负责人，上市公司董事会秘书和公司章程规定的其他人员。可见，公司法主要是通过“职位”或者“职务”来界定公司高管的范围。根据本案查明的事实，被告马生辉并非原告公司股东、董事、监事，原告与被告马生辉也均确认被告马生辉并不具有公司法或原告公司章程规定的高级管理人员职位或职务。因此，从公司法或公司章程规定的职务角度来看，被告马生辉并非原告的高级管理人员。但是，由于商事主体在市场经营过程中，可能会出现“高管职权”与“高管职务”错位</w:t>
      </w:r>
      <w:r>
        <w:rPr>
          <w:rFonts w:hint="eastAsia"/>
          <w:sz w:val="30"/>
          <w:szCs w:val="30"/>
        </w:rPr>
        <w:t>的情况，因此，还需审查被告马生辉是否实际行使了原告公司高管的职权。原告主张被告马生辉实际是公司经理，并行使了高管职权，对此原告应当承担举证责任。原告的章程规定“经理由股东会聘任，对股东会负责，行使的职权包括主持公司的生产经营管理工作，组织实施股东会决议，组织实施公司年度经营计划和投资方案，拟订公司内部管理机构设置方案，拟订公司的基本管理制度，制定公司的具体规章，聘任或者解聘公司副经理、财务负责人，聘任或者解聘应由股东会聘任或者解聘以外的负责管理人员”，而从现有证据来看，被告马生辉仅仅是“驻伊朗代表处”的总代</w:t>
      </w:r>
      <w:r>
        <w:rPr>
          <w:rFonts w:hint="eastAsia"/>
          <w:sz w:val="30"/>
          <w:szCs w:val="30"/>
        </w:rPr>
        <w:t>表、经理，无任何证据证明被告马生辉曾经行使过上述原告公司经理的职权。根据双方《合作协议》的约定，被告马生辉应履行本职工作，尽职尽责认真完成原告交办的工作，协调与伊朗各部门的友谊和业务事宜，促使合作项目顺利进行，并在开展业务过程中及时向北京总部汇报工作。从上述协议来看，被告马生辉只是负责伊朗代表处具体工作事务的执行，对公司事务没有管理职权或决定权，且其负责的伊朗代表处的有关工作还需向北京总部汇报。按照约定，被告马生辉只是原告一个派出机构的负责人，享有按约定收取提成款的权利。因此，被告马生辉既不具有原告高级管理</w:t>
      </w:r>
      <w:r>
        <w:rPr>
          <w:rFonts w:hint="eastAsia"/>
          <w:sz w:val="30"/>
          <w:szCs w:val="30"/>
        </w:rPr>
        <w:t>人员的职位，也未行使过原告高级管理人员的职权，不属于法律和章程规定的公司高级管理人员，也不属于法律规定的“归入权”义务主体。原告以归入权为请求权基础提起的诉讼请求，本院难以支持。</w:t>
      </w:r>
    </w:p>
    <w:p w:rsidR="00000000" w:rsidRDefault="002A29CB">
      <w:pPr>
        <w:spacing w:line="500" w:lineRule="atLeast"/>
        <w:ind w:firstLine="600"/>
        <w:divId w:val="54788829"/>
        <w:rPr>
          <w:rFonts w:hint="eastAsia"/>
          <w:sz w:val="30"/>
          <w:szCs w:val="30"/>
        </w:rPr>
      </w:pPr>
      <w:r>
        <w:rPr>
          <w:rFonts w:hint="eastAsia"/>
          <w:sz w:val="30"/>
          <w:szCs w:val="30"/>
        </w:rPr>
        <w:t>第二，原告主张行使归入权是否合理。</w:t>
      </w:r>
    </w:p>
    <w:p w:rsidR="00000000" w:rsidRDefault="002A29CB">
      <w:pPr>
        <w:spacing w:line="500" w:lineRule="atLeast"/>
        <w:ind w:firstLine="600"/>
        <w:divId w:val="1455322930"/>
        <w:rPr>
          <w:rFonts w:hint="eastAsia"/>
          <w:sz w:val="30"/>
          <w:szCs w:val="30"/>
        </w:rPr>
      </w:pPr>
      <w:r>
        <w:rPr>
          <w:rFonts w:hint="eastAsia"/>
          <w:sz w:val="30"/>
          <w:szCs w:val="30"/>
        </w:rPr>
        <w:t>“归入权”就其基础性质而言，也属于侵权损害赔偿。尽管最高人民法院在</w:t>
      </w:r>
      <w:r>
        <w:rPr>
          <w:rFonts w:hint="eastAsia"/>
          <w:sz w:val="30"/>
          <w:szCs w:val="30"/>
        </w:rPr>
        <w:t>(2015)</w:t>
      </w:r>
      <w:r>
        <w:rPr>
          <w:rFonts w:hint="eastAsia"/>
          <w:sz w:val="30"/>
          <w:szCs w:val="30"/>
        </w:rPr>
        <w:t>民申字第</w:t>
      </w:r>
      <w:r>
        <w:rPr>
          <w:rFonts w:hint="eastAsia"/>
          <w:sz w:val="30"/>
          <w:szCs w:val="30"/>
        </w:rPr>
        <w:t>1518</w:t>
      </w:r>
      <w:r>
        <w:rPr>
          <w:rFonts w:hint="eastAsia"/>
          <w:sz w:val="30"/>
          <w:szCs w:val="30"/>
        </w:rPr>
        <w:t>号民事裁定中认为中曼公司还存在利用其便利与新月公司的前雇员联络的行为，但认为北京市高院的判决并无不当。原告在与中曼公司和陈少云以及上海三高公司的诉讼和仲裁过程中，已经通过诉讼和仲裁获得了相应的赔偿，且在</w:t>
      </w:r>
      <w:r>
        <w:rPr>
          <w:rFonts w:hint="eastAsia"/>
          <w:sz w:val="30"/>
          <w:szCs w:val="30"/>
        </w:rPr>
        <w:t>原告诉中曼公司和陈少云侵害其商业秘密的案件中，北京市高院在二审文书中对于损失的金额特意进行了调减，并进行了充分的论证，认为原告的损失已经完全可以得到弥补，本院在此不再赘述。现上述案件已经执行完毕，款项全部执行到位。如果原告主张对于本案系争的</w:t>
      </w:r>
      <w:r>
        <w:rPr>
          <w:rFonts w:hint="eastAsia"/>
          <w:sz w:val="30"/>
          <w:szCs w:val="30"/>
        </w:rPr>
        <w:t>1,450</w:t>
      </w:r>
      <w:r>
        <w:rPr>
          <w:rFonts w:hint="eastAsia"/>
          <w:sz w:val="30"/>
          <w:szCs w:val="30"/>
        </w:rPr>
        <w:t>万元行使归入权，将会导致其获得远远超过因合同履行而获得的预期利益。因此，本院认为原告主张行使归入权也不具有合理性。</w:t>
      </w:r>
    </w:p>
    <w:p w:rsidR="00000000" w:rsidRDefault="002A29CB">
      <w:pPr>
        <w:spacing w:line="500" w:lineRule="atLeast"/>
        <w:ind w:firstLine="600"/>
        <w:divId w:val="1859002113"/>
        <w:rPr>
          <w:rFonts w:hint="eastAsia"/>
          <w:sz w:val="30"/>
          <w:szCs w:val="30"/>
        </w:rPr>
      </w:pPr>
      <w:r>
        <w:rPr>
          <w:rFonts w:hint="eastAsia"/>
          <w:sz w:val="30"/>
          <w:szCs w:val="30"/>
        </w:rPr>
        <w:t>据此，依据《中华人民共和国公司法》第二百一十六条第</w:t>
      </w:r>
      <w:r>
        <w:rPr>
          <w:rFonts w:hint="eastAsia"/>
          <w:sz w:val="30"/>
          <w:szCs w:val="30"/>
        </w:rPr>
        <w:t>(</w:t>
      </w:r>
      <w:r>
        <w:rPr>
          <w:rFonts w:hint="eastAsia"/>
          <w:sz w:val="30"/>
          <w:szCs w:val="30"/>
        </w:rPr>
        <w:t>一</w:t>
      </w:r>
      <w:r>
        <w:rPr>
          <w:rFonts w:hint="eastAsia"/>
          <w:sz w:val="30"/>
          <w:szCs w:val="30"/>
        </w:rPr>
        <w:t>)</w:t>
      </w:r>
      <w:r>
        <w:rPr>
          <w:rFonts w:hint="eastAsia"/>
          <w:sz w:val="30"/>
          <w:szCs w:val="30"/>
        </w:rPr>
        <w:t>项、《中华人民共和国民事诉讼法》第六十四条第一款、《最高人民法院关于民事诉讼证据的若干规定</w:t>
      </w:r>
      <w:r>
        <w:rPr>
          <w:rFonts w:hint="eastAsia"/>
          <w:sz w:val="30"/>
          <w:szCs w:val="30"/>
        </w:rPr>
        <w:t>》第二条之规定，判决如下：</w:t>
      </w:r>
    </w:p>
    <w:p w:rsidR="00000000" w:rsidRDefault="002A29CB">
      <w:pPr>
        <w:spacing w:line="500" w:lineRule="atLeast"/>
        <w:ind w:firstLine="600"/>
        <w:divId w:val="1991865930"/>
        <w:rPr>
          <w:rFonts w:hint="eastAsia"/>
          <w:sz w:val="30"/>
          <w:szCs w:val="30"/>
        </w:rPr>
      </w:pPr>
      <w:r>
        <w:rPr>
          <w:rFonts w:hint="eastAsia"/>
          <w:sz w:val="30"/>
          <w:szCs w:val="30"/>
        </w:rPr>
        <w:t>驳回原告北京新月长城投资管理有限公司的诉讼请求。</w:t>
      </w:r>
    </w:p>
    <w:p w:rsidR="00000000" w:rsidRDefault="002A29CB">
      <w:pPr>
        <w:spacing w:line="500" w:lineRule="atLeast"/>
        <w:ind w:firstLine="600"/>
        <w:divId w:val="373895329"/>
        <w:rPr>
          <w:rFonts w:hint="eastAsia"/>
          <w:sz w:val="30"/>
          <w:szCs w:val="30"/>
        </w:rPr>
      </w:pPr>
      <w:r>
        <w:rPr>
          <w:rFonts w:hint="eastAsia"/>
          <w:sz w:val="30"/>
          <w:szCs w:val="30"/>
        </w:rPr>
        <w:t>案件受理费</w:t>
      </w:r>
      <w:r>
        <w:rPr>
          <w:rFonts w:hint="eastAsia"/>
          <w:sz w:val="30"/>
          <w:szCs w:val="30"/>
        </w:rPr>
        <w:t>110,600</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115,600</w:t>
      </w:r>
      <w:r>
        <w:rPr>
          <w:rFonts w:hint="eastAsia"/>
          <w:sz w:val="30"/>
          <w:szCs w:val="30"/>
        </w:rPr>
        <w:t>元，由原告北京新月长城投资管理有限公司负担。</w:t>
      </w:r>
    </w:p>
    <w:p w:rsidR="00000000" w:rsidRDefault="002A29CB">
      <w:pPr>
        <w:spacing w:line="500" w:lineRule="atLeast"/>
        <w:ind w:firstLine="600"/>
        <w:divId w:val="658073344"/>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2A29CB">
      <w:pPr>
        <w:spacing w:line="500" w:lineRule="atLeast"/>
        <w:jc w:val="right"/>
        <w:divId w:val="398792787"/>
        <w:rPr>
          <w:rFonts w:hint="eastAsia"/>
          <w:sz w:val="30"/>
          <w:szCs w:val="30"/>
        </w:rPr>
      </w:pPr>
      <w:r>
        <w:rPr>
          <w:rFonts w:hint="eastAsia"/>
          <w:sz w:val="30"/>
          <w:szCs w:val="30"/>
        </w:rPr>
        <w:t>审　判　长　　张宏毅</w:t>
      </w:r>
    </w:p>
    <w:p w:rsidR="00000000" w:rsidRDefault="002A29CB">
      <w:pPr>
        <w:spacing w:line="500" w:lineRule="atLeast"/>
        <w:jc w:val="right"/>
        <w:divId w:val="858197305"/>
        <w:rPr>
          <w:rFonts w:hint="eastAsia"/>
          <w:sz w:val="30"/>
          <w:szCs w:val="30"/>
        </w:rPr>
      </w:pPr>
      <w:r>
        <w:rPr>
          <w:rFonts w:hint="eastAsia"/>
          <w:sz w:val="30"/>
          <w:szCs w:val="30"/>
        </w:rPr>
        <w:t>审　判　员　　黄梦云</w:t>
      </w:r>
    </w:p>
    <w:p w:rsidR="00000000" w:rsidRDefault="002A29CB">
      <w:pPr>
        <w:spacing w:line="500" w:lineRule="atLeast"/>
        <w:jc w:val="right"/>
        <w:divId w:val="1588223315"/>
        <w:rPr>
          <w:rFonts w:hint="eastAsia"/>
          <w:sz w:val="30"/>
          <w:szCs w:val="30"/>
        </w:rPr>
      </w:pPr>
      <w:r>
        <w:rPr>
          <w:rFonts w:hint="eastAsia"/>
          <w:sz w:val="30"/>
          <w:szCs w:val="30"/>
        </w:rPr>
        <w:t>人民陪审员　　吴慈新</w:t>
      </w:r>
    </w:p>
    <w:p w:rsidR="00000000" w:rsidRDefault="002A29CB">
      <w:pPr>
        <w:spacing w:line="500" w:lineRule="atLeast"/>
        <w:jc w:val="right"/>
        <w:divId w:val="1643578865"/>
        <w:rPr>
          <w:rFonts w:hint="eastAsia"/>
          <w:sz w:val="30"/>
          <w:szCs w:val="30"/>
        </w:rPr>
      </w:pPr>
      <w:r>
        <w:rPr>
          <w:rFonts w:hint="eastAsia"/>
          <w:sz w:val="30"/>
          <w:szCs w:val="30"/>
        </w:rPr>
        <w:t>二〇一七年八月十日</w:t>
      </w:r>
    </w:p>
    <w:p w:rsidR="00000000" w:rsidRDefault="002A29CB">
      <w:pPr>
        <w:spacing w:line="500" w:lineRule="atLeast"/>
        <w:jc w:val="right"/>
        <w:divId w:val="2089420391"/>
        <w:rPr>
          <w:rFonts w:hint="eastAsia"/>
          <w:sz w:val="30"/>
          <w:szCs w:val="30"/>
        </w:rPr>
      </w:pPr>
      <w:r>
        <w:rPr>
          <w:rFonts w:hint="eastAsia"/>
          <w:sz w:val="30"/>
          <w:szCs w:val="30"/>
        </w:rPr>
        <w:t>书　记　员　　刘　东</w:t>
      </w:r>
    </w:p>
    <w:p w:rsidR="00000000" w:rsidRDefault="002A29CB">
      <w:pPr>
        <w:spacing w:line="500" w:lineRule="atLeast"/>
        <w:ind w:firstLine="600"/>
        <w:divId w:val="626812426"/>
        <w:rPr>
          <w:rFonts w:hint="eastAsia"/>
          <w:sz w:val="30"/>
          <w:szCs w:val="30"/>
        </w:rPr>
      </w:pPr>
      <w:r>
        <w:rPr>
          <w:rFonts w:hint="eastAsia"/>
          <w:sz w:val="30"/>
          <w:szCs w:val="30"/>
        </w:rPr>
        <w:t>附：相关法律条文</w:t>
      </w:r>
    </w:p>
    <w:p w:rsidR="00000000" w:rsidRDefault="002A29CB">
      <w:pPr>
        <w:spacing w:line="500" w:lineRule="atLeast"/>
        <w:ind w:firstLine="600"/>
        <w:divId w:val="963535017"/>
        <w:rPr>
          <w:rFonts w:hint="eastAsia"/>
          <w:sz w:val="30"/>
          <w:szCs w:val="30"/>
        </w:rPr>
      </w:pPr>
      <w:r>
        <w:rPr>
          <w:rFonts w:hint="eastAsia"/>
          <w:sz w:val="30"/>
          <w:szCs w:val="30"/>
        </w:rPr>
        <w:t>一、《中华人民共和国公司法》</w:t>
      </w:r>
    </w:p>
    <w:p w:rsidR="00000000" w:rsidRDefault="002A29CB">
      <w:pPr>
        <w:spacing w:line="500" w:lineRule="atLeast"/>
        <w:ind w:firstLine="600"/>
        <w:divId w:val="1375232222"/>
        <w:rPr>
          <w:rFonts w:hint="eastAsia"/>
          <w:sz w:val="30"/>
          <w:szCs w:val="30"/>
        </w:rPr>
      </w:pPr>
      <w:r>
        <w:rPr>
          <w:rFonts w:hint="eastAsia"/>
          <w:sz w:val="30"/>
          <w:szCs w:val="30"/>
        </w:rPr>
        <w:t>第二百一十六条本法下列用语的含义：</w:t>
      </w:r>
    </w:p>
    <w:p w:rsidR="00000000" w:rsidRDefault="002A29CB">
      <w:pPr>
        <w:spacing w:line="500" w:lineRule="atLeast"/>
        <w:ind w:firstLine="600"/>
        <w:divId w:val="1173566986"/>
        <w:rPr>
          <w:rFonts w:hint="eastAsia"/>
          <w:sz w:val="30"/>
          <w:szCs w:val="30"/>
        </w:rPr>
      </w:pPr>
      <w:r>
        <w:rPr>
          <w:rFonts w:hint="eastAsia"/>
          <w:sz w:val="30"/>
          <w:szCs w:val="30"/>
        </w:rPr>
        <w:t>（一）</w:t>
      </w:r>
      <w:r>
        <w:rPr>
          <w:rFonts w:hint="eastAsia"/>
          <w:sz w:val="30"/>
          <w:szCs w:val="30"/>
        </w:rPr>
        <w:t>高级管理人员，是指公司的经理、副经理、财务负责人，上市公司董事会秘书和公司章程规定的其他人员。</w:t>
      </w:r>
    </w:p>
    <w:p w:rsidR="00000000" w:rsidRDefault="002A29CB">
      <w:pPr>
        <w:spacing w:line="500" w:lineRule="atLeast"/>
        <w:ind w:firstLine="600"/>
        <w:divId w:val="850340323"/>
        <w:rPr>
          <w:rFonts w:hint="eastAsia"/>
          <w:sz w:val="30"/>
          <w:szCs w:val="30"/>
        </w:rPr>
      </w:pPr>
      <w:r>
        <w:rPr>
          <w:rFonts w:hint="eastAsia"/>
          <w:sz w:val="30"/>
          <w:szCs w:val="30"/>
        </w:rPr>
        <w:t>……</w:t>
      </w:r>
    </w:p>
    <w:p w:rsidR="00000000" w:rsidRDefault="002A29CB">
      <w:pPr>
        <w:spacing w:line="500" w:lineRule="atLeast"/>
        <w:ind w:firstLine="600"/>
        <w:divId w:val="2091460662"/>
        <w:rPr>
          <w:rFonts w:hint="eastAsia"/>
          <w:sz w:val="30"/>
          <w:szCs w:val="30"/>
        </w:rPr>
      </w:pPr>
      <w:r>
        <w:rPr>
          <w:rFonts w:hint="eastAsia"/>
          <w:sz w:val="30"/>
          <w:szCs w:val="30"/>
        </w:rPr>
        <w:t>二、《中华人民共和国民事诉讼法》</w:t>
      </w:r>
    </w:p>
    <w:p w:rsidR="00000000" w:rsidRDefault="002A29CB">
      <w:pPr>
        <w:spacing w:line="500" w:lineRule="atLeast"/>
        <w:ind w:firstLine="600"/>
        <w:divId w:val="1164736456"/>
        <w:rPr>
          <w:rFonts w:hint="eastAsia"/>
          <w:sz w:val="30"/>
          <w:szCs w:val="30"/>
        </w:rPr>
      </w:pPr>
      <w:r>
        <w:rPr>
          <w:rFonts w:hint="eastAsia"/>
          <w:sz w:val="30"/>
          <w:szCs w:val="30"/>
        </w:rPr>
        <w:t>第六十四条当事人对自己提出的主张，有责任提供证据。</w:t>
      </w:r>
    </w:p>
    <w:p w:rsidR="00000000" w:rsidRDefault="002A29CB">
      <w:pPr>
        <w:spacing w:line="500" w:lineRule="atLeast"/>
        <w:ind w:firstLine="600"/>
        <w:divId w:val="1427074557"/>
        <w:rPr>
          <w:rFonts w:hint="eastAsia"/>
          <w:sz w:val="30"/>
          <w:szCs w:val="30"/>
        </w:rPr>
      </w:pPr>
      <w:r>
        <w:rPr>
          <w:rFonts w:hint="eastAsia"/>
          <w:sz w:val="30"/>
          <w:szCs w:val="30"/>
        </w:rPr>
        <w:t>……</w:t>
      </w:r>
    </w:p>
    <w:p w:rsidR="00000000" w:rsidRDefault="002A29CB">
      <w:pPr>
        <w:spacing w:line="500" w:lineRule="atLeast"/>
        <w:ind w:firstLine="600"/>
        <w:divId w:val="581987925"/>
        <w:rPr>
          <w:rFonts w:hint="eastAsia"/>
          <w:sz w:val="30"/>
          <w:szCs w:val="30"/>
        </w:rPr>
      </w:pPr>
      <w:r>
        <w:rPr>
          <w:rFonts w:hint="eastAsia"/>
          <w:sz w:val="30"/>
          <w:szCs w:val="30"/>
        </w:rPr>
        <w:t>三、《最高人民法院关于民事诉讼证据的若干规定》</w:t>
      </w:r>
    </w:p>
    <w:p w:rsidR="00000000" w:rsidRDefault="002A29CB">
      <w:pPr>
        <w:spacing w:line="500" w:lineRule="atLeast"/>
        <w:ind w:firstLine="600"/>
        <w:divId w:val="1560478791"/>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2A29CB">
      <w:pPr>
        <w:spacing w:line="500" w:lineRule="atLeast"/>
        <w:ind w:firstLine="600"/>
        <w:divId w:val="621225562"/>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9CB" w:rsidRDefault="002A29CB" w:rsidP="002A29CB">
      <w:r>
        <w:separator/>
      </w:r>
    </w:p>
  </w:endnote>
  <w:endnote w:type="continuationSeparator" w:id="0">
    <w:p w:rsidR="002A29CB" w:rsidRDefault="002A29CB" w:rsidP="002A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9CB" w:rsidRDefault="002A29CB" w:rsidP="002A29CB">
      <w:r>
        <w:separator/>
      </w:r>
    </w:p>
  </w:footnote>
  <w:footnote w:type="continuationSeparator" w:id="0">
    <w:p w:rsidR="002A29CB" w:rsidRDefault="002A29CB" w:rsidP="002A2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29CB"/>
    <w:rsid w:val="002A2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A2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29CB"/>
    <w:rPr>
      <w:rFonts w:ascii="宋体" w:eastAsia="宋体" w:hAnsi="宋体" w:cs="宋体"/>
      <w:sz w:val="18"/>
      <w:szCs w:val="18"/>
    </w:rPr>
  </w:style>
  <w:style w:type="paragraph" w:styleId="a5">
    <w:name w:val="footer"/>
    <w:basedOn w:val="a"/>
    <w:link w:val="a6"/>
    <w:uiPriority w:val="99"/>
    <w:unhideWhenUsed/>
    <w:rsid w:val="002A29CB"/>
    <w:pPr>
      <w:tabs>
        <w:tab w:val="center" w:pos="4153"/>
        <w:tab w:val="right" w:pos="8306"/>
      </w:tabs>
      <w:snapToGrid w:val="0"/>
    </w:pPr>
    <w:rPr>
      <w:sz w:val="18"/>
      <w:szCs w:val="18"/>
    </w:rPr>
  </w:style>
  <w:style w:type="character" w:customStyle="1" w:styleId="a6">
    <w:name w:val="页脚 字符"/>
    <w:basedOn w:val="a0"/>
    <w:link w:val="a5"/>
    <w:uiPriority w:val="99"/>
    <w:rsid w:val="002A29C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21770">
      <w:marLeft w:val="0"/>
      <w:marRight w:val="0"/>
      <w:marTop w:val="10"/>
      <w:marBottom w:val="10"/>
      <w:divBdr>
        <w:top w:val="none" w:sz="0" w:space="0" w:color="auto"/>
        <w:left w:val="none" w:sz="0" w:space="0" w:color="auto"/>
        <w:bottom w:val="none" w:sz="0" w:space="0" w:color="auto"/>
        <w:right w:val="none" w:sz="0" w:space="0" w:color="auto"/>
      </w:divBdr>
    </w:div>
    <w:div w:id="45303163">
      <w:marLeft w:val="0"/>
      <w:marRight w:val="0"/>
      <w:marTop w:val="10"/>
      <w:marBottom w:val="10"/>
      <w:divBdr>
        <w:top w:val="none" w:sz="0" w:space="0" w:color="auto"/>
        <w:left w:val="none" w:sz="0" w:space="0" w:color="auto"/>
        <w:bottom w:val="none" w:sz="0" w:space="0" w:color="auto"/>
        <w:right w:val="none" w:sz="0" w:space="0" w:color="auto"/>
      </w:divBdr>
    </w:div>
    <w:div w:id="54788829">
      <w:marLeft w:val="0"/>
      <w:marRight w:val="0"/>
      <w:marTop w:val="10"/>
      <w:marBottom w:val="10"/>
      <w:divBdr>
        <w:top w:val="none" w:sz="0" w:space="0" w:color="auto"/>
        <w:left w:val="none" w:sz="0" w:space="0" w:color="auto"/>
        <w:bottom w:val="none" w:sz="0" w:space="0" w:color="auto"/>
        <w:right w:val="none" w:sz="0" w:space="0" w:color="auto"/>
      </w:divBdr>
    </w:div>
    <w:div w:id="68115093">
      <w:marLeft w:val="0"/>
      <w:marRight w:val="0"/>
      <w:marTop w:val="10"/>
      <w:marBottom w:val="10"/>
      <w:divBdr>
        <w:top w:val="none" w:sz="0" w:space="0" w:color="auto"/>
        <w:left w:val="none" w:sz="0" w:space="0" w:color="auto"/>
        <w:bottom w:val="none" w:sz="0" w:space="0" w:color="auto"/>
        <w:right w:val="none" w:sz="0" w:space="0" w:color="auto"/>
      </w:divBdr>
    </w:div>
    <w:div w:id="98527122">
      <w:marLeft w:val="0"/>
      <w:marRight w:val="0"/>
      <w:marTop w:val="10"/>
      <w:marBottom w:val="10"/>
      <w:divBdr>
        <w:top w:val="none" w:sz="0" w:space="0" w:color="auto"/>
        <w:left w:val="none" w:sz="0" w:space="0" w:color="auto"/>
        <w:bottom w:val="none" w:sz="0" w:space="0" w:color="auto"/>
        <w:right w:val="none" w:sz="0" w:space="0" w:color="auto"/>
      </w:divBdr>
    </w:div>
    <w:div w:id="160894664">
      <w:marLeft w:val="0"/>
      <w:marRight w:val="0"/>
      <w:marTop w:val="10"/>
      <w:marBottom w:val="10"/>
      <w:divBdr>
        <w:top w:val="none" w:sz="0" w:space="0" w:color="auto"/>
        <w:left w:val="none" w:sz="0" w:space="0" w:color="auto"/>
        <w:bottom w:val="none" w:sz="0" w:space="0" w:color="auto"/>
        <w:right w:val="none" w:sz="0" w:space="0" w:color="auto"/>
      </w:divBdr>
    </w:div>
    <w:div w:id="373895329">
      <w:marLeft w:val="0"/>
      <w:marRight w:val="0"/>
      <w:marTop w:val="10"/>
      <w:marBottom w:val="10"/>
      <w:divBdr>
        <w:top w:val="none" w:sz="0" w:space="0" w:color="auto"/>
        <w:left w:val="none" w:sz="0" w:space="0" w:color="auto"/>
        <w:bottom w:val="none" w:sz="0" w:space="0" w:color="auto"/>
        <w:right w:val="none" w:sz="0" w:space="0" w:color="auto"/>
      </w:divBdr>
    </w:div>
    <w:div w:id="398792787">
      <w:marLeft w:val="0"/>
      <w:marRight w:val="720"/>
      <w:marTop w:val="10"/>
      <w:marBottom w:val="10"/>
      <w:divBdr>
        <w:top w:val="none" w:sz="0" w:space="0" w:color="auto"/>
        <w:left w:val="none" w:sz="0" w:space="0" w:color="auto"/>
        <w:bottom w:val="none" w:sz="0" w:space="0" w:color="auto"/>
        <w:right w:val="none" w:sz="0" w:space="0" w:color="auto"/>
      </w:divBdr>
    </w:div>
    <w:div w:id="448668573">
      <w:marLeft w:val="0"/>
      <w:marRight w:val="0"/>
      <w:marTop w:val="10"/>
      <w:marBottom w:val="10"/>
      <w:divBdr>
        <w:top w:val="none" w:sz="0" w:space="0" w:color="auto"/>
        <w:left w:val="none" w:sz="0" w:space="0" w:color="auto"/>
        <w:bottom w:val="none" w:sz="0" w:space="0" w:color="auto"/>
        <w:right w:val="none" w:sz="0" w:space="0" w:color="auto"/>
      </w:divBdr>
    </w:div>
    <w:div w:id="479350028">
      <w:marLeft w:val="0"/>
      <w:marRight w:val="0"/>
      <w:marTop w:val="10"/>
      <w:marBottom w:val="10"/>
      <w:divBdr>
        <w:top w:val="none" w:sz="0" w:space="0" w:color="auto"/>
        <w:left w:val="none" w:sz="0" w:space="0" w:color="auto"/>
        <w:bottom w:val="none" w:sz="0" w:space="0" w:color="auto"/>
        <w:right w:val="none" w:sz="0" w:space="0" w:color="auto"/>
      </w:divBdr>
    </w:div>
    <w:div w:id="561065328">
      <w:marLeft w:val="0"/>
      <w:marRight w:val="0"/>
      <w:marTop w:val="10"/>
      <w:marBottom w:val="10"/>
      <w:divBdr>
        <w:top w:val="none" w:sz="0" w:space="0" w:color="auto"/>
        <w:left w:val="none" w:sz="0" w:space="0" w:color="auto"/>
        <w:bottom w:val="none" w:sz="0" w:space="0" w:color="auto"/>
        <w:right w:val="none" w:sz="0" w:space="0" w:color="auto"/>
      </w:divBdr>
    </w:div>
    <w:div w:id="581987925">
      <w:marLeft w:val="0"/>
      <w:marRight w:val="0"/>
      <w:marTop w:val="10"/>
      <w:marBottom w:val="10"/>
      <w:divBdr>
        <w:top w:val="none" w:sz="0" w:space="0" w:color="auto"/>
        <w:left w:val="none" w:sz="0" w:space="0" w:color="auto"/>
        <w:bottom w:val="none" w:sz="0" w:space="0" w:color="auto"/>
        <w:right w:val="none" w:sz="0" w:space="0" w:color="auto"/>
      </w:divBdr>
    </w:div>
    <w:div w:id="621225562">
      <w:marLeft w:val="0"/>
      <w:marRight w:val="0"/>
      <w:marTop w:val="10"/>
      <w:marBottom w:val="10"/>
      <w:divBdr>
        <w:top w:val="none" w:sz="0" w:space="0" w:color="auto"/>
        <w:left w:val="none" w:sz="0" w:space="0" w:color="auto"/>
        <w:bottom w:val="none" w:sz="0" w:space="0" w:color="auto"/>
        <w:right w:val="none" w:sz="0" w:space="0" w:color="auto"/>
      </w:divBdr>
    </w:div>
    <w:div w:id="626812426">
      <w:marLeft w:val="0"/>
      <w:marRight w:val="0"/>
      <w:marTop w:val="10"/>
      <w:marBottom w:val="10"/>
      <w:divBdr>
        <w:top w:val="none" w:sz="0" w:space="0" w:color="auto"/>
        <w:left w:val="none" w:sz="0" w:space="0" w:color="auto"/>
        <w:bottom w:val="none" w:sz="0" w:space="0" w:color="auto"/>
        <w:right w:val="none" w:sz="0" w:space="0" w:color="auto"/>
      </w:divBdr>
    </w:div>
    <w:div w:id="658073344">
      <w:marLeft w:val="0"/>
      <w:marRight w:val="0"/>
      <w:marTop w:val="10"/>
      <w:marBottom w:val="10"/>
      <w:divBdr>
        <w:top w:val="none" w:sz="0" w:space="0" w:color="auto"/>
        <w:left w:val="none" w:sz="0" w:space="0" w:color="auto"/>
        <w:bottom w:val="none" w:sz="0" w:space="0" w:color="auto"/>
        <w:right w:val="none" w:sz="0" w:space="0" w:color="auto"/>
      </w:divBdr>
    </w:div>
    <w:div w:id="659307651">
      <w:marLeft w:val="0"/>
      <w:marRight w:val="0"/>
      <w:marTop w:val="10"/>
      <w:marBottom w:val="10"/>
      <w:divBdr>
        <w:top w:val="none" w:sz="0" w:space="0" w:color="auto"/>
        <w:left w:val="none" w:sz="0" w:space="0" w:color="auto"/>
        <w:bottom w:val="none" w:sz="0" w:space="0" w:color="auto"/>
        <w:right w:val="none" w:sz="0" w:space="0" w:color="auto"/>
      </w:divBdr>
    </w:div>
    <w:div w:id="677392523">
      <w:marLeft w:val="0"/>
      <w:marRight w:val="0"/>
      <w:marTop w:val="10"/>
      <w:marBottom w:val="10"/>
      <w:divBdr>
        <w:top w:val="none" w:sz="0" w:space="0" w:color="auto"/>
        <w:left w:val="none" w:sz="0" w:space="0" w:color="auto"/>
        <w:bottom w:val="none" w:sz="0" w:space="0" w:color="auto"/>
        <w:right w:val="none" w:sz="0" w:space="0" w:color="auto"/>
      </w:divBdr>
    </w:div>
    <w:div w:id="778842305">
      <w:marLeft w:val="0"/>
      <w:marRight w:val="0"/>
      <w:marTop w:val="10"/>
      <w:marBottom w:val="10"/>
      <w:divBdr>
        <w:top w:val="none" w:sz="0" w:space="0" w:color="auto"/>
        <w:left w:val="none" w:sz="0" w:space="0" w:color="auto"/>
        <w:bottom w:val="none" w:sz="0" w:space="0" w:color="auto"/>
        <w:right w:val="none" w:sz="0" w:space="0" w:color="auto"/>
      </w:divBdr>
    </w:div>
    <w:div w:id="800415570">
      <w:marLeft w:val="0"/>
      <w:marRight w:val="0"/>
      <w:marTop w:val="10"/>
      <w:marBottom w:val="10"/>
      <w:divBdr>
        <w:top w:val="none" w:sz="0" w:space="0" w:color="auto"/>
        <w:left w:val="none" w:sz="0" w:space="0" w:color="auto"/>
        <w:bottom w:val="none" w:sz="0" w:space="0" w:color="auto"/>
        <w:right w:val="none" w:sz="0" w:space="0" w:color="auto"/>
      </w:divBdr>
    </w:div>
    <w:div w:id="850340323">
      <w:marLeft w:val="0"/>
      <w:marRight w:val="0"/>
      <w:marTop w:val="10"/>
      <w:marBottom w:val="10"/>
      <w:divBdr>
        <w:top w:val="none" w:sz="0" w:space="0" w:color="auto"/>
        <w:left w:val="none" w:sz="0" w:space="0" w:color="auto"/>
        <w:bottom w:val="none" w:sz="0" w:space="0" w:color="auto"/>
        <w:right w:val="none" w:sz="0" w:space="0" w:color="auto"/>
      </w:divBdr>
    </w:div>
    <w:div w:id="858197305">
      <w:marLeft w:val="0"/>
      <w:marRight w:val="720"/>
      <w:marTop w:val="10"/>
      <w:marBottom w:val="10"/>
      <w:divBdr>
        <w:top w:val="none" w:sz="0" w:space="0" w:color="auto"/>
        <w:left w:val="none" w:sz="0" w:space="0" w:color="auto"/>
        <w:bottom w:val="none" w:sz="0" w:space="0" w:color="auto"/>
        <w:right w:val="none" w:sz="0" w:space="0" w:color="auto"/>
      </w:divBdr>
    </w:div>
    <w:div w:id="883063770">
      <w:marLeft w:val="0"/>
      <w:marRight w:val="0"/>
      <w:marTop w:val="10"/>
      <w:marBottom w:val="10"/>
      <w:divBdr>
        <w:top w:val="none" w:sz="0" w:space="0" w:color="auto"/>
        <w:left w:val="none" w:sz="0" w:space="0" w:color="auto"/>
        <w:bottom w:val="none" w:sz="0" w:space="0" w:color="auto"/>
        <w:right w:val="none" w:sz="0" w:space="0" w:color="auto"/>
      </w:divBdr>
    </w:div>
    <w:div w:id="910189794">
      <w:marLeft w:val="0"/>
      <w:marRight w:val="0"/>
      <w:marTop w:val="10"/>
      <w:marBottom w:val="10"/>
      <w:divBdr>
        <w:top w:val="none" w:sz="0" w:space="0" w:color="auto"/>
        <w:left w:val="none" w:sz="0" w:space="0" w:color="auto"/>
        <w:bottom w:val="none" w:sz="0" w:space="0" w:color="auto"/>
        <w:right w:val="none" w:sz="0" w:space="0" w:color="auto"/>
      </w:divBdr>
    </w:div>
    <w:div w:id="920414048">
      <w:marLeft w:val="0"/>
      <w:marRight w:val="0"/>
      <w:marTop w:val="10"/>
      <w:marBottom w:val="10"/>
      <w:divBdr>
        <w:top w:val="none" w:sz="0" w:space="0" w:color="auto"/>
        <w:left w:val="none" w:sz="0" w:space="0" w:color="auto"/>
        <w:bottom w:val="none" w:sz="0" w:space="0" w:color="auto"/>
        <w:right w:val="none" w:sz="0" w:space="0" w:color="auto"/>
      </w:divBdr>
    </w:div>
    <w:div w:id="951131326">
      <w:marLeft w:val="0"/>
      <w:marRight w:val="0"/>
      <w:marTop w:val="10"/>
      <w:marBottom w:val="10"/>
      <w:divBdr>
        <w:top w:val="none" w:sz="0" w:space="0" w:color="auto"/>
        <w:left w:val="none" w:sz="0" w:space="0" w:color="auto"/>
        <w:bottom w:val="none" w:sz="0" w:space="0" w:color="auto"/>
        <w:right w:val="none" w:sz="0" w:space="0" w:color="auto"/>
      </w:divBdr>
    </w:div>
    <w:div w:id="956445585">
      <w:marLeft w:val="0"/>
      <w:marRight w:val="0"/>
      <w:marTop w:val="10"/>
      <w:marBottom w:val="10"/>
      <w:divBdr>
        <w:top w:val="none" w:sz="0" w:space="0" w:color="auto"/>
        <w:left w:val="none" w:sz="0" w:space="0" w:color="auto"/>
        <w:bottom w:val="none" w:sz="0" w:space="0" w:color="auto"/>
        <w:right w:val="none" w:sz="0" w:space="0" w:color="auto"/>
      </w:divBdr>
    </w:div>
    <w:div w:id="963535017">
      <w:marLeft w:val="0"/>
      <w:marRight w:val="0"/>
      <w:marTop w:val="10"/>
      <w:marBottom w:val="10"/>
      <w:divBdr>
        <w:top w:val="none" w:sz="0" w:space="0" w:color="auto"/>
        <w:left w:val="none" w:sz="0" w:space="0" w:color="auto"/>
        <w:bottom w:val="none" w:sz="0" w:space="0" w:color="auto"/>
        <w:right w:val="none" w:sz="0" w:space="0" w:color="auto"/>
      </w:divBdr>
    </w:div>
    <w:div w:id="1164736456">
      <w:marLeft w:val="0"/>
      <w:marRight w:val="0"/>
      <w:marTop w:val="10"/>
      <w:marBottom w:val="10"/>
      <w:divBdr>
        <w:top w:val="none" w:sz="0" w:space="0" w:color="auto"/>
        <w:left w:val="none" w:sz="0" w:space="0" w:color="auto"/>
        <w:bottom w:val="none" w:sz="0" w:space="0" w:color="auto"/>
        <w:right w:val="none" w:sz="0" w:space="0" w:color="auto"/>
      </w:divBdr>
    </w:div>
    <w:div w:id="1173566986">
      <w:marLeft w:val="0"/>
      <w:marRight w:val="0"/>
      <w:marTop w:val="10"/>
      <w:marBottom w:val="10"/>
      <w:divBdr>
        <w:top w:val="none" w:sz="0" w:space="0" w:color="auto"/>
        <w:left w:val="none" w:sz="0" w:space="0" w:color="auto"/>
        <w:bottom w:val="none" w:sz="0" w:space="0" w:color="auto"/>
        <w:right w:val="none" w:sz="0" w:space="0" w:color="auto"/>
      </w:divBdr>
    </w:div>
    <w:div w:id="1189609945">
      <w:marLeft w:val="0"/>
      <w:marRight w:val="0"/>
      <w:marTop w:val="10"/>
      <w:marBottom w:val="10"/>
      <w:divBdr>
        <w:top w:val="none" w:sz="0" w:space="0" w:color="auto"/>
        <w:left w:val="none" w:sz="0" w:space="0" w:color="auto"/>
        <w:bottom w:val="none" w:sz="0" w:space="0" w:color="auto"/>
        <w:right w:val="none" w:sz="0" w:space="0" w:color="auto"/>
      </w:divBdr>
    </w:div>
    <w:div w:id="1238786304">
      <w:marLeft w:val="0"/>
      <w:marRight w:val="0"/>
      <w:marTop w:val="10"/>
      <w:marBottom w:val="10"/>
      <w:divBdr>
        <w:top w:val="none" w:sz="0" w:space="0" w:color="auto"/>
        <w:left w:val="none" w:sz="0" w:space="0" w:color="auto"/>
        <w:bottom w:val="none" w:sz="0" w:space="0" w:color="auto"/>
        <w:right w:val="none" w:sz="0" w:space="0" w:color="auto"/>
      </w:divBdr>
    </w:div>
    <w:div w:id="1347562178">
      <w:marLeft w:val="0"/>
      <w:marRight w:val="0"/>
      <w:marTop w:val="10"/>
      <w:marBottom w:val="10"/>
      <w:divBdr>
        <w:top w:val="none" w:sz="0" w:space="0" w:color="auto"/>
        <w:left w:val="none" w:sz="0" w:space="0" w:color="auto"/>
        <w:bottom w:val="none" w:sz="0" w:space="0" w:color="auto"/>
        <w:right w:val="none" w:sz="0" w:space="0" w:color="auto"/>
      </w:divBdr>
    </w:div>
    <w:div w:id="1359741373">
      <w:marLeft w:val="0"/>
      <w:marRight w:val="0"/>
      <w:marTop w:val="10"/>
      <w:marBottom w:val="10"/>
      <w:divBdr>
        <w:top w:val="none" w:sz="0" w:space="0" w:color="auto"/>
        <w:left w:val="none" w:sz="0" w:space="0" w:color="auto"/>
        <w:bottom w:val="none" w:sz="0" w:space="0" w:color="auto"/>
        <w:right w:val="none" w:sz="0" w:space="0" w:color="auto"/>
      </w:divBdr>
    </w:div>
    <w:div w:id="1375232222">
      <w:marLeft w:val="0"/>
      <w:marRight w:val="0"/>
      <w:marTop w:val="10"/>
      <w:marBottom w:val="10"/>
      <w:divBdr>
        <w:top w:val="none" w:sz="0" w:space="0" w:color="auto"/>
        <w:left w:val="none" w:sz="0" w:space="0" w:color="auto"/>
        <w:bottom w:val="none" w:sz="0" w:space="0" w:color="auto"/>
        <w:right w:val="none" w:sz="0" w:space="0" w:color="auto"/>
      </w:divBdr>
    </w:div>
    <w:div w:id="1405908761">
      <w:marLeft w:val="0"/>
      <w:marRight w:val="0"/>
      <w:marTop w:val="10"/>
      <w:marBottom w:val="10"/>
      <w:divBdr>
        <w:top w:val="none" w:sz="0" w:space="0" w:color="auto"/>
        <w:left w:val="none" w:sz="0" w:space="0" w:color="auto"/>
        <w:bottom w:val="none" w:sz="0" w:space="0" w:color="auto"/>
        <w:right w:val="none" w:sz="0" w:space="0" w:color="auto"/>
      </w:divBdr>
    </w:div>
    <w:div w:id="1427074557">
      <w:marLeft w:val="0"/>
      <w:marRight w:val="0"/>
      <w:marTop w:val="10"/>
      <w:marBottom w:val="10"/>
      <w:divBdr>
        <w:top w:val="none" w:sz="0" w:space="0" w:color="auto"/>
        <w:left w:val="none" w:sz="0" w:space="0" w:color="auto"/>
        <w:bottom w:val="none" w:sz="0" w:space="0" w:color="auto"/>
        <w:right w:val="none" w:sz="0" w:space="0" w:color="auto"/>
      </w:divBdr>
    </w:div>
    <w:div w:id="1455322930">
      <w:marLeft w:val="0"/>
      <w:marRight w:val="0"/>
      <w:marTop w:val="10"/>
      <w:marBottom w:val="10"/>
      <w:divBdr>
        <w:top w:val="none" w:sz="0" w:space="0" w:color="auto"/>
        <w:left w:val="none" w:sz="0" w:space="0" w:color="auto"/>
        <w:bottom w:val="none" w:sz="0" w:space="0" w:color="auto"/>
        <w:right w:val="none" w:sz="0" w:space="0" w:color="auto"/>
      </w:divBdr>
    </w:div>
    <w:div w:id="1483544349">
      <w:marLeft w:val="0"/>
      <w:marRight w:val="0"/>
      <w:marTop w:val="10"/>
      <w:marBottom w:val="10"/>
      <w:divBdr>
        <w:top w:val="none" w:sz="0" w:space="0" w:color="auto"/>
        <w:left w:val="none" w:sz="0" w:space="0" w:color="auto"/>
        <w:bottom w:val="none" w:sz="0" w:space="0" w:color="auto"/>
        <w:right w:val="none" w:sz="0" w:space="0" w:color="auto"/>
      </w:divBdr>
    </w:div>
    <w:div w:id="1534418744">
      <w:marLeft w:val="0"/>
      <w:marRight w:val="0"/>
      <w:marTop w:val="10"/>
      <w:marBottom w:val="10"/>
      <w:divBdr>
        <w:top w:val="none" w:sz="0" w:space="0" w:color="auto"/>
        <w:left w:val="none" w:sz="0" w:space="0" w:color="auto"/>
        <w:bottom w:val="none" w:sz="0" w:space="0" w:color="auto"/>
        <w:right w:val="none" w:sz="0" w:space="0" w:color="auto"/>
      </w:divBdr>
    </w:div>
    <w:div w:id="1560478791">
      <w:marLeft w:val="0"/>
      <w:marRight w:val="0"/>
      <w:marTop w:val="10"/>
      <w:marBottom w:val="10"/>
      <w:divBdr>
        <w:top w:val="none" w:sz="0" w:space="0" w:color="auto"/>
        <w:left w:val="none" w:sz="0" w:space="0" w:color="auto"/>
        <w:bottom w:val="none" w:sz="0" w:space="0" w:color="auto"/>
        <w:right w:val="none" w:sz="0" w:space="0" w:color="auto"/>
      </w:divBdr>
    </w:div>
    <w:div w:id="1588223315">
      <w:marLeft w:val="0"/>
      <w:marRight w:val="720"/>
      <w:marTop w:val="10"/>
      <w:marBottom w:val="10"/>
      <w:divBdr>
        <w:top w:val="none" w:sz="0" w:space="0" w:color="auto"/>
        <w:left w:val="none" w:sz="0" w:space="0" w:color="auto"/>
        <w:bottom w:val="none" w:sz="0" w:space="0" w:color="auto"/>
        <w:right w:val="none" w:sz="0" w:space="0" w:color="auto"/>
      </w:divBdr>
    </w:div>
    <w:div w:id="1643578865">
      <w:marLeft w:val="0"/>
      <w:marRight w:val="720"/>
      <w:marTop w:val="10"/>
      <w:marBottom w:val="10"/>
      <w:divBdr>
        <w:top w:val="none" w:sz="0" w:space="0" w:color="auto"/>
        <w:left w:val="none" w:sz="0" w:space="0" w:color="auto"/>
        <w:bottom w:val="none" w:sz="0" w:space="0" w:color="auto"/>
        <w:right w:val="none" w:sz="0" w:space="0" w:color="auto"/>
      </w:divBdr>
    </w:div>
    <w:div w:id="1652323255">
      <w:marLeft w:val="0"/>
      <w:marRight w:val="0"/>
      <w:marTop w:val="10"/>
      <w:marBottom w:val="10"/>
      <w:divBdr>
        <w:top w:val="none" w:sz="0" w:space="0" w:color="auto"/>
        <w:left w:val="none" w:sz="0" w:space="0" w:color="auto"/>
        <w:bottom w:val="none" w:sz="0" w:space="0" w:color="auto"/>
        <w:right w:val="none" w:sz="0" w:space="0" w:color="auto"/>
      </w:divBdr>
    </w:div>
    <w:div w:id="1675111494">
      <w:marLeft w:val="0"/>
      <w:marRight w:val="0"/>
      <w:marTop w:val="10"/>
      <w:marBottom w:val="10"/>
      <w:divBdr>
        <w:top w:val="none" w:sz="0" w:space="0" w:color="auto"/>
        <w:left w:val="none" w:sz="0" w:space="0" w:color="auto"/>
        <w:bottom w:val="none" w:sz="0" w:space="0" w:color="auto"/>
        <w:right w:val="none" w:sz="0" w:space="0" w:color="auto"/>
      </w:divBdr>
    </w:div>
    <w:div w:id="1746956919">
      <w:marLeft w:val="0"/>
      <w:marRight w:val="0"/>
      <w:marTop w:val="10"/>
      <w:marBottom w:val="10"/>
      <w:divBdr>
        <w:top w:val="none" w:sz="0" w:space="0" w:color="auto"/>
        <w:left w:val="none" w:sz="0" w:space="0" w:color="auto"/>
        <w:bottom w:val="none" w:sz="0" w:space="0" w:color="auto"/>
        <w:right w:val="none" w:sz="0" w:space="0" w:color="auto"/>
      </w:divBdr>
    </w:div>
    <w:div w:id="1755587108">
      <w:marLeft w:val="0"/>
      <w:marRight w:val="0"/>
      <w:marTop w:val="10"/>
      <w:marBottom w:val="10"/>
      <w:divBdr>
        <w:top w:val="none" w:sz="0" w:space="0" w:color="auto"/>
        <w:left w:val="none" w:sz="0" w:space="0" w:color="auto"/>
        <w:bottom w:val="none" w:sz="0" w:space="0" w:color="auto"/>
        <w:right w:val="none" w:sz="0" w:space="0" w:color="auto"/>
      </w:divBdr>
    </w:div>
    <w:div w:id="1764181470">
      <w:marLeft w:val="0"/>
      <w:marRight w:val="0"/>
      <w:marTop w:val="10"/>
      <w:marBottom w:val="10"/>
      <w:divBdr>
        <w:top w:val="none" w:sz="0" w:space="0" w:color="auto"/>
        <w:left w:val="none" w:sz="0" w:space="0" w:color="auto"/>
        <w:bottom w:val="none" w:sz="0" w:space="0" w:color="auto"/>
        <w:right w:val="none" w:sz="0" w:space="0" w:color="auto"/>
      </w:divBdr>
    </w:div>
    <w:div w:id="1795250774">
      <w:marLeft w:val="0"/>
      <w:marRight w:val="0"/>
      <w:marTop w:val="10"/>
      <w:marBottom w:val="10"/>
      <w:divBdr>
        <w:top w:val="none" w:sz="0" w:space="0" w:color="auto"/>
        <w:left w:val="none" w:sz="0" w:space="0" w:color="auto"/>
        <w:bottom w:val="none" w:sz="0" w:space="0" w:color="auto"/>
        <w:right w:val="none" w:sz="0" w:space="0" w:color="auto"/>
      </w:divBdr>
    </w:div>
    <w:div w:id="1834908997">
      <w:marLeft w:val="0"/>
      <w:marRight w:val="0"/>
      <w:marTop w:val="10"/>
      <w:marBottom w:val="10"/>
      <w:divBdr>
        <w:top w:val="none" w:sz="0" w:space="0" w:color="auto"/>
        <w:left w:val="none" w:sz="0" w:space="0" w:color="auto"/>
        <w:bottom w:val="none" w:sz="0" w:space="0" w:color="auto"/>
        <w:right w:val="none" w:sz="0" w:space="0" w:color="auto"/>
      </w:divBdr>
    </w:div>
    <w:div w:id="1848055479">
      <w:marLeft w:val="0"/>
      <w:marRight w:val="0"/>
      <w:marTop w:val="10"/>
      <w:marBottom w:val="10"/>
      <w:divBdr>
        <w:top w:val="none" w:sz="0" w:space="0" w:color="auto"/>
        <w:left w:val="none" w:sz="0" w:space="0" w:color="auto"/>
        <w:bottom w:val="none" w:sz="0" w:space="0" w:color="auto"/>
        <w:right w:val="none" w:sz="0" w:space="0" w:color="auto"/>
      </w:divBdr>
    </w:div>
    <w:div w:id="1859002113">
      <w:marLeft w:val="0"/>
      <w:marRight w:val="0"/>
      <w:marTop w:val="10"/>
      <w:marBottom w:val="10"/>
      <w:divBdr>
        <w:top w:val="none" w:sz="0" w:space="0" w:color="auto"/>
        <w:left w:val="none" w:sz="0" w:space="0" w:color="auto"/>
        <w:bottom w:val="none" w:sz="0" w:space="0" w:color="auto"/>
        <w:right w:val="none" w:sz="0" w:space="0" w:color="auto"/>
      </w:divBdr>
    </w:div>
    <w:div w:id="1905218150">
      <w:marLeft w:val="0"/>
      <w:marRight w:val="0"/>
      <w:marTop w:val="10"/>
      <w:marBottom w:val="10"/>
      <w:divBdr>
        <w:top w:val="none" w:sz="0" w:space="0" w:color="auto"/>
        <w:left w:val="none" w:sz="0" w:space="0" w:color="auto"/>
        <w:bottom w:val="none" w:sz="0" w:space="0" w:color="auto"/>
        <w:right w:val="none" w:sz="0" w:space="0" w:color="auto"/>
      </w:divBdr>
    </w:div>
    <w:div w:id="1970895126">
      <w:marLeft w:val="0"/>
      <w:marRight w:val="0"/>
      <w:marTop w:val="10"/>
      <w:marBottom w:val="10"/>
      <w:divBdr>
        <w:top w:val="none" w:sz="0" w:space="0" w:color="auto"/>
        <w:left w:val="none" w:sz="0" w:space="0" w:color="auto"/>
        <w:bottom w:val="none" w:sz="0" w:space="0" w:color="auto"/>
        <w:right w:val="none" w:sz="0" w:space="0" w:color="auto"/>
      </w:divBdr>
    </w:div>
    <w:div w:id="1991865930">
      <w:marLeft w:val="0"/>
      <w:marRight w:val="0"/>
      <w:marTop w:val="10"/>
      <w:marBottom w:val="10"/>
      <w:divBdr>
        <w:top w:val="none" w:sz="0" w:space="0" w:color="auto"/>
        <w:left w:val="none" w:sz="0" w:space="0" w:color="auto"/>
        <w:bottom w:val="none" w:sz="0" w:space="0" w:color="auto"/>
        <w:right w:val="none" w:sz="0" w:space="0" w:color="auto"/>
      </w:divBdr>
    </w:div>
    <w:div w:id="2060744187">
      <w:marLeft w:val="0"/>
      <w:marRight w:val="0"/>
      <w:marTop w:val="10"/>
      <w:marBottom w:val="10"/>
      <w:divBdr>
        <w:top w:val="none" w:sz="0" w:space="0" w:color="auto"/>
        <w:left w:val="none" w:sz="0" w:space="0" w:color="auto"/>
        <w:bottom w:val="none" w:sz="0" w:space="0" w:color="auto"/>
        <w:right w:val="none" w:sz="0" w:space="0" w:color="auto"/>
      </w:divBdr>
    </w:div>
    <w:div w:id="2069304049">
      <w:marLeft w:val="0"/>
      <w:marRight w:val="0"/>
      <w:marTop w:val="10"/>
      <w:marBottom w:val="10"/>
      <w:divBdr>
        <w:top w:val="none" w:sz="0" w:space="0" w:color="auto"/>
        <w:left w:val="none" w:sz="0" w:space="0" w:color="auto"/>
        <w:bottom w:val="none" w:sz="0" w:space="0" w:color="auto"/>
        <w:right w:val="none" w:sz="0" w:space="0" w:color="auto"/>
      </w:divBdr>
    </w:div>
    <w:div w:id="2089420391">
      <w:marLeft w:val="0"/>
      <w:marRight w:val="720"/>
      <w:marTop w:val="10"/>
      <w:marBottom w:val="10"/>
      <w:divBdr>
        <w:top w:val="none" w:sz="0" w:space="0" w:color="auto"/>
        <w:left w:val="none" w:sz="0" w:space="0" w:color="auto"/>
        <w:bottom w:val="none" w:sz="0" w:space="0" w:color="auto"/>
        <w:right w:val="none" w:sz="0" w:space="0" w:color="auto"/>
      </w:divBdr>
    </w:div>
    <w:div w:id="209146066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