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D958C5">
      <w:pPr>
        <w:spacing w:line="500" w:lineRule="atLeast"/>
        <w:jc w:val="center"/>
        <w:divId w:val="1570114191"/>
        <w:rPr>
          <w:rFonts w:ascii="黑体" w:eastAsia="黑体" w:hAnsi="黑体"/>
          <w:sz w:val="36"/>
          <w:szCs w:val="36"/>
        </w:rPr>
      </w:pPr>
      <w:bookmarkStart w:id="0" w:name="_GoBack"/>
      <w:bookmarkEnd w:id="0"/>
      <w:r>
        <w:rPr>
          <w:rFonts w:ascii="黑体" w:eastAsia="黑体" w:hAnsi="黑体" w:hint="eastAsia"/>
          <w:sz w:val="36"/>
          <w:szCs w:val="36"/>
        </w:rPr>
        <w:t>广东省深圳市中级人民法院</w:t>
      </w:r>
    </w:p>
    <w:p w:rsidR="00000000" w:rsidRDefault="00D958C5">
      <w:pPr>
        <w:spacing w:line="500" w:lineRule="atLeast"/>
        <w:jc w:val="center"/>
        <w:divId w:val="277182369"/>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D958C5">
      <w:pPr>
        <w:spacing w:line="500" w:lineRule="atLeast"/>
        <w:jc w:val="right"/>
        <w:divId w:val="419528138"/>
        <w:rPr>
          <w:rFonts w:hint="eastAsia"/>
          <w:sz w:val="30"/>
          <w:szCs w:val="30"/>
        </w:rPr>
      </w:pPr>
      <w:r>
        <w:rPr>
          <w:rFonts w:hint="eastAsia"/>
          <w:sz w:val="30"/>
          <w:szCs w:val="30"/>
        </w:rPr>
        <w:t>（</w:t>
      </w:r>
      <w:r>
        <w:rPr>
          <w:rFonts w:hint="eastAsia"/>
          <w:sz w:val="30"/>
          <w:szCs w:val="30"/>
        </w:rPr>
        <w:t>2014</w:t>
      </w:r>
      <w:r>
        <w:rPr>
          <w:rFonts w:hint="eastAsia"/>
          <w:sz w:val="30"/>
          <w:szCs w:val="30"/>
        </w:rPr>
        <w:t>）深中法商终字第</w:t>
      </w:r>
      <w:r>
        <w:rPr>
          <w:rFonts w:hint="eastAsia"/>
          <w:sz w:val="30"/>
          <w:szCs w:val="30"/>
        </w:rPr>
        <w:t>1733</w:t>
      </w:r>
      <w:r>
        <w:rPr>
          <w:rFonts w:hint="eastAsia"/>
          <w:sz w:val="30"/>
          <w:szCs w:val="30"/>
        </w:rPr>
        <w:t>号</w:t>
      </w:r>
    </w:p>
    <w:p w:rsidR="00000000" w:rsidRDefault="00D958C5">
      <w:pPr>
        <w:spacing w:line="500" w:lineRule="atLeast"/>
        <w:ind w:firstLine="600"/>
        <w:divId w:val="1399089613"/>
        <w:rPr>
          <w:rFonts w:hint="eastAsia"/>
          <w:sz w:val="30"/>
          <w:szCs w:val="30"/>
        </w:rPr>
      </w:pPr>
      <w:r>
        <w:rPr>
          <w:rFonts w:hint="eastAsia"/>
          <w:sz w:val="30"/>
          <w:szCs w:val="30"/>
        </w:rPr>
        <w:t>上诉人（原审被告）：司徒志，男，汉族。</w:t>
      </w:r>
    </w:p>
    <w:p w:rsidR="00000000" w:rsidRDefault="00D958C5">
      <w:pPr>
        <w:spacing w:line="500" w:lineRule="atLeast"/>
        <w:ind w:firstLine="600"/>
        <w:divId w:val="339700442"/>
        <w:rPr>
          <w:rFonts w:hint="eastAsia"/>
          <w:sz w:val="30"/>
          <w:szCs w:val="30"/>
        </w:rPr>
      </w:pPr>
      <w:r>
        <w:rPr>
          <w:rFonts w:hint="eastAsia"/>
          <w:sz w:val="30"/>
          <w:szCs w:val="30"/>
        </w:rPr>
        <w:t>委托代理人：祝聪，广东民生康田律师事务所律师。</w:t>
      </w:r>
    </w:p>
    <w:p w:rsidR="00000000" w:rsidRDefault="00D958C5">
      <w:pPr>
        <w:spacing w:line="500" w:lineRule="atLeast"/>
        <w:ind w:firstLine="600"/>
        <w:divId w:val="1300964027"/>
        <w:rPr>
          <w:rFonts w:hint="eastAsia"/>
          <w:sz w:val="30"/>
          <w:szCs w:val="30"/>
        </w:rPr>
      </w:pPr>
      <w:r>
        <w:rPr>
          <w:rFonts w:hint="eastAsia"/>
          <w:sz w:val="30"/>
          <w:szCs w:val="30"/>
        </w:rPr>
        <w:t>被上诉人（原审原告）：黄素玲，女，汉族。</w:t>
      </w:r>
    </w:p>
    <w:p w:rsidR="00000000" w:rsidRDefault="00D958C5">
      <w:pPr>
        <w:spacing w:line="500" w:lineRule="atLeast"/>
        <w:ind w:firstLine="600"/>
        <w:divId w:val="1690402349"/>
        <w:rPr>
          <w:rFonts w:hint="eastAsia"/>
          <w:sz w:val="30"/>
          <w:szCs w:val="30"/>
        </w:rPr>
      </w:pPr>
      <w:r>
        <w:rPr>
          <w:rFonts w:hint="eastAsia"/>
          <w:sz w:val="30"/>
          <w:szCs w:val="30"/>
        </w:rPr>
        <w:t>委托代理人：李铁牛，广东滨都律师事务所律师</w:t>
      </w:r>
      <w:r>
        <w:rPr>
          <w:rFonts w:hint="eastAsia"/>
          <w:sz w:val="30"/>
          <w:szCs w:val="30"/>
        </w:rPr>
        <w:t>.</w:t>
      </w:r>
    </w:p>
    <w:p w:rsidR="00000000" w:rsidRDefault="00D958C5">
      <w:pPr>
        <w:spacing w:line="500" w:lineRule="atLeast"/>
        <w:ind w:firstLine="600"/>
        <w:divId w:val="721098455"/>
        <w:rPr>
          <w:rFonts w:hint="eastAsia"/>
          <w:sz w:val="30"/>
          <w:szCs w:val="30"/>
        </w:rPr>
      </w:pPr>
      <w:r>
        <w:rPr>
          <w:rFonts w:hint="eastAsia"/>
          <w:sz w:val="30"/>
          <w:szCs w:val="30"/>
        </w:rPr>
        <w:t>委托代理人：曾雄强，男，汉族。</w:t>
      </w:r>
    </w:p>
    <w:p w:rsidR="00000000" w:rsidRDefault="00D958C5">
      <w:pPr>
        <w:spacing w:line="500" w:lineRule="atLeast"/>
        <w:ind w:firstLine="600"/>
        <w:divId w:val="1441802815"/>
        <w:rPr>
          <w:rFonts w:hint="eastAsia"/>
          <w:sz w:val="30"/>
          <w:szCs w:val="30"/>
        </w:rPr>
      </w:pPr>
      <w:r>
        <w:rPr>
          <w:rFonts w:hint="eastAsia"/>
          <w:sz w:val="30"/>
          <w:szCs w:val="30"/>
        </w:rPr>
        <w:t>被上诉人（原审被告）：深圳市众杰通贸易有限公司（原名称为深圳市润彤菱镁矿制品有限公司），住所地：深圳市福田区中康路</w:t>
      </w:r>
      <w:r>
        <w:rPr>
          <w:rFonts w:hint="eastAsia"/>
          <w:sz w:val="30"/>
          <w:szCs w:val="30"/>
        </w:rPr>
        <w:t>31</w:t>
      </w:r>
      <w:r>
        <w:rPr>
          <w:rFonts w:hint="eastAsia"/>
          <w:sz w:val="30"/>
          <w:szCs w:val="30"/>
        </w:rPr>
        <w:t>号东梅单身公寓</w:t>
      </w:r>
      <w:r>
        <w:rPr>
          <w:rFonts w:hint="eastAsia"/>
          <w:sz w:val="30"/>
          <w:szCs w:val="30"/>
        </w:rPr>
        <w:t>413</w:t>
      </w:r>
      <w:r>
        <w:rPr>
          <w:rFonts w:hint="eastAsia"/>
          <w:sz w:val="30"/>
          <w:szCs w:val="30"/>
        </w:rPr>
        <w:t>号，组织机构代码：</w:t>
      </w:r>
      <w:r>
        <w:rPr>
          <w:rFonts w:hint="eastAsia"/>
          <w:sz w:val="30"/>
          <w:szCs w:val="30"/>
        </w:rPr>
        <w:t>68944881-6</w:t>
      </w:r>
      <w:r>
        <w:rPr>
          <w:rFonts w:hint="eastAsia"/>
          <w:sz w:val="30"/>
          <w:szCs w:val="30"/>
        </w:rPr>
        <w:t>。</w:t>
      </w:r>
    </w:p>
    <w:p w:rsidR="00000000" w:rsidRDefault="00D958C5">
      <w:pPr>
        <w:spacing w:line="500" w:lineRule="atLeast"/>
        <w:ind w:firstLine="600"/>
        <w:divId w:val="1078941822"/>
        <w:rPr>
          <w:rFonts w:hint="eastAsia"/>
          <w:sz w:val="30"/>
          <w:szCs w:val="30"/>
        </w:rPr>
      </w:pPr>
      <w:r>
        <w:rPr>
          <w:rFonts w:hint="eastAsia"/>
          <w:sz w:val="30"/>
          <w:szCs w:val="30"/>
        </w:rPr>
        <w:t>法定代表人：陈应明，总经理。</w:t>
      </w:r>
    </w:p>
    <w:p w:rsidR="00000000" w:rsidRDefault="00D958C5">
      <w:pPr>
        <w:spacing w:line="500" w:lineRule="atLeast"/>
        <w:ind w:firstLine="600"/>
        <w:divId w:val="1794210138"/>
        <w:rPr>
          <w:rFonts w:hint="eastAsia"/>
          <w:sz w:val="30"/>
          <w:szCs w:val="30"/>
        </w:rPr>
      </w:pPr>
      <w:r>
        <w:rPr>
          <w:rFonts w:hint="eastAsia"/>
          <w:sz w:val="30"/>
          <w:szCs w:val="30"/>
        </w:rPr>
        <w:t>上诉人司徒志因与被上诉人黄素玲、深圳市众杰通贸易有限公司（以下简称众杰通公司）董事损害公司利益责任纠纷一案，不服深圳市盐田区人民法院（</w:t>
      </w:r>
      <w:r>
        <w:rPr>
          <w:rFonts w:hint="eastAsia"/>
          <w:sz w:val="30"/>
          <w:szCs w:val="30"/>
        </w:rPr>
        <w:t>2011</w:t>
      </w:r>
      <w:r>
        <w:rPr>
          <w:rFonts w:hint="eastAsia"/>
          <w:sz w:val="30"/>
          <w:szCs w:val="30"/>
        </w:rPr>
        <w:t>）深盐法民二初字第</w:t>
      </w:r>
      <w:r>
        <w:rPr>
          <w:rFonts w:hint="eastAsia"/>
          <w:sz w:val="30"/>
          <w:szCs w:val="30"/>
        </w:rPr>
        <w:t>252</w:t>
      </w:r>
      <w:r>
        <w:rPr>
          <w:rFonts w:hint="eastAsia"/>
          <w:sz w:val="30"/>
          <w:szCs w:val="30"/>
        </w:rPr>
        <w:t>号判决，向本院提起上诉。本院受理后，依法组成合议庭进行了审理。本案现已审理终结。</w:t>
      </w:r>
    </w:p>
    <w:p w:rsidR="00000000" w:rsidRDefault="00D958C5">
      <w:pPr>
        <w:spacing w:line="500" w:lineRule="atLeast"/>
        <w:ind w:firstLine="600"/>
        <w:divId w:val="331492814"/>
        <w:rPr>
          <w:rFonts w:hint="eastAsia"/>
          <w:sz w:val="30"/>
          <w:szCs w:val="30"/>
        </w:rPr>
      </w:pPr>
      <w:r>
        <w:rPr>
          <w:rFonts w:hint="eastAsia"/>
          <w:sz w:val="30"/>
          <w:szCs w:val="30"/>
        </w:rPr>
        <w:t>原审法院经审理查明：</w:t>
      </w:r>
      <w:r>
        <w:rPr>
          <w:rFonts w:hint="eastAsia"/>
          <w:sz w:val="30"/>
          <w:szCs w:val="30"/>
        </w:rPr>
        <w:t>2002</w:t>
      </w:r>
      <w:r>
        <w:rPr>
          <w:rFonts w:hint="eastAsia"/>
          <w:sz w:val="30"/>
          <w:szCs w:val="30"/>
        </w:rPr>
        <w:t>年</w:t>
      </w:r>
      <w:r>
        <w:rPr>
          <w:rFonts w:hint="eastAsia"/>
          <w:sz w:val="30"/>
          <w:szCs w:val="30"/>
        </w:rPr>
        <w:t>4</w:t>
      </w:r>
      <w:r>
        <w:rPr>
          <w:rFonts w:hint="eastAsia"/>
          <w:sz w:val="30"/>
          <w:szCs w:val="30"/>
        </w:rPr>
        <w:t>月</w:t>
      </w:r>
      <w:r>
        <w:rPr>
          <w:rFonts w:hint="eastAsia"/>
          <w:sz w:val="30"/>
          <w:szCs w:val="30"/>
        </w:rPr>
        <w:t>8</w:t>
      </w:r>
      <w:r>
        <w:rPr>
          <w:rFonts w:hint="eastAsia"/>
          <w:sz w:val="30"/>
          <w:szCs w:val="30"/>
        </w:rPr>
        <w:t>日，黄素玲与司徒志共同设立深圳市高科城实业有限公司（以下简称高科城公司），注册资本人民币（以下币种均为人民币）</w:t>
      </w:r>
      <w:r>
        <w:rPr>
          <w:rFonts w:hint="eastAsia"/>
          <w:sz w:val="30"/>
          <w:szCs w:val="30"/>
        </w:rPr>
        <w:t>200</w:t>
      </w:r>
      <w:r>
        <w:rPr>
          <w:rFonts w:hint="eastAsia"/>
          <w:sz w:val="30"/>
          <w:szCs w:val="30"/>
        </w:rPr>
        <w:t>万元，其中黄素玲出资</w:t>
      </w:r>
      <w:r>
        <w:rPr>
          <w:rFonts w:hint="eastAsia"/>
          <w:sz w:val="30"/>
          <w:szCs w:val="30"/>
        </w:rPr>
        <w:t>98</w:t>
      </w:r>
      <w:r>
        <w:rPr>
          <w:rFonts w:hint="eastAsia"/>
          <w:sz w:val="30"/>
          <w:szCs w:val="30"/>
        </w:rPr>
        <w:t>万元，持股比例</w:t>
      </w:r>
      <w:r>
        <w:rPr>
          <w:rFonts w:hint="eastAsia"/>
          <w:sz w:val="30"/>
          <w:szCs w:val="30"/>
        </w:rPr>
        <w:t>49%</w:t>
      </w:r>
      <w:r>
        <w:rPr>
          <w:rFonts w:hint="eastAsia"/>
          <w:sz w:val="30"/>
          <w:szCs w:val="30"/>
        </w:rPr>
        <w:t>，任公司监事，司徒志出资</w:t>
      </w:r>
      <w:r>
        <w:rPr>
          <w:rFonts w:hint="eastAsia"/>
          <w:sz w:val="30"/>
          <w:szCs w:val="30"/>
        </w:rPr>
        <w:t>102</w:t>
      </w:r>
      <w:r>
        <w:rPr>
          <w:rFonts w:hint="eastAsia"/>
          <w:sz w:val="30"/>
          <w:szCs w:val="30"/>
        </w:rPr>
        <w:t>万元，持股比例</w:t>
      </w:r>
      <w:r>
        <w:rPr>
          <w:rFonts w:hint="eastAsia"/>
          <w:sz w:val="30"/>
          <w:szCs w:val="30"/>
        </w:rPr>
        <w:t>51</w:t>
      </w:r>
      <w:r>
        <w:rPr>
          <w:rFonts w:hint="eastAsia"/>
          <w:sz w:val="30"/>
          <w:szCs w:val="30"/>
        </w:rPr>
        <w:t>％，任公司执行董事、</w:t>
      </w:r>
      <w:r>
        <w:rPr>
          <w:rFonts w:hint="eastAsia"/>
          <w:sz w:val="30"/>
          <w:szCs w:val="30"/>
        </w:rPr>
        <w:t>法定代表人，公司注册地址为深圳市盐田区盐田山边村。高科城公司经营范围为：兴办实业、国内商业、物资供销业（不含专营、专供、专卖商品）、自营进口业务（具体按进出口企业资格经营证书经营）。</w:t>
      </w:r>
      <w:r>
        <w:rPr>
          <w:rFonts w:hint="eastAsia"/>
          <w:sz w:val="30"/>
          <w:szCs w:val="30"/>
        </w:rPr>
        <w:t>2003</w:t>
      </w:r>
      <w:r>
        <w:rPr>
          <w:rFonts w:hint="eastAsia"/>
          <w:sz w:val="30"/>
          <w:szCs w:val="30"/>
        </w:rPr>
        <w:t>年</w:t>
      </w:r>
      <w:r>
        <w:rPr>
          <w:rFonts w:hint="eastAsia"/>
          <w:sz w:val="30"/>
          <w:szCs w:val="30"/>
        </w:rPr>
        <w:t>7</w:t>
      </w:r>
      <w:r>
        <w:rPr>
          <w:rFonts w:hint="eastAsia"/>
          <w:sz w:val="30"/>
          <w:szCs w:val="30"/>
        </w:rPr>
        <w:t>月</w:t>
      </w:r>
      <w:r>
        <w:rPr>
          <w:rFonts w:hint="eastAsia"/>
          <w:sz w:val="30"/>
          <w:szCs w:val="30"/>
        </w:rPr>
        <w:t>10</w:t>
      </w:r>
      <w:r>
        <w:rPr>
          <w:rFonts w:hint="eastAsia"/>
          <w:sz w:val="30"/>
          <w:szCs w:val="30"/>
        </w:rPr>
        <w:t>日，高科城公司设立分公司卡板厂，</w:t>
      </w:r>
      <w:r>
        <w:rPr>
          <w:rFonts w:hint="eastAsia"/>
          <w:sz w:val="30"/>
          <w:szCs w:val="30"/>
        </w:rPr>
        <w:lastRenderedPageBreak/>
        <w:t>经营项目为：托卡板、防火板销售，技术研究、开发、生产及销售卡／托板、玻镁植纤防火板。</w:t>
      </w:r>
      <w:r>
        <w:rPr>
          <w:rFonts w:hint="eastAsia"/>
          <w:sz w:val="30"/>
          <w:szCs w:val="30"/>
        </w:rPr>
        <w:t>2010</w:t>
      </w:r>
      <w:r>
        <w:rPr>
          <w:rFonts w:hint="eastAsia"/>
          <w:sz w:val="30"/>
          <w:szCs w:val="30"/>
        </w:rPr>
        <w:t>年</w:t>
      </w:r>
      <w:r>
        <w:rPr>
          <w:rFonts w:hint="eastAsia"/>
          <w:sz w:val="30"/>
          <w:szCs w:val="30"/>
        </w:rPr>
        <w:t>5</w:t>
      </w:r>
      <w:r>
        <w:rPr>
          <w:rFonts w:hint="eastAsia"/>
          <w:sz w:val="30"/>
          <w:szCs w:val="30"/>
        </w:rPr>
        <w:t>月，卡板厂由司徒志申请注销。</w:t>
      </w:r>
      <w:r>
        <w:rPr>
          <w:rFonts w:hint="eastAsia"/>
          <w:sz w:val="30"/>
          <w:szCs w:val="30"/>
        </w:rPr>
        <w:t>2009</w:t>
      </w:r>
      <w:r>
        <w:rPr>
          <w:rFonts w:hint="eastAsia"/>
          <w:sz w:val="30"/>
          <w:szCs w:val="30"/>
        </w:rPr>
        <w:t>年</w:t>
      </w:r>
      <w:r>
        <w:rPr>
          <w:rFonts w:hint="eastAsia"/>
          <w:sz w:val="30"/>
          <w:szCs w:val="30"/>
        </w:rPr>
        <w:t>5</w:t>
      </w:r>
      <w:r>
        <w:rPr>
          <w:rFonts w:hint="eastAsia"/>
          <w:sz w:val="30"/>
          <w:szCs w:val="30"/>
        </w:rPr>
        <w:t>月</w:t>
      </w:r>
      <w:r>
        <w:rPr>
          <w:rFonts w:hint="eastAsia"/>
          <w:sz w:val="30"/>
          <w:szCs w:val="30"/>
        </w:rPr>
        <w:t>18</w:t>
      </w:r>
      <w:r>
        <w:rPr>
          <w:rFonts w:hint="eastAsia"/>
          <w:sz w:val="30"/>
          <w:szCs w:val="30"/>
        </w:rPr>
        <w:t>日，司徒志和案外人深圳市润彤投资有限公司共同设立深圳市润彤菱镁矿制品有限公司（众杰通公司原名称，以下简称润彤公司）。润彤公司注册资本</w:t>
      </w:r>
      <w:r>
        <w:rPr>
          <w:rFonts w:hint="eastAsia"/>
          <w:sz w:val="30"/>
          <w:szCs w:val="30"/>
        </w:rPr>
        <w:t>200</w:t>
      </w:r>
      <w:r>
        <w:rPr>
          <w:rFonts w:hint="eastAsia"/>
          <w:sz w:val="30"/>
          <w:szCs w:val="30"/>
        </w:rPr>
        <w:t>万元，司徒志出资</w:t>
      </w:r>
      <w:r>
        <w:rPr>
          <w:rFonts w:hint="eastAsia"/>
          <w:sz w:val="30"/>
          <w:szCs w:val="30"/>
        </w:rPr>
        <w:t>80</w:t>
      </w:r>
      <w:r>
        <w:rPr>
          <w:rFonts w:hint="eastAsia"/>
          <w:sz w:val="30"/>
          <w:szCs w:val="30"/>
        </w:rPr>
        <w:t>万元，持股比例</w:t>
      </w:r>
      <w:r>
        <w:rPr>
          <w:rFonts w:hint="eastAsia"/>
          <w:sz w:val="30"/>
          <w:szCs w:val="30"/>
        </w:rPr>
        <w:t>40%</w:t>
      </w:r>
      <w:r>
        <w:rPr>
          <w:rFonts w:hint="eastAsia"/>
          <w:sz w:val="30"/>
          <w:szCs w:val="30"/>
        </w:rPr>
        <w:t>，深圳市润彤投资有限公司出资</w:t>
      </w:r>
      <w:r>
        <w:rPr>
          <w:rFonts w:hint="eastAsia"/>
          <w:sz w:val="30"/>
          <w:szCs w:val="30"/>
        </w:rPr>
        <w:t>120</w:t>
      </w:r>
      <w:r>
        <w:rPr>
          <w:rFonts w:hint="eastAsia"/>
          <w:sz w:val="30"/>
          <w:szCs w:val="30"/>
        </w:rPr>
        <w:t>万元，持股比例</w:t>
      </w:r>
      <w:r>
        <w:rPr>
          <w:rFonts w:hint="eastAsia"/>
          <w:sz w:val="30"/>
          <w:szCs w:val="30"/>
        </w:rPr>
        <w:t>60</w:t>
      </w:r>
      <w:r>
        <w:rPr>
          <w:rFonts w:hint="eastAsia"/>
          <w:sz w:val="30"/>
          <w:szCs w:val="30"/>
        </w:rPr>
        <w:t>％。公司注册地址为深圳市坪山新区江岭社区，经营范围：菱镁矿制品、菱镁耐火材料的生产加工、销售、技术开发，公司董事为陈某、邱某和司徒志。</w:t>
      </w:r>
      <w:r>
        <w:rPr>
          <w:rFonts w:hint="eastAsia"/>
          <w:sz w:val="30"/>
          <w:szCs w:val="30"/>
        </w:rPr>
        <w:t>2010</w:t>
      </w:r>
      <w:r>
        <w:rPr>
          <w:rFonts w:hint="eastAsia"/>
          <w:sz w:val="30"/>
          <w:szCs w:val="30"/>
        </w:rPr>
        <w:t>年</w:t>
      </w:r>
      <w:r>
        <w:rPr>
          <w:rFonts w:hint="eastAsia"/>
          <w:sz w:val="30"/>
          <w:szCs w:val="30"/>
        </w:rPr>
        <w:t>8</w:t>
      </w:r>
      <w:r>
        <w:rPr>
          <w:rFonts w:hint="eastAsia"/>
          <w:sz w:val="30"/>
          <w:szCs w:val="30"/>
        </w:rPr>
        <w:t>月</w:t>
      </w:r>
      <w:r>
        <w:rPr>
          <w:rFonts w:hint="eastAsia"/>
          <w:sz w:val="30"/>
          <w:szCs w:val="30"/>
        </w:rPr>
        <w:t>17</w:t>
      </w:r>
      <w:r>
        <w:rPr>
          <w:rFonts w:hint="eastAsia"/>
          <w:sz w:val="30"/>
          <w:szCs w:val="30"/>
        </w:rPr>
        <w:t>日，司徒志将其</w:t>
      </w:r>
      <w:r>
        <w:rPr>
          <w:rFonts w:hint="eastAsia"/>
          <w:sz w:val="30"/>
          <w:szCs w:val="30"/>
        </w:rPr>
        <w:t>40%</w:t>
      </w:r>
      <w:r>
        <w:rPr>
          <w:rFonts w:hint="eastAsia"/>
          <w:sz w:val="30"/>
          <w:szCs w:val="30"/>
        </w:rPr>
        <w:t>的股权以一元的价格转让给何某某，</w:t>
      </w:r>
      <w:r>
        <w:rPr>
          <w:rFonts w:hint="eastAsia"/>
          <w:sz w:val="30"/>
          <w:szCs w:val="30"/>
        </w:rPr>
        <w:t>2010</w:t>
      </w:r>
      <w:r>
        <w:rPr>
          <w:rFonts w:hint="eastAsia"/>
          <w:sz w:val="30"/>
          <w:szCs w:val="30"/>
        </w:rPr>
        <w:t>年</w:t>
      </w:r>
      <w:r>
        <w:rPr>
          <w:rFonts w:hint="eastAsia"/>
          <w:sz w:val="30"/>
          <w:szCs w:val="30"/>
        </w:rPr>
        <w:t>12</w:t>
      </w:r>
      <w:r>
        <w:rPr>
          <w:rFonts w:hint="eastAsia"/>
          <w:sz w:val="30"/>
          <w:szCs w:val="30"/>
        </w:rPr>
        <w:t>月</w:t>
      </w:r>
      <w:r>
        <w:rPr>
          <w:rFonts w:hint="eastAsia"/>
          <w:sz w:val="30"/>
          <w:szCs w:val="30"/>
        </w:rPr>
        <w:t>29</w:t>
      </w:r>
      <w:r>
        <w:rPr>
          <w:rFonts w:hint="eastAsia"/>
          <w:sz w:val="30"/>
          <w:szCs w:val="30"/>
        </w:rPr>
        <w:t>日，进行了变更登记，何某某系司徒志妻子何某艳的父亲。</w:t>
      </w:r>
      <w:r>
        <w:rPr>
          <w:rFonts w:hint="eastAsia"/>
          <w:sz w:val="30"/>
          <w:szCs w:val="30"/>
        </w:rPr>
        <w:t>2011</w:t>
      </w:r>
      <w:r>
        <w:rPr>
          <w:rFonts w:hint="eastAsia"/>
          <w:sz w:val="30"/>
          <w:szCs w:val="30"/>
        </w:rPr>
        <w:t>年</w:t>
      </w:r>
      <w:r>
        <w:rPr>
          <w:rFonts w:hint="eastAsia"/>
          <w:sz w:val="30"/>
          <w:szCs w:val="30"/>
        </w:rPr>
        <w:t>6</w:t>
      </w:r>
      <w:r>
        <w:rPr>
          <w:rFonts w:hint="eastAsia"/>
          <w:sz w:val="30"/>
          <w:szCs w:val="30"/>
        </w:rPr>
        <w:t>月</w:t>
      </w:r>
      <w:r>
        <w:rPr>
          <w:rFonts w:hint="eastAsia"/>
          <w:sz w:val="30"/>
          <w:szCs w:val="30"/>
        </w:rPr>
        <w:t>29</w:t>
      </w:r>
      <w:r>
        <w:rPr>
          <w:rFonts w:hint="eastAsia"/>
          <w:sz w:val="30"/>
          <w:szCs w:val="30"/>
        </w:rPr>
        <w:t>日，公司董事变更为陈某、邱某、何某某。</w:t>
      </w:r>
      <w:r>
        <w:rPr>
          <w:rFonts w:hint="eastAsia"/>
          <w:sz w:val="30"/>
          <w:szCs w:val="30"/>
        </w:rPr>
        <w:t>2013</w:t>
      </w:r>
      <w:r>
        <w:rPr>
          <w:rFonts w:hint="eastAsia"/>
          <w:sz w:val="30"/>
          <w:szCs w:val="30"/>
        </w:rPr>
        <w:t>年</w:t>
      </w:r>
      <w:r>
        <w:rPr>
          <w:rFonts w:hint="eastAsia"/>
          <w:sz w:val="30"/>
          <w:szCs w:val="30"/>
        </w:rPr>
        <w:t>6</w:t>
      </w:r>
      <w:r>
        <w:rPr>
          <w:rFonts w:hint="eastAsia"/>
          <w:sz w:val="30"/>
          <w:szCs w:val="30"/>
        </w:rPr>
        <w:t>月</w:t>
      </w:r>
      <w:r>
        <w:rPr>
          <w:rFonts w:hint="eastAsia"/>
          <w:sz w:val="30"/>
          <w:szCs w:val="30"/>
        </w:rPr>
        <w:t>24</w:t>
      </w:r>
      <w:r>
        <w:rPr>
          <w:rFonts w:hint="eastAsia"/>
          <w:sz w:val="30"/>
          <w:szCs w:val="30"/>
        </w:rPr>
        <w:t>日，公司股东变更为庄某某一人，监事邝某某是前卡板厂员工、技术骨干。根据</w:t>
      </w:r>
      <w:r>
        <w:rPr>
          <w:rFonts w:hint="eastAsia"/>
          <w:sz w:val="30"/>
          <w:szCs w:val="30"/>
        </w:rPr>
        <w:t>司徒志以及润彤公司的陈述，均表示司徒志没有在润彤公司领取工资、红利，也没有其他收入。根据中勤万信会计师事务所深圳分所的审计，由于高科城公司及卡板厂董事会、股东会会议机制不健全，会计基础工作、会计核算不规范，所以不能核实高科城公司和卡板厂的财务报表是否公允的反映了企业的资产财务状况，不能核实高科城公司和卡板厂是否存在经营亏损。</w:t>
      </w:r>
    </w:p>
    <w:p w:rsidR="00000000" w:rsidRDefault="00D958C5">
      <w:pPr>
        <w:spacing w:line="500" w:lineRule="atLeast"/>
        <w:ind w:firstLine="600"/>
        <w:divId w:val="1110203144"/>
        <w:rPr>
          <w:rFonts w:hint="eastAsia"/>
          <w:sz w:val="30"/>
          <w:szCs w:val="30"/>
        </w:rPr>
      </w:pPr>
      <w:r>
        <w:rPr>
          <w:rFonts w:hint="eastAsia"/>
          <w:sz w:val="30"/>
          <w:szCs w:val="30"/>
        </w:rPr>
        <w:t>黄素玲的原审诉讼请求为：</w:t>
      </w:r>
      <w:r>
        <w:rPr>
          <w:rFonts w:hint="eastAsia"/>
          <w:sz w:val="30"/>
          <w:szCs w:val="30"/>
        </w:rPr>
        <w:t>1</w:t>
      </w:r>
      <w:r>
        <w:rPr>
          <w:rFonts w:hint="eastAsia"/>
          <w:sz w:val="30"/>
          <w:szCs w:val="30"/>
        </w:rPr>
        <w:t>、司徒志停止担任润彤公司董事职务，退出其岳父何某某在润彤公司代为持有的</w:t>
      </w:r>
      <w:r>
        <w:rPr>
          <w:rFonts w:hint="eastAsia"/>
          <w:sz w:val="30"/>
          <w:szCs w:val="30"/>
        </w:rPr>
        <w:t>40</w:t>
      </w:r>
      <w:r>
        <w:rPr>
          <w:rFonts w:hint="eastAsia"/>
          <w:sz w:val="30"/>
          <w:szCs w:val="30"/>
        </w:rPr>
        <w:t>％股份；</w:t>
      </w:r>
      <w:r>
        <w:rPr>
          <w:rFonts w:hint="eastAsia"/>
          <w:sz w:val="30"/>
          <w:szCs w:val="30"/>
        </w:rPr>
        <w:t>2</w:t>
      </w:r>
      <w:r>
        <w:rPr>
          <w:rFonts w:hint="eastAsia"/>
          <w:sz w:val="30"/>
          <w:szCs w:val="30"/>
        </w:rPr>
        <w:t>、司徒志在润彤公司的全部收入</w:t>
      </w:r>
      <w:r>
        <w:rPr>
          <w:rFonts w:hint="eastAsia"/>
          <w:sz w:val="30"/>
          <w:szCs w:val="30"/>
        </w:rPr>
        <w:t>100000</w:t>
      </w:r>
      <w:r>
        <w:rPr>
          <w:rFonts w:hint="eastAsia"/>
          <w:sz w:val="30"/>
          <w:szCs w:val="30"/>
        </w:rPr>
        <w:t>元归高科城公司所有；</w:t>
      </w:r>
      <w:r>
        <w:rPr>
          <w:rFonts w:hint="eastAsia"/>
          <w:sz w:val="30"/>
          <w:szCs w:val="30"/>
        </w:rPr>
        <w:t>3</w:t>
      </w:r>
      <w:r>
        <w:rPr>
          <w:rFonts w:hint="eastAsia"/>
          <w:sz w:val="30"/>
          <w:szCs w:val="30"/>
        </w:rPr>
        <w:t>、司徒志赔偿</w:t>
      </w:r>
      <w:r>
        <w:rPr>
          <w:rFonts w:hint="eastAsia"/>
          <w:sz w:val="30"/>
          <w:szCs w:val="30"/>
        </w:rPr>
        <w:t>因其侵权行为给高科城公司造成的损失</w:t>
      </w:r>
      <w:r>
        <w:rPr>
          <w:rFonts w:hint="eastAsia"/>
          <w:sz w:val="30"/>
          <w:szCs w:val="30"/>
        </w:rPr>
        <w:t>200000</w:t>
      </w:r>
      <w:r>
        <w:rPr>
          <w:rFonts w:hint="eastAsia"/>
          <w:sz w:val="30"/>
          <w:szCs w:val="30"/>
        </w:rPr>
        <w:t>元，润彤公司承担连带责任；</w:t>
      </w:r>
      <w:r>
        <w:rPr>
          <w:rFonts w:hint="eastAsia"/>
          <w:sz w:val="30"/>
          <w:szCs w:val="30"/>
        </w:rPr>
        <w:t>4</w:t>
      </w:r>
      <w:r>
        <w:rPr>
          <w:rFonts w:hint="eastAsia"/>
          <w:sz w:val="30"/>
          <w:szCs w:val="30"/>
        </w:rPr>
        <w:t>、诉讼费由司徒志负担。</w:t>
      </w:r>
    </w:p>
    <w:p w:rsidR="00000000" w:rsidRDefault="00D958C5">
      <w:pPr>
        <w:spacing w:line="500" w:lineRule="atLeast"/>
        <w:ind w:firstLine="600"/>
        <w:divId w:val="1850606601"/>
        <w:rPr>
          <w:rFonts w:hint="eastAsia"/>
          <w:sz w:val="30"/>
          <w:szCs w:val="30"/>
        </w:rPr>
      </w:pPr>
      <w:r>
        <w:rPr>
          <w:rFonts w:hint="eastAsia"/>
          <w:sz w:val="30"/>
          <w:szCs w:val="30"/>
        </w:rPr>
        <w:lastRenderedPageBreak/>
        <w:t>原审法院认为：公司董事、高级管理人员应对公司负有忠实义务、勤勉义务，不得自营或者为他人经营与所任职公司同类的业务。本案润彤公司无论是从经营范围、产品名称还是宣传图片，与高科城公司卡板厂均存在同一性或类似性，属于经营同类业务的公司。司徒志作为高科城公司的执行董事，在卡板厂</w:t>
      </w:r>
      <w:r>
        <w:rPr>
          <w:rFonts w:hint="eastAsia"/>
          <w:sz w:val="30"/>
          <w:szCs w:val="30"/>
        </w:rPr>
        <w:t>2009</w:t>
      </w:r>
      <w:r>
        <w:rPr>
          <w:rFonts w:hint="eastAsia"/>
          <w:sz w:val="30"/>
          <w:szCs w:val="30"/>
        </w:rPr>
        <w:t>年</w:t>
      </w:r>
      <w:r>
        <w:rPr>
          <w:rFonts w:hint="eastAsia"/>
          <w:sz w:val="30"/>
          <w:szCs w:val="30"/>
        </w:rPr>
        <w:t>5</w:t>
      </w:r>
      <w:r>
        <w:rPr>
          <w:rFonts w:hint="eastAsia"/>
          <w:sz w:val="30"/>
          <w:szCs w:val="30"/>
        </w:rPr>
        <w:t>月至</w:t>
      </w:r>
      <w:r>
        <w:rPr>
          <w:rFonts w:hint="eastAsia"/>
          <w:sz w:val="30"/>
          <w:szCs w:val="30"/>
        </w:rPr>
        <w:t>2010</w:t>
      </w:r>
      <w:r>
        <w:rPr>
          <w:rFonts w:hint="eastAsia"/>
          <w:sz w:val="30"/>
          <w:szCs w:val="30"/>
        </w:rPr>
        <w:t>年</w:t>
      </w:r>
      <w:r>
        <w:rPr>
          <w:rFonts w:hint="eastAsia"/>
          <w:sz w:val="30"/>
          <w:szCs w:val="30"/>
        </w:rPr>
        <w:t>5</w:t>
      </w:r>
      <w:r>
        <w:rPr>
          <w:rFonts w:hint="eastAsia"/>
          <w:sz w:val="30"/>
          <w:szCs w:val="30"/>
        </w:rPr>
        <w:t>月的存续期间，出任润彤公司的股东和董事，违反了作为高科城公司董事应负的忠实义务、勤勉义务，从地域、市场等各方面均对高</w:t>
      </w:r>
      <w:r>
        <w:rPr>
          <w:rFonts w:hint="eastAsia"/>
          <w:sz w:val="30"/>
          <w:szCs w:val="30"/>
        </w:rPr>
        <w:t>科城公司造成了影响，侵犯了高科城公司的权利。虽然《中华人民共和国公司法》没有明确规定董事违反法定竞业禁止义务应承担损害赔偿责任，但第一百五十条规定“董事、高级管理人员执行公司职务时违反法律、行政法规或者公司章程的规定，给公司造成损失的，应当承担赔偿责任”，根据“举轻以明重”的释法原理，既然因执行公司职务违反规定给公司造成损失都要予以赔偿，那么从事公司法所明确禁止的行为给公司造成损害的，无疑更应该承担赔偿责任，故本案司徒志因违反竞业禁止义务应对高科城公司承担赔偿责任。具体的赔偿数额，虽然举证责任的一般规则为“</w:t>
      </w:r>
      <w:r>
        <w:rPr>
          <w:rFonts w:hint="eastAsia"/>
          <w:sz w:val="30"/>
          <w:szCs w:val="30"/>
        </w:rPr>
        <w:t>谁主张、谁举证”，但现代民法的价值取向是保护弱者、追求实质正义，所以举证责任分配应兼顾诚信原则和公平原则。在本案中，黄素玲作为高科城公司的监事和小股东，不参与公司的经营管理，缺乏举证能力和举证条件；反观司徒志，作为公司的执行董事和法定代表人，直接经营管理公司，应承担一定的举证责任，证明其在润彤公司任职未侵犯高科城公司的权利。但司徒志在经营管理高科城公司期间，由于会议机制不健全，会计基础工作、会计核算不规范，导致高科城公司的财务数据失真，不能客观公允的反映公司的实际经营状况，难以准确判断司徒志违反竞业禁止义务</w:t>
      </w:r>
      <w:r>
        <w:rPr>
          <w:rFonts w:hint="eastAsia"/>
          <w:sz w:val="30"/>
          <w:szCs w:val="30"/>
        </w:rPr>
        <w:t>的行为给高科城公司造成的具体损失，故该院综合考虑黄素玲的主张、司徒志的侵权情节、同类业务经营期间等因素，酌定司徒志赔偿高科城公司损失</w:t>
      </w:r>
      <w:r>
        <w:rPr>
          <w:rFonts w:hint="eastAsia"/>
          <w:sz w:val="30"/>
          <w:szCs w:val="30"/>
        </w:rPr>
        <w:t>60000</w:t>
      </w:r>
      <w:r>
        <w:rPr>
          <w:rFonts w:hint="eastAsia"/>
          <w:sz w:val="30"/>
          <w:szCs w:val="30"/>
        </w:rPr>
        <w:t>元。关于黄素玲要求司徒志停止担任润彤公司董事的职务、退出其岳父何某某代为持有润彤公司</w:t>
      </w:r>
      <w:r>
        <w:rPr>
          <w:rFonts w:hint="eastAsia"/>
          <w:sz w:val="30"/>
          <w:szCs w:val="30"/>
        </w:rPr>
        <w:t>40</w:t>
      </w:r>
      <w:r>
        <w:rPr>
          <w:rFonts w:hint="eastAsia"/>
          <w:sz w:val="30"/>
          <w:szCs w:val="30"/>
        </w:rPr>
        <w:t>％股份，因司徒志已经没有在润彤公司担任董事，润彤公司的股权也已经由案外人庄某某全部持有，黄素玲的该主张没有事实依据，该院不予支持。关于黄素玲要求司徒志在润彤公司的收入</w:t>
      </w:r>
      <w:r>
        <w:rPr>
          <w:rFonts w:hint="eastAsia"/>
          <w:sz w:val="30"/>
          <w:szCs w:val="30"/>
        </w:rPr>
        <w:t>100000</w:t>
      </w:r>
      <w:r>
        <w:rPr>
          <w:rFonts w:hint="eastAsia"/>
          <w:sz w:val="30"/>
          <w:szCs w:val="30"/>
        </w:rPr>
        <w:t>元归高科城公司所有的主张，因黄素玲未能提供任何司徒志在润彤公司有收入的证据，司徒志与润彤公司也不予认可，</w:t>
      </w:r>
      <w:r>
        <w:rPr>
          <w:rFonts w:hint="eastAsia"/>
          <w:sz w:val="30"/>
          <w:szCs w:val="30"/>
        </w:rPr>
        <w:t>故黄素玲此项主张该院不予支持。关于黄素玲要求润彤公司对司徒志给高科城公司造成损失承担连带责任的主张，没有法律依据，该院依法予以驳回。综上，依照《中华人民共和国公司法》第一百四十八条第一款、第一百四十九条第一款第（五）项、第一百五十条，《中华人民共和国民事诉讼法》第六十四条第一款的规定，判决：一、司徒志应在判决生效之日起十日内赔偿高科城公司损失</w:t>
      </w:r>
      <w:r>
        <w:rPr>
          <w:rFonts w:hint="eastAsia"/>
          <w:sz w:val="30"/>
          <w:szCs w:val="30"/>
        </w:rPr>
        <w:t>60000</w:t>
      </w:r>
      <w:r>
        <w:rPr>
          <w:rFonts w:hint="eastAsia"/>
          <w:sz w:val="30"/>
          <w:szCs w:val="30"/>
        </w:rPr>
        <w:t>元；二、驳回黄素玲的其他诉讼请求。如未在上述期间履行给付金钱义务的，应当按照《中华人民共和国民事诉讼法》第二百五十三条的规定，加倍支付迟延履行期间的债务利息。</w:t>
      </w:r>
      <w:r>
        <w:rPr>
          <w:rFonts w:hint="eastAsia"/>
          <w:sz w:val="30"/>
          <w:szCs w:val="30"/>
        </w:rPr>
        <w:t>原审案件受理费</w:t>
      </w:r>
      <w:r>
        <w:rPr>
          <w:rFonts w:hint="eastAsia"/>
          <w:sz w:val="30"/>
          <w:szCs w:val="30"/>
        </w:rPr>
        <w:t>5800</w:t>
      </w:r>
      <w:r>
        <w:rPr>
          <w:rFonts w:hint="eastAsia"/>
          <w:sz w:val="30"/>
          <w:szCs w:val="30"/>
        </w:rPr>
        <w:t>元，由黄素玲负担</w:t>
      </w:r>
      <w:r>
        <w:rPr>
          <w:rFonts w:hint="eastAsia"/>
          <w:sz w:val="30"/>
          <w:szCs w:val="30"/>
        </w:rPr>
        <w:t>4640</w:t>
      </w:r>
      <w:r>
        <w:rPr>
          <w:rFonts w:hint="eastAsia"/>
          <w:sz w:val="30"/>
          <w:szCs w:val="30"/>
        </w:rPr>
        <w:t>元，司徒志负担</w:t>
      </w:r>
      <w:r>
        <w:rPr>
          <w:rFonts w:hint="eastAsia"/>
          <w:sz w:val="30"/>
          <w:szCs w:val="30"/>
        </w:rPr>
        <w:t>1160</w:t>
      </w:r>
      <w:r>
        <w:rPr>
          <w:rFonts w:hint="eastAsia"/>
          <w:sz w:val="30"/>
          <w:szCs w:val="30"/>
        </w:rPr>
        <w:t>元。</w:t>
      </w:r>
    </w:p>
    <w:p w:rsidR="00000000" w:rsidRDefault="00D958C5">
      <w:pPr>
        <w:spacing w:line="500" w:lineRule="atLeast"/>
        <w:ind w:firstLine="600"/>
        <w:divId w:val="1488941319"/>
        <w:rPr>
          <w:rFonts w:hint="eastAsia"/>
          <w:sz w:val="30"/>
          <w:szCs w:val="30"/>
        </w:rPr>
      </w:pPr>
      <w:r>
        <w:rPr>
          <w:rFonts w:hint="eastAsia"/>
          <w:sz w:val="30"/>
          <w:szCs w:val="30"/>
        </w:rPr>
        <w:t>上诉人司徒志不服原审判决，向本院提起上诉，请求：</w:t>
      </w:r>
      <w:r>
        <w:rPr>
          <w:rFonts w:hint="eastAsia"/>
          <w:sz w:val="30"/>
          <w:szCs w:val="30"/>
        </w:rPr>
        <w:t>1</w:t>
      </w:r>
      <w:r>
        <w:rPr>
          <w:rFonts w:hint="eastAsia"/>
          <w:sz w:val="30"/>
          <w:szCs w:val="30"/>
        </w:rPr>
        <w:t>、撤销原审判决并依法改判驳回黄素玲的诉讼请求。</w:t>
      </w:r>
      <w:r>
        <w:rPr>
          <w:rFonts w:hint="eastAsia"/>
          <w:sz w:val="30"/>
          <w:szCs w:val="30"/>
        </w:rPr>
        <w:t>2</w:t>
      </w:r>
      <w:r>
        <w:rPr>
          <w:rFonts w:hint="eastAsia"/>
          <w:sz w:val="30"/>
          <w:szCs w:val="30"/>
        </w:rPr>
        <w:t>、本案的诉讼费用由黄素玲承担。事实与理由为：一、原审法院认定事实不清。原审法院在黄素玲无法提供相关证据的情况之下，仅凭其一面之词，而非基于证据本身，就认定司徒志的行为在地域、市场等各方面均对高科城公司造成影响并侵犯了高科城公司的权利。原审法院对于黄素玲的主张、司徒志的侵权情节等事实的认定上，并非基于相应的证据，而是先入为主站在黄素玲的立场</w:t>
      </w:r>
      <w:r>
        <w:rPr>
          <w:rFonts w:hint="eastAsia"/>
          <w:sz w:val="30"/>
          <w:szCs w:val="30"/>
        </w:rPr>
        <w:t>上，假设可能对其有利的事实，违背了诉讼居中裁判的原则，属于认定事实不清，应当予以纠正。二、原审法院判决错误适用《中华人民共和国公司法》的规定。该法第一百四十九条规定：董事、高级管理人员不得有下列行为：……（五）未经股东会或者股东大会同意，利用职务便利为自己或者他人谋取属于公司的商业机会，自营或者为他人经营与所任职公司同类的业务。……董事、高级管理人员违反前款规定所得的收入应当归公司所有。该条第二款明确规定，董事、高级管理人员有上述行为承担法律责任的前提是取得“收入”。在原审诉讼中，黄素玲未能提供任何关于司徒</w:t>
      </w:r>
      <w:r>
        <w:rPr>
          <w:rFonts w:hint="eastAsia"/>
          <w:sz w:val="30"/>
          <w:szCs w:val="30"/>
        </w:rPr>
        <w:t>志在润彤公司取得收入的证据。事实上，由于润彤公司经营亏损，司徒志从未领取过工资、红利或其他收入。因此，即便司徒志有《中华人民共和国公司法》第一百四十九条所规定的行为，在无实际获利的情况下，不应承担法律责任。原审法院无视《公司法》第一百四十九条第二款明确规定的行为人承担法律责任的条件，在适用第一百四十九条第一款认定有关事实的同时，却故意地将《公司法》第一百五十条中有关法律责任的规定嫁接到第一百四十九条第一款所规定的情形上，以此来判决司徒志应当承担有关责任，这种严重故意地错误适用法律的行为，应当予以纠正。三、原</w:t>
      </w:r>
      <w:r>
        <w:rPr>
          <w:rFonts w:hint="eastAsia"/>
          <w:sz w:val="30"/>
          <w:szCs w:val="30"/>
        </w:rPr>
        <w:t>审法院判决严重违反举证责任的规定。在判决中，原审法院违反《民事诉讼法》的有关规定，违背最高人民法院出台的司法解释，擅自更改证明责任的分配，其错误理解、适用相关法律的行为，严重影响了案件的判决结果。根据《民事诉讼法》第六十四条第一款，当事人对自己提出的主张，有责任提供证据。本案不属于《最高人民法院关于适用﹤中华人民共和国民事诉讼法﹥若干问题的意见》中举证责任倒置的特殊情况，故应当适用“谁主张、谁举证”的举证责任原则。原审法院先入为主将黄素玲假设为弱者，在对于实体法价值理解本身就存在偏差的基础上，又将其理解偏差</w:t>
      </w:r>
      <w:r>
        <w:rPr>
          <w:rFonts w:hint="eastAsia"/>
          <w:sz w:val="30"/>
          <w:szCs w:val="30"/>
        </w:rPr>
        <w:t>的实体法价值生搬硬套到程序法上，以此捏造出了所谓“举证责任分配应兼顾诚信原则和公平原则”的错误提法，并基于此擅自更改举证责任，将原本由黄素玲证明的事项，转由司徒志证明，并基于此要求司徒志承担责任。综上所述，原审法院错误适用并故意规避《中华人民共和国公司法》的有关规定；违反《中华人民共和国民事诉讼法》和《最高人民法院关于适用﹤中华人民共和国民事诉讼法﹥若干问题的意见》关于举证责任的规定，在判决论述过程中，对相关法理理解不清，逻辑十分混乱，站在黄素玲的立场上倒推其请求的合理性。在缺乏证据的情况下，仅凭黄素玲的一</w:t>
      </w:r>
      <w:r>
        <w:rPr>
          <w:rFonts w:hint="eastAsia"/>
          <w:sz w:val="30"/>
          <w:szCs w:val="30"/>
        </w:rPr>
        <w:t>面之词，在没有相关计算依据的情况下，错误地判决司徒志承担责任，明显违反了法律。综上，为了正确适用法律，依法维护法律的尊严，维护司徒志的合法权益，请二审法院对本案依法改判。</w:t>
      </w:r>
    </w:p>
    <w:p w:rsidR="00000000" w:rsidRDefault="00D958C5">
      <w:pPr>
        <w:spacing w:line="500" w:lineRule="atLeast"/>
        <w:ind w:firstLine="600"/>
        <w:divId w:val="940381226"/>
        <w:rPr>
          <w:rFonts w:hint="eastAsia"/>
          <w:sz w:val="30"/>
          <w:szCs w:val="30"/>
        </w:rPr>
      </w:pPr>
      <w:r>
        <w:rPr>
          <w:rFonts w:hint="eastAsia"/>
          <w:sz w:val="30"/>
          <w:szCs w:val="30"/>
        </w:rPr>
        <w:t>被上诉人黄素玲答辩称：一、司徒志从</w:t>
      </w:r>
      <w:r>
        <w:rPr>
          <w:rFonts w:hint="eastAsia"/>
          <w:sz w:val="30"/>
          <w:szCs w:val="30"/>
        </w:rPr>
        <w:t>2003</w:t>
      </w:r>
      <w:r>
        <w:rPr>
          <w:rFonts w:hint="eastAsia"/>
          <w:sz w:val="30"/>
          <w:szCs w:val="30"/>
        </w:rPr>
        <w:t>年</w:t>
      </w:r>
      <w:r>
        <w:rPr>
          <w:rFonts w:hint="eastAsia"/>
          <w:sz w:val="30"/>
          <w:szCs w:val="30"/>
        </w:rPr>
        <w:t>7</w:t>
      </w:r>
      <w:r>
        <w:rPr>
          <w:rFonts w:hint="eastAsia"/>
          <w:sz w:val="30"/>
          <w:szCs w:val="30"/>
        </w:rPr>
        <w:t>月卡板厂成立起，每月固定领取</w:t>
      </w:r>
      <w:r>
        <w:rPr>
          <w:rFonts w:hint="eastAsia"/>
          <w:sz w:val="30"/>
          <w:szCs w:val="30"/>
        </w:rPr>
        <w:t>5000</w:t>
      </w:r>
      <w:r>
        <w:rPr>
          <w:rFonts w:hint="eastAsia"/>
          <w:sz w:val="30"/>
          <w:szCs w:val="30"/>
        </w:rPr>
        <w:t>元的工资，有无更多金额不清楚；而黄素玲虽然是高科城公司股东和监事、卡板厂的负责人，但只是挂名，未参与公司的经营管理，高科城公司及卡板厂一直由司徒志控制、管理、经营。</w:t>
      </w:r>
      <w:r>
        <w:rPr>
          <w:rFonts w:hint="eastAsia"/>
          <w:sz w:val="30"/>
          <w:szCs w:val="30"/>
        </w:rPr>
        <w:t>2004</w:t>
      </w:r>
      <w:r>
        <w:rPr>
          <w:rFonts w:hint="eastAsia"/>
          <w:sz w:val="30"/>
          <w:szCs w:val="30"/>
        </w:rPr>
        <w:t>年</w:t>
      </w:r>
      <w:r>
        <w:rPr>
          <w:rFonts w:hint="eastAsia"/>
          <w:sz w:val="30"/>
          <w:szCs w:val="30"/>
        </w:rPr>
        <w:t>3</w:t>
      </w:r>
      <w:r>
        <w:rPr>
          <w:rFonts w:hint="eastAsia"/>
          <w:sz w:val="30"/>
          <w:szCs w:val="30"/>
        </w:rPr>
        <w:t>月，司徒志在没有股东和董事会决议、授权的情况下，伪造黄素玲的签名，将卡板厂的负责人</w:t>
      </w:r>
      <w:r>
        <w:rPr>
          <w:rFonts w:hint="eastAsia"/>
          <w:sz w:val="30"/>
          <w:szCs w:val="30"/>
        </w:rPr>
        <w:t>变更为司徒志。</w:t>
      </w:r>
      <w:r>
        <w:rPr>
          <w:rFonts w:hint="eastAsia"/>
          <w:sz w:val="30"/>
          <w:szCs w:val="30"/>
        </w:rPr>
        <w:t>2010</w:t>
      </w:r>
      <w:r>
        <w:rPr>
          <w:rFonts w:hint="eastAsia"/>
          <w:sz w:val="30"/>
          <w:szCs w:val="30"/>
        </w:rPr>
        <w:t>年</w:t>
      </w:r>
      <w:r>
        <w:rPr>
          <w:rFonts w:hint="eastAsia"/>
          <w:sz w:val="30"/>
          <w:szCs w:val="30"/>
        </w:rPr>
        <w:t>5</w:t>
      </w:r>
      <w:r>
        <w:rPr>
          <w:rFonts w:hint="eastAsia"/>
          <w:sz w:val="30"/>
          <w:szCs w:val="30"/>
        </w:rPr>
        <w:t>月</w:t>
      </w:r>
      <w:r>
        <w:rPr>
          <w:rFonts w:hint="eastAsia"/>
          <w:sz w:val="30"/>
          <w:szCs w:val="30"/>
        </w:rPr>
        <w:t>26</w:t>
      </w:r>
      <w:r>
        <w:rPr>
          <w:rFonts w:hint="eastAsia"/>
          <w:sz w:val="30"/>
          <w:szCs w:val="30"/>
        </w:rPr>
        <w:t>日，司徒志在没有股东和董事会决议、授权的情况下，伪造黄素玲的签名，将卡板厂注销。高科城公司的业务是通过设立卡板厂进行经营，其他经营项目都是在黄素玲不知情的情况下，司徒志私自进行的，没有股东会和董事会的决议、授权，高科城公司也没有口服液等业务经营权限。在司徒志提起公司解散诉讼后，黄素玲与司徒志协商多次不成，才提起诉讼维护自己的合法权益。由于高科城公司和卡板厂一直由司徒志控制、管理、经营，公司相关印章也由司徒志掌控，司徒志是公司的控股股东、法定代表人、执行董事，故无法以公司名义起</w:t>
      </w:r>
      <w:r>
        <w:rPr>
          <w:rFonts w:hint="eastAsia"/>
          <w:sz w:val="30"/>
          <w:szCs w:val="30"/>
        </w:rPr>
        <w:t>诉，黄素玲才以股东、监事的身份起诉，根据公司法和公司章程行使相关权利，要求维护公司、股东的合法权益，黄素玲提起诉讼是为了维护公司和股东的权益，诉讼获益方也是公司，所以也可以看作是以公司的名义起诉。二、润彤公司与高科城公司、卡板厂均位于深圳市，润彤公司无论从经营范围、产品名称、还是宣传图片与卡板厂均存在同一性或者类似性，属于经营同类业务的公司。司徒志作为高科城公司的控股股东、执行董事、法定代表人，出任润彤公司的股东和董事，之后虽然由司徒志妻子何某艳的父亲何某某担任润彤公司的股东和董事，但仍具有关联关系。根据以</w:t>
      </w:r>
      <w:r>
        <w:rPr>
          <w:rFonts w:hint="eastAsia"/>
          <w:sz w:val="30"/>
          <w:szCs w:val="30"/>
        </w:rPr>
        <w:t>上事实可以推定司徒志在润彤公司取得了收入，在地域、市场等各方面均对高科城公司造成了损失、侵害了高科城公司的权益，符合《关于适用﹤中华人民共和国民事诉讼法﹥若干问题的意见》第</w:t>
      </w:r>
      <w:r>
        <w:rPr>
          <w:rFonts w:hint="eastAsia"/>
          <w:sz w:val="30"/>
          <w:szCs w:val="30"/>
        </w:rPr>
        <w:t>75</w:t>
      </w:r>
      <w:r>
        <w:rPr>
          <w:rFonts w:hint="eastAsia"/>
          <w:sz w:val="30"/>
          <w:szCs w:val="30"/>
        </w:rPr>
        <w:t>条、《最高人民法院关于民事诉讼证据的若干规定》第九条的规定。司徒志违反《中华人民共和国公司法》第二十条、第二十一条、第一百四十七条、第一百四十八条、第一百四十九条及高科城公司章程第九条、第三十二条的规定，对其给高科城公司造成的损失应予赔偿，对其违反规定取得的收入应当归高科城公司所有。司徒志虽然声称由于润彤公司亏损，其从未从润彤公司领取</w:t>
      </w:r>
      <w:r>
        <w:rPr>
          <w:rFonts w:hint="eastAsia"/>
          <w:sz w:val="30"/>
          <w:szCs w:val="30"/>
        </w:rPr>
        <w:t>过工资、红利或者其他收入，但却未提供任何润彤公司亏损、未领取收入的证据，同时也不符合一般认知和推定，因此，请求法院不予认定。司徒志在经营管理高科城公司期间，没有尽到执行董事和法定代表人的义务、存在诸多违反公司法和高科城公司章程的行为，侵害了高科城公司和股东的权益，编号为勤信深专字（</w:t>
      </w:r>
      <w:r>
        <w:rPr>
          <w:rFonts w:hint="eastAsia"/>
          <w:sz w:val="30"/>
          <w:szCs w:val="30"/>
        </w:rPr>
        <w:t>2013</w:t>
      </w:r>
      <w:r>
        <w:rPr>
          <w:rFonts w:hint="eastAsia"/>
          <w:sz w:val="30"/>
          <w:szCs w:val="30"/>
        </w:rPr>
        <w:t>）第</w:t>
      </w:r>
      <w:r>
        <w:rPr>
          <w:rFonts w:hint="eastAsia"/>
          <w:sz w:val="30"/>
          <w:szCs w:val="30"/>
        </w:rPr>
        <w:t>1XXX</w:t>
      </w:r>
      <w:r>
        <w:rPr>
          <w:rFonts w:hint="eastAsia"/>
          <w:sz w:val="30"/>
          <w:szCs w:val="30"/>
        </w:rPr>
        <w:t>号的审计报告也指出这些问题。司徒志的行为导致高科城公司财务数据失真、经营情况不实，进而难以确定司徒志行为给高科城公司带来的损失，法院因此酌定赔偿金额是合法合理的。黄素玲作为高科城公司的小股东，不参与公司的经营，</w:t>
      </w:r>
      <w:r>
        <w:rPr>
          <w:rFonts w:hint="eastAsia"/>
          <w:sz w:val="30"/>
          <w:szCs w:val="30"/>
        </w:rPr>
        <w:t>缺乏举证能力和举证条件，而司徒志作为高科城公司的执行董事和法定代表人，有能力也有责任举证证明其未给高科城公司造成损失、未从润彤公司取得收入。润彤公司也有能力和责任就其和司徒志未侵害高科城公司权益、司徒志未取得收入进行举证，这符合举证责任分配的诚信原则、公平原则。当事人由于客观原因，难以取得很多证据，也在原审中多次向法院申请调查取证。根据《民事诉讼法》第六十五条、《最高人民法院关于民事诉讼证据的若干规定》第七条，请求人民法院根据案件审理情况、综合各种因素确定本案举证能力的承担，并根据《最高人民法院关于民事诉讼</w:t>
      </w:r>
      <w:r>
        <w:rPr>
          <w:rFonts w:hint="eastAsia"/>
          <w:sz w:val="30"/>
          <w:szCs w:val="30"/>
        </w:rPr>
        <w:t>证据的若干规定》第七十三条、第七十五条的规定支持黄素玲。</w:t>
      </w:r>
    </w:p>
    <w:p w:rsidR="00000000" w:rsidRDefault="00D958C5">
      <w:pPr>
        <w:spacing w:line="500" w:lineRule="atLeast"/>
        <w:ind w:firstLine="600"/>
        <w:divId w:val="401025008"/>
        <w:rPr>
          <w:rFonts w:hint="eastAsia"/>
          <w:sz w:val="30"/>
          <w:szCs w:val="30"/>
        </w:rPr>
      </w:pPr>
      <w:r>
        <w:rPr>
          <w:rFonts w:hint="eastAsia"/>
          <w:sz w:val="30"/>
          <w:szCs w:val="30"/>
        </w:rPr>
        <w:t>被上诉人众杰通公司未到庭答辩。</w:t>
      </w:r>
    </w:p>
    <w:p w:rsidR="00000000" w:rsidRDefault="00D958C5">
      <w:pPr>
        <w:spacing w:line="500" w:lineRule="atLeast"/>
        <w:ind w:firstLine="600"/>
        <w:divId w:val="1175026781"/>
        <w:rPr>
          <w:rFonts w:hint="eastAsia"/>
          <w:sz w:val="30"/>
          <w:szCs w:val="30"/>
        </w:rPr>
      </w:pPr>
      <w:r>
        <w:rPr>
          <w:rFonts w:hint="eastAsia"/>
          <w:sz w:val="30"/>
          <w:szCs w:val="30"/>
        </w:rPr>
        <w:t>案经二审审理查明，上诉人司徒志与被上诉人黄素玲对原判认定的事实均无异议，本院予以确认。二审调查中，司徒志补充事实为：一、司徒志自</w:t>
      </w:r>
      <w:r>
        <w:rPr>
          <w:rFonts w:hint="eastAsia"/>
          <w:sz w:val="30"/>
          <w:szCs w:val="30"/>
        </w:rPr>
        <w:t>2010</w:t>
      </w:r>
      <w:r>
        <w:rPr>
          <w:rFonts w:hint="eastAsia"/>
          <w:sz w:val="30"/>
          <w:szCs w:val="30"/>
        </w:rPr>
        <w:t>年</w:t>
      </w:r>
      <w:r>
        <w:rPr>
          <w:rFonts w:hint="eastAsia"/>
          <w:sz w:val="30"/>
          <w:szCs w:val="30"/>
        </w:rPr>
        <w:t>12</w:t>
      </w:r>
      <w:r>
        <w:rPr>
          <w:rFonts w:hint="eastAsia"/>
          <w:sz w:val="30"/>
          <w:szCs w:val="30"/>
        </w:rPr>
        <w:t>月</w:t>
      </w:r>
      <w:r>
        <w:rPr>
          <w:rFonts w:hint="eastAsia"/>
          <w:sz w:val="30"/>
          <w:szCs w:val="30"/>
        </w:rPr>
        <w:t>29</w:t>
      </w:r>
      <w:r>
        <w:rPr>
          <w:rFonts w:hint="eastAsia"/>
          <w:sz w:val="30"/>
          <w:szCs w:val="30"/>
        </w:rPr>
        <w:t>日之后就不是润彤公司股东，也不是润彤公司的董事，且已经于</w:t>
      </w:r>
      <w:r>
        <w:rPr>
          <w:rFonts w:hint="eastAsia"/>
          <w:sz w:val="30"/>
          <w:szCs w:val="30"/>
        </w:rPr>
        <w:t>2011</w:t>
      </w:r>
      <w:r>
        <w:rPr>
          <w:rFonts w:hint="eastAsia"/>
          <w:sz w:val="30"/>
          <w:szCs w:val="30"/>
        </w:rPr>
        <w:t>年</w:t>
      </w:r>
      <w:r>
        <w:rPr>
          <w:rFonts w:hint="eastAsia"/>
          <w:sz w:val="30"/>
          <w:szCs w:val="30"/>
        </w:rPr>
        <w:t>6</w:t>
      </w:r>
      <w:r>
        <w:rPr>
          <w:rFonts w:hint="eastAsia"/>
          <w:sz w:val="30"/>
          <w:szCs w:val="30"/>
        </w:rPr>
        <w:t>月</w:t>
      </w:r>
      <w:r>
        <w:rPr>
          <w:rFonts w:hint="eastAsia"/>
          <w:sz w:val="30"/>
          <w:szCs w:val="30"/>
        </w:rPr>
        <w:t>29</w:t>
      </w:r>
      <w:r>
        <w:rPr>
          <w:rFonts w:hint="eastAsia"/>
          <w:sz w:val="30"/>
          <w:szCs w:val="30"/>
        </w:rPr>
        <w:t>日退出润彤公司的董事会；二、司徒志既没有从润彤公司获利</w:t>
      </w:r>
      <w:r>
        <w:rPr>
          <w:rFonts w:hint="eastAsia"/>
          <w:sz w:val="30"/>
          <w:szCs w:val="30"/>
        </w:rPr>
        <w:t>10</w:t>
      </w:r>
      <w:r>
        <w:rPr>
          <w:rFonts w:hint="eastAsia"/>
          <w:sz w:val="30"/>
          <w:szCs w:val="30"/>
        </w:rPr>
        <w:t>万元，也没有给高科城公司造成</w:t>
      </w:r>
      <w:r>
        <w:rPr>
          <w:rFonts w:hint="eastAsia"/>
          <w:sz w:val="30"/>
          <w:szCs w:val="30"/>
        </w:rPr>
        <w:t>20</w:t>
      </w:r>
      <w:r>
        <w:rPr>
          <w:rFonts w:hint="eastAsia"/>
          <w:sz w:val="30"/>
          <w:szCs w:val="30"/>
        </w:rPr>
        <w:t>万元损失。黄素玲补充事实为：一、司徒志退出润彤公司董事之后由司徒志的妻子何某艳的父亲何某某担任润彤公司的董事，</w:t>
      </w:r>
      <w:r>
        <w:rPr>
          <w:rFonts w:hint="eastAsia"/>
          <w:sz w:val="30"/>
          <w:szCs w:val="30"/>
        </w:rPr>
        <w:t>故司徒志和润彤公司原来是有关联关系，其持股比例是</w:t>
      </w:r>
      <w:r>
        <w:rPr>
          <w:rFonts w:hint="eastAsia"/>
          <w:sz w:val="30"/>
          <w:szCs w:val="30"/>
        </w:rPr>
        <w:t>40%</w:t>
      </w:r>
      <w:r>
        <w:rPr>
          <w:rFonts w:hint="eastAsia"/>
          <w:sz w:val="30"/>
          <w:szCs w:val="30"/>
        </w:rPr>
        <w:t>；二、高科城公司下属的卡板厂是在</w:t>
      </w:r>
      <w:r>
        <w:rPr>
          <w:rFonts w:hint="eastAsia"/>
          <w:sz w:val="30"/>
          <w:szCs w:val="30"/>
        </w:rPr>
        <w:t>2003</w:t>
      </w:r>
      <w:r>
        <w:rPr>
          <w:rFonts w:hint="eastAsia"/>
          <w:sz w:val="30"/>
          <w:szCs w:val="30"/>
        </w:rPr>
        <w:t>年设立的分公司，</w:t>
      </w:r>
      <w:r>
        <w:rPr>
          <w:rFonts w:hint="eastAsia"/>
          <w:sz w:val="30"/>
          <w:szCs w:val="30"/>
        </w:rPr>
        <w:t>2010</w:t>
      </w:r>
      <w:r>
        <w:rPr>
          <w:rFonts w:hint="eastAsia"/>
          <w:sz w:val="30"/>
          <w:szCs w:val="30"/>
        </w:rPr>
        <w:t>年</w:t>
      </w:r>
      <w:r>
        <w:rPr>
          <w:rFonts w:hint="eastAsia"/>
          <w:sz w:val="30"/>
          <w:szCs w:val="30"/>
        </w:rPr>
        <w:t>5</w:t>
      </w:r>
      <w:r>
        <w:rPr>
          <w:rFonts w:hint="eastAsia"/>
          <w:sz w:val="30"/>
          <w:szCs w:val="30"/>
        </w:rPr>
        <w:t>月没有经过股东会即私自注销，卡板厂的技术骨干邝某某是润彤公司的监事，到目前为止仍在润彤公司担任职务；三、在司徒志诉高科城公司的公司解散一案中，原审法院应黄素玲的申请依法委托会议师事务所对高科城公司及卡板厂的资产财务状况及经营盈亏进行了审计，审计报告可以反映司徒志存在大量侵害股东和公司利益的行为。</w:t>
      </w:r>
    </w:p>
    <w:p w:rsidR="00000000" w:rsidRDefault="00D958C5">
      <w:pPr>
        <w:spacing w:line="500" w:lineRule="atLeast"/>
        <w:ind w:firstLine="600"/>
        <w:divId w:val="945969171"/>
        <w:rPr>
          <w:rFonts w:hint="eastAsia"/>
          <w:sz w:val="30"/>
          <w:szCs w:val="30"/>
        </w:rPr>
      </w:pPr>
      <w:r>
        <w:rPr>
          <w:rFonts w:hint="eastAsia"/>
          <w:sz w:val="30"/>
          <w:szCs w:val="30"/>
        </w:rPr>
        <w:t>另查，司徒志诉高科城公司、黄素玲公司解散一案，原审法院判决解散高科城公司，该判决作出后，高科</w:t>
      </w:r>
      <w:r>
        <w:rPr>
          <w:rFonts w:hint="eastAsia"/>
          <w:sz w:val="30"/>
          <w:szCs w:val="30"/>
        </w:rPr>
        <w:t>城公司提出上诉，本院于</w:t>
      </w:r>
      <w:r>
        <w:rPr>
          <w:rFonts w:hint="eastAsia"/>
          <w:sz w:val="30"/>
          <w:szCs w:val="30"/>
        </w:rPr>
        <w:t>2014</w:t>
      </w:r>
      <w:r>
        <w:rPr>
          <w:rFonts w:hint="eastAsia"/>
          <w:sz w:val="30"/>
          <w:szCs w:val="30"/>
        </w:rPr>
        <w:t>年</w:t>
      </w:r>
      <w:r>
        <w:rPr>
          <w:rFonts w:hint="eastAsia"/>
          <w:sz w:val="30"/>
          <w:szCs w:val="30"/>
        </w:rPr>
        <w:t>10</w:t>
      </w:r>
      <w:r>
        <w:rPr>
          <w:rFonts w:hint="eastAsia"/>
          <w:sz w:val="30"/>
          <w:szCs w:val="30"/>
        </w:rPr>
        <w:t>月</w:t>
      </w:r>
      <w:r>
        <w:rPr>
          <w:rFonts w:hint="eastAsia"/>
          <w:sz w:val="30"/>
          <w:szCs w:val="30"/>
        </w:rPr>
        <w:t>21</w:t>
      </w:r>
      <w:r>
        <w:rPr>
          <w:rFonts w:hint="eastAsia"/>
          <w:sz w:val="30"/>
          <w:szCs w:val="30"/>
        </w:rPr>
        <w:t>日作出（</w:t>
      </w:r>
      <w:r>
        <w:rPr>
          <w:rFonts w:hint="eastAsia"/>
          <w:sz w:val="30"/>
          <w:szCs w:val="30"/>
        </w:rPr>
        <w:t>2014</w:t>
      </w:r>
      <w:r>
        <w:rPr>
          <w:rFonts w:hint="eastAsia"/>
          <w:sz w:val="30"/>
          <w:szCs w:val="30"/>
        </w:rPr>
        <w:t>）深中法商终字第</w:t>
      </w:r>
      <w:r>
        <w:rPr>
          <w:rFonts w:hint="eastAsia"/>
          <w:sz w:val="30"/>
          <w:szCs w:val="30"/>
        </w:rPr>
        <w:t>1729</w:t>
      </w:r>
      <w:r>
        <w:rPr>
          <w:rFonts w:hint="eastAsia"/>
          <w:sz w:val="30"/>
          <w:szCs w:val="30"/>
        </w:rPr>
        <w:t>号民事判决驳回上诉，维持原判，该判决已生效。</w:t>
      </w:r>
    </w:p>
    <w:p w:rsidR="00000000" w:rsidRDefault="00D958C5">
      <w:pPr>
        <w:spacing w:line="500" w:lineRule="atLeast"/>
        <w:ind w:firstLine="600"/>
        <w:divId w:val="2124642032"/>
        <w:rPr>
          <w:rFonts w:hint="eastAsia"/>
          <w:sz w:val="30"/>
          <w:szCs w:val="30"/>
        </w:rPr>
      </w:pPr>
      <w:r>
        <w:rPr>
          <w:rFonts w:hint="eastAsia"/>
          <w:sz w:val="30"/>
          <w:szCs w:val="30"/>
        </w:rPr>
        <w:t>再查，众杰通公司于</w:t>
      </w:r>
      <w:r>
        <w:rPr>
          <w:rFonts w:hint="eastAsia"/>
          <w:sz w:val="30"/>
          <w:szCs w:val="30"/>
        </w:rPr>
        <w:t>2014</w:t>
      </w:r>
      <w:r>
        <w:rPr>
          <w:rFonts w:hint="eastAsia"/>
          <w:sz w:val="30"/>
          <w:szCs w:val="30"/>
        </w:rPr>
        <w:t>年</w:t>
      </w:r>
      <w:r>
        <w:rPr>
          <w:rFonts w:hint="eastAsia"/>
          <w:sz w:val="30"/>
          <w:szCs w:val="30"/>
        </w:rPr>
        <w:t>4</w:t>
      </w:r>
      <w:r>
        <w:rPr>
          <w:rFonts w:hint="eastAsia"/>
          <w:sz w:val="30"/>
          <w:szCs w:val="30"/>
        </w:rPr>
        <w:t>月</w:t>
      </w:r>
      <w:r>
        <w:rPr>
          <w:rFonts w:hint="eastAsia"/>
          <w:sz w:val="30"/>
          <w:szCs w:val="30"/>
        </w:rPr>
        <w:t>23</w:t>
      </w:r>
      <w:r>
        <w:rPr>
          <w:rFonts w:hint="eastAsia"/>
          <w:sz w:val="30"/>
          <w:szCs w:val="30"/>
        </w:rPr>
        <w:t>日经深圳市市场监督管理局核准由原名称“深圳市润彤菱镁矿制品有限公司”变更为现名称“深圳市众杰通贸易有限公司”。</w:t>
      </w:r>
    </w:p>
    <w:p w:rsidR="00000000" w:rsidRDefault="00D958C5">
      <w:pPr>
        <w:spacing w:line="500" w:lineRule="atLeast"/>
        <w:ind w:firstLine="600"/>
        <w:divId w:val="1865244696"/>
        <w:rPr>
          <w:rFonts w:hint="eastAsia"/>
          <w:sz w:val="30"/>
          <w:szCs w:val="30"/>
        </w:rPr>
      </w:pPr>
      <w:r>
        <w:rPr>
          <w:rFonts w:hint="eastAsia"/>
          <w:sz w:val="30"/>
          <w:szCs w:val="30"/>
        </w:rPr>
        <w:t>本院认为：本案系董事损害公司利益责任纠纷。黄素玲是高科城公司的股东兼监事，其认为司徒志身为高科城公司的董事，侵犯了高科城公司的利益应赔偿因此给高科城公司造成的损失，因而以高科城公司股东的身份请求自己以监事的身份行使《中华人民共和国公司法</w:t>
      </w:r>
      <w:r>
        <w:rPr>
          <w:rFonts w:hint="eastAsia"/>
          <w:sz w:val="30"/>
          <w:szCs w:val="30"/>
        </w:rPr>
        <w:t>》第五十四条第（六）项规定的职权对司徒志提起诉讼。二审双方当事人争议的焦点问题是司徒志是否有侵犯高科城公司的利益及是否应承担赔偿责任。首先，《中华人民共和国公司法》第一百四十八条规定，董事对公司负有忠实义务和勤勉义务；第一百四十九条规定，董事不得未经股东会同意，自营或为他人经营与所任职公司同类的业务。而根据查明的事实，司徒志在任职高科城公司董事期间，同时出任润彤公司的股东及董事，润彤公司成立于高科城公司下设卡板厂之后，但润彤公司在经营范围、产品名称及宣传图片等方面均与高科城公司卡板厂存在类似性，属于经营同类</w:t>
      </w:r>
      <w:r>
        <w:rPr>
          <w:rFonts w:hint="eastAsia"/>
          <w:sz w:val="30"/>
          <w:szCs w:val="30"/>
        </w:rPr>
        <w:t>业务的公司，故司徒志显已违反公司法关于董事对公司忠实、勤勉义务的规定及公司法明令禁止的董事经营同类业务的行为，应依法承担相应的侵权法律责任。其次，司徒志作为高科城公司的执行董事，直接经营管理高科城公司，而在其担任润彤公司股东及董事期间又将高科城公司下属卡板厂申请注销，不仅如此，由于未能建立健全的会计机制，会计核算不规范，高科城公司的财务数据失真也直接导致法院无法通过审计高科城公司的财务账册的方式来确定高科城公司的实际经营情况，以及查明是否有因司徒志违反竞业禁止义务给高科城公司造成损失及损失的具体情况，故原判</w:t>
      </w:r>
      <w:r>
        <w:rPr>
          <w:rFonts w:hint="eastAsia"/>
          <w:sz w:val="30"/>
          <w:szCs w:val="30"/>
        </w:rPr>
        <w:t>综合黄素玲的主张、司徒志的侵权情节及同类业务经营期间等因素酌定由司徒志赔偿高科城公司损失</w:t>
      </w:r>
      <w:r>
        <w:rPr>
          <w:rFonts w:hint="eastAsia"/>
          <w:sz w:val="30"/>
          <w:szCs w:val="30"/>
        </w:rPr>
        <w:t>60000</w:t>
      </w:r>
      <w:r>
        <w:rPr>
          <w:rFonts w:hint="eastAsia"/>
          <w:sz w:val="30"/>
          <w:szCs w:val="30"/>
        </w:rPr>
        <w:t>元并无不妥。司徒志上诉主张其从未在润彤公司领取过工资、红利或其它收入，故即使存在《中华人民共和国公司法》第一百四十九条第一款规定的行为也不应承担法律责任，因于法无据，本院不予支持。综上，上诉人司徒志的上诉理由依据不足，均不能成立。原判认定事实清楚，适用法律正确，应予维持。据此，依照《中华人民共和国民事诉讼法》第一百七十条第一款第（一）项之规定，判决如下：</w:t>
      </w:r>
    </w:p>
    <w:p w:rsidR="00000000" w:rsidRDefault="00D958C5">
      <w:pPr>
        <w:spacing w:line="500" w:lineRule="atLeast"/>
        <w:ind w:firstLine="600"/>
        <w:divId w:val="336884362"/>
        <w:rPr>
          <w:rFonts w:hint="eastAsia"/>
          <w:sz w:val="30"/>
          <w:szCs w:val="30"/>
        </w:rPr>
      </w:pPr>
      <w:r>
        <w:rPr>
          <w:rFonts w:hint="eastAsia"/>
          <w:sz w:val="30"/>
          <w:szCs w:val="30"/>
        </w:rPr>
        <w:t>驳回上诉，维持原判。</w:t>
      </w:r>
    </w:p>
    <w:p w:rsidR="00000000" w:rsidRDefault="00D958C5">
      <w:pPr>
        <w:spacing w:line="500" w:lineRule="atLeast"/>
        <w:ind w:firstLine="600"/>
        <w:divId w:val="1244412535"/>
        <w:rPr>
          <w:rFonts w:hint="eastAsia"/>
          <w:sz w:val="30"/>
          <w:szCs w:val="30"/>
        </w:rPr>
      </w:pPr>
      <w:r>
        <w:rPr>
          <w:rFonts w:hint="eastAsia"/>
          <w:sz w:val="30"/>
          <w:szCs w:val="30"/>
        </w:rPr>
        <w:t>本案二审案件受理费人民币</w:t>
      </w:r>
      <w:r>
        <w:rPr>
          <w:rFonts w:hint="eastAsia"/>
          <w:sz w:val="30"/>
          <w:szCs w:val="30"/>
        </w:rPr>
        <w:t>1300</w:t>
      </w:r>
      <w:r>
        <w:rPr>
          <w:rFonts w:hint="eastAsia"/>
          <w:sz w:val="30"/>
          <w:szCs w:val="30"/>
        </w:rPr>
        <w:t>元</w:t>
      </w:r>
      <w:r>
        <w:rPr>
          <w:rFonts w:hint="eastAsia"/>
          <w:sz w:val="30"/>
          <w:szCs w:val="30"/>
        </w:rPr>
        <w:t>，由上诉人司徒志负担。</w:t>
      </w:r>
    </w:p>
    <w:p w:rsidR="00000000" w:rsidRDefault="00D958C5">
      <w:pPr>
        <w:spacing w:line="500" w:lineRule="atLeast"/>
        <w:ind w:firstLine="600"/>
        <w:divId w:val="325715291"/>
        <w:rPr>
          <w:rFonts w:hint="eastAsia"/>
          <w:sz w:val="30"/>
          <w:szCs w:val="30"/>
        </w:rPr>
      </w:pPr>
      <w:r>
        <w:rPr>
          <w:rFonts w:hint="eastAsia"/>
          <w:sz w:val="30"/>
          <w:szCs w:val="30"/>
        </w:rPr>
        <w:t>本判决为终审判决。</w:t>
      </w:r>
    </w:p>
    <w:p w:rsidR="00000000" w:rsidRDefault="00D958C5">
      <w:pPr>
        <w:spacing w:line="500" w:lineRule="atLeast"/>
        <w:jc w:val="right"/>
        <w:divId w:val="1787576379"/>
        <w:rPr>
          <w:rFonts w:hint="eastAsia"/>
          <w:sz w:val="30"/>
          <w:szCs w:val="30"/>
        </w:rPr>
      </w:pPr>
      <w:r>
        <w:rPr>
          <w:rFonts w:hint="eastAsia"/>
          <w:sz w:val="30"/>
          <w:szCs w:val="30"/>
        </w:rPr>
        <w:t xml:space="preserve">审判长　翁　</w:t>
      </w:r>
      <w:r>
        <w:rPr>
          <w:rFonts w:hint="eastAsia"/>
          <w:sz w:val="30"/>
          <w:szCs w:val="30"/>
        </w:rPr>
        <w:t xml:space="preserve"> </w:t>
      </w:r>
      <w:r>
        <w:rPr>
          <w:rFonts w:hint="eastAsia"/>
          <w:sz w:val="30"/>
          <w:szCs w:val="30"/>
        </w:rPr>
        <w:t xml:space="preserve">艳　</w:t>
      </w:r>
      <w:r>
        <w:rPr>
          <w:rFonts w:hint="eastAsia"/>
          <w:sz w:val="30"/>
          <w:szCs w:val="30"/>
        </w:rPr>
        <w:t xml:space="preserve"> </w:t>
      </w:r>
      <w:r>
        <w:rPr>
          <w:rFonts w:hint="eastAsia"/>
          <w:sz w:val="30"/>
          <w:szCs w:val="30"/>
        </w:rPr>
        <w:t>玲</w:t>
      </w:r>
    </w:p>
    <w:p w:rsidR="00000000" w:rsidRDefault="00D958C5">
      <w:pPr>
        <w:spacing w:line="500" w:lineRule="atLeast"/>
        <w:jc w:val="right"/>
        <w:divId w:val="840509161"/>
        <w:rPr>
          <w:rFonts w:hint="eastAsia"/>
          <w:sz w:val="30"/>
          <w:szCs w:val="30"/>
        </w:rPr>
      </w:pPr>
      <w:r>
        <w:rPr>
          <w:rFonts w:hint="eastAsia"/>
          <w:sz w:val="30"/>
          <w:szCs w:val="30"/>
        </w:rPr>
        <w:t xml:space="preserve">审判员　尤　</w:t>
      </w:r>
      <w:r>
        <w:rPr>
          <w:rFonts w:hint="eastAsia"/>
          <w:sz w:val="30"/>
          <w:szCs w:val="30"/>
        </w:rPr>
        <w:t xml:space="preserve"> </w:t>
      </w:r>
      <w:r>
        <w:rPr>
          <w:rFonts w:hint="eastAsia"/>
          <w:sz w:val="30"/>
          <w:szCs w:val="30"/>
        </w:rPr>
        <w:t xml:space="preserve">武　</w:t>
      </w:r>
      <w:r>
        <w:rPr>
          <w:rFonts w:hint="eastAsia"/>
          <w:sz w:val="30"/>
          <w:szCs w:val="30"/>
        </w:rPr>
        <w:t xml:space="preserve"> </w:t>
      </w:r>
      <w:r>
        <w:rPr>
          <w:rFonts w:hint="eastAsia"/>
          <w:sz w:val="30"/>
          <w:szCs w:val="30"/>
        </w:rPr>
        <w:t>雄</w:t>
      </w:r>
    </w:p>
    <w:p w:rsidR="00000000" w:rsidRDefault="00D958C5">
      <w:pPr>
        <w:spacing w:line="500" w:lineRule="atLeast"/>
        <w:jc w:val="right"/>
        <w:divId w:val="1112474395"/>
        <w:rPr>
          <w:rFonts w:hint="eastAsia"/>
          <w:sz w:val="30"/>
          <w:szCs w:val="30"/>
        </w:rPr>
      </w:pPr>
      <w:r>
        <w:rPr>
          <w:rFonts w:hint="eastAsia"/>
          <w:sz w:val="30"/>
          <w:szCs w:val="30"/>
        </w:rPr>
        <w:t>审判员　琚　　　　虹</w:t>
      </w:r>
    </w:p>
    <w:p w:rsidR="00000000" w:rsidRDefault="00D958C5">
      <w:pPr>
        <w:spacing w:line="500" w:lineRule="atLeast"/>
        <w:jc w:val="right"/>
        <w:divId w:val="614556560"/>
        <w:rPr>
          <w:rFonts w:hint="eastAsia"/>
          <w:sz w:val="30"/>
          <w:szCs w:val="30"/>
        </w:rPr>
      </w:pPr>
      <w:r>
        <w:rPr>
          <w:rFonts w:hint="eastAsia"/>
          <w:sz w:val="30"/>
          <w:szCs w:val="30"/>
        </w:rPr>
        <w:t>二〇一五年七月十日</w:t>
      </w:r>
    </w:p>
    <w:p w:rsidR="00000000" w:rsidRDefault="00D958C5">
      <w:pPr>
        <w:spacing w:line="500" w:lineRule="atLeast"/>
        <w:jc w:val="right"/>
        <w:divId w:val="669866665"/>
        <w:rPr>
          <w:rFonts w:hint="eastAsia"/>
          <w:sz w:val="30"/>
          <w:szCs w:val="30"/>
        </w:rPr>
      </w:pPr>
      <w:r>
        <w:rPr>
          <w:rFonts w:hint="eastAsia"/>
          <w:sz w:val="30"/>
          <w:szCs w:val="30"/>
        </w:rPr>
        <w:t>书记员　刘芳原（兼）</w:t>
      </w:r>
    </w:p>
    <w:p w:rsidR="00000000" w:rsidRDefault="00D958C5">
      <w:pPr>
        <w:spacing w:line="500" w:lineRule="atLeast"/>
        <w:ind w:firstLine="600"/>
        <w:divId w:val="526218332"/>
        <w:rPr>
          <w:rFonts w:hint="eastAsia"/>
          <w:sz w:val="30"/>
          <w:szCs w:val="30"/>
        </w:rPr>
      </w:pPr>
      <w:r>
        <w:rPr>
          <w:rFonts w:hint="eastAsia"/>
          <w:sz w:val="30"/>
          <w:szCs w:val="30"/>
        </w:rPr>
        <w:t>附相关法律条文</w:t>
      </w:r>
    </w:p>
    <w:p w:rsidR="00000000" w:rsidRDefault="00D958C5">
      <w:pPr>
        <w:spacing w:line="500" w:lineRule="atLeast"/>
        <w:ind w:firstLine="600"/>
        <w:divId w:val="290401075"/>
        <w:rPr>
          <w:rFonts w:hint="eastAsia"/>
          <w:sz w:val="30"/>
          <w:szCs w:val="30"/>
        </w:rPr>
      </w:pPr>
      <w:r>
        <w:rPr>
          <w:rFonts w:hint="eastAsia"/>
          <w:sz w:val="30"/>
          <w:szCs w:val="30"/>
        </w:rPr>
        <w:t>《中华人民共和国民事诉讼法》</w:t>
      </w:r>
    </w:p>
    <w:p w:rsidR="00000000" w:rsidRDefault="00D958C5">
      <w:pPr>
        <w:spacing w:line="500" w:lineRule="atLeast"/>
        <w:ind w:firstLine="600"/>
        <w:divId w:val="1491218271"/>
        <w:rPr>
          <w:rFonts w:hint="eastAsia"/>
          <w:sz w:val="30"/>
          <w:szCs w:val="30"/>
        </w:rPr>
      </w:pPr>
      <w:r>
        <w:rPr>
          <w:rFonts w:hint="eastAsia"/>
          <w:sz w:val="30"/>
          <w:szCs w:val="30"/>
        </w:rPr>
        <w:t>第一百七十条第二审人民法院对上诉案件，经过审理，按照下列情形，分别处理：</w:t>
      </w:r>
    </w:p>
    <w:p w:rsidR="00000000" w:rsidRDefault="00D958C5">
      <w:pPr>
        <w:spacing w:line="500" w:lineRule="atLeast"/>
        <w:ind w:firstLine="600"/>
        <w:divId w:val="1427266487"/>
        <w:rPr>
          <w:rFonts w:hint="eastAsia"/>
          <w:sz w:val="30"/>
          <w:szCs w:val="30"/>
        </w:rPr>
      </w:pPr>
      <w:r>
        <w:rPr>
          <w:rFonts w:hint="eastAsia"/>
          <w:sz w:val="30"/>
          <w:szCs w:val="30"/>
        </w:rPr>
        <w:t>（一）原判决、裁定认定事实清楚，适用法律正确的，以判决、裁定方式驳回上诉，维持原判决、裁定；</w:t>
      </w:r>
    </w:p>
    <w:p w:rsidR="00000000" w:rsidRDefault="00D958C5">
      <w:pPr>
        <w:spacing w:line="500" w:lineRule="atLeast"/>
        <w:ind w:firstLine="600"/>
        <w:divId w:val="303245502"/>
        <w:rPr>
          <w:rFonts w:hint="eastAsia"/>
          <w:sz w:val="30"/>
          <w:szCs w:val="30"/>
        </w:rPr>
      </w:pPr>
      <w:r>
        <w:rPr>
          <w:rFonts w:hint="eastAsia"/>
          <w:sz w:val="30"/>
          <w:szCs w:val="30"/>
        </w:rPr>
        <w:t>（二）原判决、裁定认定事实错误或者适用法律错误的，以判决、裁定方式依法改判、撤销或者变更；</w:t>
      </w:r>
    </w:p>
    <w:p w:rsidR="00000000" w:rsidRDefault="00D958C5">
      <w:pPr>
        <w:spacing w:line="500" w:lineRule="atLeast"/>
        <w:ind w:firstLine="600"/>
        <w:divId w:val="260839232"/>
        <w:rPr>
          <w:rFonts w:hint="eastAsia"/>
          <w:sz w:val="30"/>
          <w:szCs w:val="30"/>
        </w:rPr>
      </w:pPr>
      <w:r>
        <w:rPr>
          <w:rFonts w:hint="eastAsia"/>
          <w:sz w:val="30"/>
          <w:szCs w:val="30"/>
        </w:rPr>
        <w:t>（三）原判决认定基本事实不清的，裁定撤销原判决，发回原审人民法院重审，或者查清事实后改判；</w:t>
      </w:r>
    </w:p>
    <w:p w:rsidR="00000000" w:rsidRDefault="00D958C5">
      <w:pPr>
        <w:spacing w:line="500" w:lineRule="atLeast"/>
        <w:ind w:firstLine="600"/>
        <w:divId w:val="2119373004"/>
        <w:rPr>
          <w:rFonts w:hint="eastAsia"/>
          <w:sz w:val="30"/>
          <w:szCs w:val="30"/>
        </w:rPr>
      </w:pPr>
      <w:r>
        <w:rPr>
          <w:rFonts w:hint="eastAsia"/>
          <w:sz w:val="30"/>
          <w:szCs w:val="30"/>
        </w:rPr>
        <w:t>（四）原判决遗漏当事人或者违法缺席判决等严重违反法定程序的，裁定撤销原判决，发回原审人民法院重审。</w:t>
      </w:r>
    </w:p>
    <w:p w:rsidR="00000000" w:rsidRDefault="00D958C5">
      <w:pPr>
        <w:spacing w:line="500" w:lineRule="atLeast"/>
        <w:ind w:firstLine="600"/>
        <w:divId w:val="1676876486"/>
        <w:rPr>
          <w:rFonts w:hint="eastAsia"/>
          <w:sz w:val="30"/>
          <w:szCs w:val="30"/>
        </w:rPr>
      </w:pPr>
      <w:r>
        <w:rPr>
          <w:rFonts w:hint="eastAsia"/>
          <w:sz w:val="30"/>
          <w:szCs w:val="30"/>
        </w:rPr>
        <w:t>原审人民法院对发回重审的案件作出判决后，当事人提起上诉的，第二审人民法院不得再次发回重审。</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958C5" w:rsidRDefault="00D958C5" w:rsidP="00D958C5">
      <w:r>
        <w:separator/>
      </w:r>
    </w:p>
  </w:endnote>
  <w:endnote w:type="continuationSeparator" w:id="0">
    <w:p w:rsidR="00D958C5" w:rsidRDefault="00D958C5" w:rsidP="00D958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958C5" w:rsidRDefault="00D958C5" w:rsidP="00D958C5">
      <w:r>
        <w:separator/>
      </w:r>
    </w:p>
  </w:footnote>
  <w:footnote w:type="continuationSeparator" w:id="0">
    <w:p w:rsidR="00D958C5" w:rsidRDefault="00D958C5" w:rsidP="00D958C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D958C5"/>
    <w:rsid w:val="00D958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13E6A5D2-0693-4B30-B868-518E2BFED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D958C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958C5"/>
    <w:rPr>
      <w:rFonts w:ascii="宋体" w:eastAsia="宋体" w:hAnsi="宋体" w:cs="宋体"/>
      <w:sz w:val="18"/>
      <w:szCs w:val="18"/>
    </w:rPr>
  </w:style>
  <w:style w:type="paragraph" w:styleId="a5">
    <w:name w:val="footer"/>
    <w:basedOn w:val="a"/>
    <w:link w:val="a6"/>
    <w:uiPriority w:val="99"/>
    <w:unhideWhenUsed/>
    <w:rsid w:val="00D958C5"/>
    <w:pPr>
      <w:tabs>
        <w:tab w:val="center" w:pos="4153"/>
        <w:tab w:val="right" w:pos="8306"/>
      </w:tabs>
      <w:snapToGrid w:val="0"/>
    </w:pPr>
    <w:rPr>
      <w:sz w:val="18"/>
      <w:szCs w:val="18"/>
    </w:rPr>
  </w:style>
  <w:style w:type="character" w:customStyle="1" w:styleId="a6">
    <w:name w:val="页脚 字符"/>
    <w:basedOn w:val="a0"/>
    <w:link w:val="a5"/>
    <w:uiPriority w:val="99"/>
    <w:rsid w:val="00D958C5"/>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0839232">
      <w:marLeft w:val="0"/>
      <w:marRight w:val="0"/>
      <w:marTop w:val="10"/>
      <w:marBottom w:val="10"/>
      <w:divBdr>
        <w:top w:val="none" w:sz="0" w:space="0" w:color="auto"/>
        <w:left w:val="none" w:sz="0" w:space="0" w:color="auto"/>
        <w:bottom w:val="none" w:sz="0" w:space="0" w:color="auto"/>
        <w:right w:val="none" w:sz="0" w:space="0" w:color="auto"/>
      </w:divBdr>
    </w:div>
    <w:div w:id="277182369">
      <w:marLeft w:val="0"/>
      <w:marRight w:val="0"/>
      <w:marTop w:val="10"/>
      <w:marBottom w:val="10"/>
      <w:divBdr>
        <w:top w:val="none" w:sz="0" w:space="0" w:color="auto"/>
        <w:left w:val="none" w:sz="0" w:space="0" w:color="auto"/>
        <w:bottom w:val="none" w:sz="0" w:space="0" w:color="auto"/>
        <w:right w:val="none" w:sz="0" w:space="0" w:color="auto"/>
      </w:divBdr>
    </w:div>
    <w:div w:id="290401075">
      <w:marLeft w:val="0"/>
      <w:marRight w:val="0"/>
      <w:marTop w:val="10"/>
      <w:marBottom w:val="10"/>
      <w:divBdr>
        <w:top w:val="none" w:sz="0" w:space="0" w:color="auto"/>
        <w:left w:val="none" w:sz="0" w:space="0" w:color="auto"/>
        <w:bottom w:val="none" w:sz="0" w:space="0" w:color="auto"/>
        <w:right w:val="none" w:sz="0" w:space="0" w:color="auto"/>
      </w:divBdr>
    </w:div>
    <w:div w:id="303245502">
      <w:marLeft w:val="0"/>
      <w:marRight w:val="0"/>
      <w:marTop w:val="10"/>
      <w:marBottom w:val="10"/>
      <w:divBdr>
        <w:top w:val="none" w:sz="0" w:space="0" w:color="auto"/>
        <w:left w:val="none" w:sz="0" w:space="0" w:color="auto"/>
        <w:bottom w:val="none" w:sz="0" w:space="0" w:color="auto"/>
        <w:right w:val="none" w:sz="0" w:space="0" w:color="auto"/>
      </w:divBdr>
    </w:div>
    <w:div w:id="325715291">
      <w:marLeft w:val="0"/>
      <w:marRight w:val="0"/>
      <w:marTop w:val="10"/>
      <w:marBottom w:val="10"/>
      <w:divBdr>
        <w:top w:val="none" w:sz="0" w:space="0" w:color="auto"/>
        <w:left w:val="none" w:sz="0" w:space="0" w:color="auto"/>
        <w:bottom w:val="none" w:sz="0" w:space="0" w:color="auto"/>
        <w:right w:val="none" w:sz="0" w:space="0" w:color="auto"/>
      </w:divBdr>
    </w:div>
    <w:div w:id="331492814">
      <w:marLeft w:val="0"/>
      <w:marRight w:val="0"/>
      <w:marTop w:val="10"/>
      <w:marBottom w:val="10"/>
      <w:divBdr>
        <w:top w:val="none" w:sz="0" w:space="0" w:color="auto"/>
        <w:left w:val="none" w:sz="0" w:space="0" w:color="auto"/>
        <w:bottom w:val="none" w:sz="0" w:space="0" w:color="auto"/>
        <w:right w:val="none" w:sz="0" w:space="0" w:color="auto"/>
      </w:divBdr>
    </w:div>
    <w:div w:id="336884362">
      <w:marLeft w:val="0"/>
      <w:marRight w:val="0"/>
      <w:marTop w:val="10"/>
      <w:marBottom w:val="10"/>
      <w:divBdr>
        <w:top w:val="none" w:sz="0" w:space="0" w:color="auto"/>
        <w:left w:val="none" w:sz="0" w:space="0" w:color="auto"/>
        <w:bottom w:val="none" w:sz="0" w:space="0" w:color="auto"/>
        <w:right w:val="none" w:sz="0" w:space="0" w:color="auto"/>
      </w:divBdr>
    </w:div>
    <w:div w:id="339700442">
      <w:marLeft w:val="0"/>
      <w:marRight w:val="0"/>
      <w:marTop w:val="10"/>
      <w:marBottom w:val="10"/>
      <w:divBdr>
        <w:top w:val="none" w:sz="0" w:space="0" w:color="auto"/>
        <w:left w:val="none" w:sz="0" w:space="0" w:color="auto"/>
        <w:bottom w:val="none" w:sz="0" w:space="0" w:color="auto"/>
        <w:right w:val="none" w:sz="0" w:space="0" w:color="auto"/>
      </w:divBdr>
    </w:div>
    <w:div w:id="401025008">
      <w:marLeft w:val="0"/>
      <w:marRight w:val="0"/>
      <w:marTop w:val="10"/>
      <w:marBottom w:val="10"/>
      <w:divBdr>
        <w:top w:val="none" w:sz="0" w:space="0" w:color="auto"/>
        <w:left w:val="none" w:sz="0" w:space="0" w:color="auto"/>
        <w:bottom w:val="none" w:sz="0" w:space="0" w:color="auto"/>
        <w:right w:val="none" w:sz="0" w:space="0" w:color="auto"/>
      </w:divBdr>
    </w:div>
    <w:div w:id="419528138">
      <w:marLeft w:val="0"/>
      <w:marRight w:val="0"/>
      <w:marTop w:val="10"/>
      <w:marBottom w:val="10"/>
      <w:divBdr>
        <w:top w:val="none" w:sz="0" w:space="0" w:color="auto"/>
        <w:left w:val="none" w:sz="0" w:space="0" w:color="auto"/>
        <w:bottom w:val="none" w:sz="0" w:space="0" w:color="auto"/>
        <w:right w:val="none" w:sz="0" w:space="0" w:color="auto"/>
      </w:divBdr>
    </w:div>
    <w:div w:id="526218332">
      <w:marLeft w:val="0"/>
      <w:marRight w:val="0"/>
      <w:marTop w:val="10"/>
      <w:marBottom w:val="10"/>
      <w:divBdr>
        <w:top w:val="none" w:sz="0" w:space="0" w:color="auto"/>
        <w:left w:val="none" w:sz="0" w:space="0" w:color="auto"/>
        <w:bottom w:val="none" w:sz="0" w:space="0" w:color="auto"/>
        <w:right w:val="none" w:sz="0" w:space="0" w:color="auto"/>
      </w:divBdr>
    </w:div>
    <w:div w:id="614556560">
      <w:marLeft w:val="0"/>
      <w:marRight w:val="720"/>
      <w:marTop w:val="10"/>
      <w:marBottom w:val="10"/>
      <w:divBdr>
        <w:top w:val="none" w:sz="0" w:space="0" w:color="auto"/>
        <w:left w:val="none" w:sz="0" w:space="0" w:color="auto"/>
        <w:bottom w:val="none" w:sz="0" w:space="0" w:color="auto"/>
        <w:right w:val="none" w:sz="0" w:space="0" w:color="auto"/>
      </w:divBdr>
    </w:div>
    <w:div w:id="669866665">
      <w:marLeft w:val="0"/>
      <w:marRight w:val="720"/>
      <w:marTop w:val="10"/>
      <w:marBottom w:val="10"/>
      <w:divBdr>
        <w:top w:val="none" w:sz="0" w:space="0" w:color="auto"/>
        <w:left w:val="none" w:sz="0" w:space="0" w:color="auto"/>
        <w:bottom w:val="none" w:sz="0" w:space="0" w:color="auto"/>
        <w:right w:val="none" w:sz="0" w:space="0" w:color="auto"/>
      </w:divBdr>
    </w:div>
    <w:div w:id="721098455">
      <w:marLeft w:val="0"/>
      <w:marRight w:val="0"/>
      <w:marTop w:val="10"/>
      <w:marBottom w:val="10"/>
      <w:divBdr>
        <w:top w:val="none" w:sz="0" w:space="0" w:color="auto"/>
        <w:left w:val="none" w:sz="0" w:space="0" w:color="auto"/>
        <w:bottom w:val="none" w:sz="0" w:space="0" w:color="auto"/>
        <w:right w:val="none" w:sz="0" w:space="0" w:color="auto"/>
      </w:divBdr>
    </w:div>
    <w:div w:id="840509161">
      <w:marLeft w:val="0"/>
      <w:marRight w:val="720"/>
      <w:marTop w:val="10"/>
      <w:marBottom w:val="10"/>
      <w:divBdr>
        <w:top w:val="none" w:sz="0" w:space="0" w:color="auto"/>
        <w:left w:val="none" w:sz="0" w:space="0" w:color="auto"/>
        <w:bottom w:val="none" w:sz="0" w:space="0" w:color="auto"/>
        <w:right w:val="none" w:sz="0" w:space="0" w:color="auto"/>
      </w:divBdr>
    </w:div>
    <w:div w:id="940381226">
      <w:marLeft w:val="0"/>
      <w:marRight w:val="0"/>
      <w:marTop w:val="10"/>
      <w:marBottom w:val="10"/>
      <w:divBdr>
        <w:top w:val="none" w:sz="0" w:space="0" w:color="auto"/>
        <w:left w:val="none" w:sz="0" w:space="0" w:color="auto"/>
        <w:bottom w:val="none" w:sz="0" w:space="0" w:color="auto"/>
        <w:right w:val="none" w:sz="0" w:space="0" w:color="auto"/>
      </w:divBdr>
    </w:div>
    <w:div w:id="945969171">
      <w:marLeft w:val="0"/>
      <w:marRight w:val="0"/>
      <w:marTop w:val="10"/>
      <w:marBottom w:val="10"/>
      <w:divBdr>
        <w:top w:val="none" w:sz="0" w:space="0" w:color="auto"/>
        <w:left w:val="none" w:sz="0" w:space="0" w:color="auto"/>
        <w:bottom w:val="none" w:sz="0" w:space="0" w:color="auto"/>
        <w:right w:val="none" w:sz="0" w:space="0" w:color="auto"/>
      </w:divBdr>
    </w:div>
    <w:div w:id="1078941822">
      <w:marLeft w:val="0"/>
      <w:marRight w:val="0"/>
      <w:marTop w:val="10"/>
      <w:marBottom w:val="10"/>
      <w:divBdr>
        <w:top w:val="none" w:sz="0" w:space="0" w:color="auto"/>
        <w:left w:val="none" w:sz="0" w:space="0" w:color="auto"/>
        <w:bottom w:val="none" w:sz="0" w:space="0" w:color="auto"/>
        <w:right w:val="none" w:sz="0" w:space="0" w:color="auto"/>
      </w:divBdr>
    </w:div>
    <w:div w:id="1110203144">
      <w:marLeft w:val="0"/>
      <w:marRight w:val="0"/>
      <w:marTop w:val="10"/>
      <w:marBottom w:val="10"/>
      <w:divBdr>
        <w:top w:val="none" w:sz="0" w:space="0" w:color="auto"/>
        <w:left w:val="none" w:sz="0" w:space="0" w:color="auto"/>
        <w:bottom w:val="none" w:sz="0" w:space="0" w:color="auto"/>
        <w:right w:val="none" w:sz="0" w:space="0" w:color="auto"/>
      </w:divBdr>
    </w:div>
    <w:div w:id="1112474395">
      <w:marLeft w:val="0"/>
      <w:marRight w:val="720"/>
      <w:marTop w:val="10"/>
      <w:marBottom w:val="10"/>
      <w:divBdr>
        <w:top w:val="none" w:sz="0" w:space="0" w:color="auto"/>
        <w:left w:val="none" w:sz="0" w:space="0" w:color="auto"/>
        <w:bottom w:val="none" w:sz="0" w:space="0" w:color="auto"/>
        <w:right w:val="none" w:sz="0" w:space="0" w:color="auto"/>
      </w:divBdr>
    </w:div>
    <w:div w:id="1175026781">
      <w:marLeft w:val="0"/>
      <w:marRight w:val="0"/>
      <w:marTop w:val="10"/>
      <w:marBottom w:val="10"/>
      <w:divBdr>
        <w:top w:val="none" w:sz="0" w:space="0" w:color="auto"/>
        <w:left w:val="none" w:sz="0" w:space="0" w:color="auto"/>
        <w:bottom w:val="none" w:sz="0" w:space="0" w:color="auto"/>
        <w:right w:val="none" w:sz="0" w:space="0" w:color="auto"/>
      </w:divBdr>
    </w:div>
    <w:div w:id="1244412535">
      <w:marLeft w:val="0"/>
      <w:marRight w:val="0"/>
      <w:marTop w:val="10"/>
      <w:marBottom w:val="10"/>
      <w:divBdr>
        <w:top w:val="none" w:sz="0" w:space="0" w:color="auto"/>
        <w:left w:val="none" w:sz="0" w:space="0" w:color="auto"/>
        <w:bottom w:val="none" w:sz="0" w:space="0" w:color="auto"/>
        <w:right w:val="none" w:sz="0" w:space="0" w:color="auto"/>
      </w:divBdr>
    </w:div>
    <w:div w:id="1300964027">
      <w:marLeft w:val="0"/>
      <w:marRight w:val="0"/>
      <w:marTop w:val="10"/>
      <w:marBottom w:val="10"/>
      <w:divBdr>
        <w:top w:val="none" w:sz="0" w:space="0" w:color="auto"/>
        <w:left w:val="none" w:sz="0" w:space="0" w:color="auto"/>
        <w:bottom w:val="none" w:sz="0" w:space="0" w:color="auto"/>
        <w:right w:val="none" w:sz="0" w:space="0" w:color="auto"/>
      </w:divBdr>
    </w:div>
    <w:div w:id="1399089613">
      <w:marLeft w:val="0"/>
      <w:marRight w:val="0"/>
      <w:marTop w:val="10"/>
      <w:marBottom w:val="10"/>
      <w:divBdr>
        <w:top w:val="none" w:sz="0" w:space="0" w:color="auto"/>
        <w:left w:val="none" w:sz="0" w:space="0" w:color="auto"/>
        <w:bottom w:val="none" w:sz="0" w:space="0" w:color="auto"/>
        <w:right w:val="none" w:sz="0" w:space="0" w:color="auto"/>
      </w:divBdr>
    </w:div>
    <w:div w:id="1427266487">
      <w:marLeft w:val="0"/>
      <w:marRight w:val="0"/>
      <w:marTop w:val="10"/>
      <w:marBottom w:val="10"/>
      <w:divBdr>
        <w:top w:val="none" w:sz="0" w:space="0" w:color="auto"/>
        <w:left w:val="none" w:sz="0" w:space="0" w:color="auto"/>
        <w:bottom w:val="none" w:sz="0" w:space="0" w:color="auto"/>
        <w:right w:val="none" w:sz="0" w:space="0" w:color="auto"/>
      </w:divBdr>
    </w:div>
    <w:div w:id="1441802815">
      <w:marLeft w:val="0"/>
      <w:marRight w:val="0"/>
      <w:marTop w:val="10"/>
      <w:marBottom w:val="10"/>
      <w:divBdr>
        <w:top w:val="none" w:sz="0" w:space="0" w:color="auto"/>
        <w:left w:val="none" w:sz="0" w:space="0" w:color="auto"/>
        <w:bottom w:val="none" w:sz="0" w:space="0" w:color="auto"/>
        <w:right w:val="none" w:sz="0" w:space="0" w:color="auto"/>
      </w:divBdr>
    </w:div>
    <w:div w:id="1488941319">
      <w:marLeft w:val="0"/>
      <w:marRight w:val="0"/>
      <w:marTop w:val="10"/>
      <w:marBottom w:val="10"/>
      <w:divBdr>
        <w:top w:val="none" w:sz="0" w:space="0" w:color="auto"/>
        <w:left w:val="none" w:sz="0" w:space="0" w:color="auto"/>
        <w:bottom w:val="none" w:sz="0" w:space="0" w:color="auto"/>
        <w:right w:val="none" w:sz="0" w:space="0" w:color="auto"/>
      </w:divBdr>
    </w:div>
    <w:div w:id="1491218271">
      <w:marLeft w:val="0"/>
      <w:marRight w:val="0"/>
      <w:marTop w:val="10"/>
      <w:marBottom w:val="10"/>
      <w:divBdr>
        <w:top w:val="none" w:sz="0" w:space="0" w:color="auto"/>
        <w:left w:val="none" w:sz="0" w:space="0" w:color="auto"/>
        <w:bottom w:val="none" w:sz="0" w:space="0" w:color="auto"/>
        <w:right w:val="none" w:sz="0" w:space="0" w:color="auto"/>
      </w:divBdr>
    </w:div>
    <w:div w:id="1570114191">
      <w:marLeft w:val="0"/>
      <w:marRight w:val="0"/>
      <w:marTop w:val="10"/>
      <w:marBottom w:val="10"/>
      <w:divBdr>
        <w:top w:val="none" w:sz="0" w:space="0" w:color="auto"/>
        <w:left w:val="none" w:sz="0" w:space="0" w:color="auto"/>
        <w:bottom w:val="none" w:sz="0" w:space="0" w:color="auto"/>
        <w:right w:val="none" w:sz="0" w:space="0" w:color="auto"/>
      </w:divBdr>
    </w:div>
    <w:div w:id="1676876486">
      <w:marLeft w:val="0"/>
      <w:marRight w:val="0"/>
      <w:marTop w:val="10"/>
      <w:marBottom w:val="10"/>
      <w:divBdr>
        <w:top w:val="none" w:sz="0" w:space="0" w:color="auto"/>
        <w:left w:val="none" w:sz="0" w:space="0" w:color="auto"/>
        <w:bottom w:val="none" w:sz="0" w:space="0" w:color="auto"/>
        <w:right w:val="none" w:sz="0" w:space="0" w:color="auto"/>
      </w:divBdr>
    </w:div>
    <w:div w:id="1690402349">
      <w:marLeft w:val="0"/>
      <w:marRight w:val="0"/>
      <w:marTop w:val="10"/>
      <w:marBottom w:val="10"/>
      <w:divBdr>
        <w:top w:val="none" w:sz="0" w:space="0" w:color="auto"/>
        <w:left w:val="none" w:sz="0" w:space="0" w:color="auto"/>
        <w:bottom w:val="none" w:sz="0" w:space="0" w:color="auto"/>
        <w:right w:val="none" w:sz="0" w:space="0" w:color="auto"/>
      </w:divBdr>
    </w:div>
    <w:div w:id="1787576379">
      <w:marLeft w:val="0"/>
      <w:marRight w:val="720"/>
      <w:marTop w:val="10"/>
      <w:marBottom w:val="10"/>
      <w:divBdr>
        <w:top w:val="none" w:sz="0" w:space="0" w:color="auto"/>
        <w:left w:val="none" w:sz="0" w:space="0" w:color="auto"/>
        <w:bottom w:val="none" w:sz="0" w:space="0" w:color="auto"/>
        <w:right w:val="none" w:sz="0" w:space="0" w:color="auto"/>
      </w:divBdr>
    </w:div>
    <w:div w:id="1794210138">
      <w:marLeft w:val="0"/>
      <w:marRight w:val="0"/>
      <w:marTop w:val="10"/>
      <w:marBottom w:val="10"/>
      <w:divBdr>
        <w:top w:val="none" w:sz="0" w:space="0" w:color="auto"/>
        <w:left w:val="none" w:sz="0" w:space="0" w:color="auto"/>
        <w:bottom w:val="none" w:sz="0" w:space="0" w:color="auto"/>
        <w:right w:val="none" w:sz="0" w:space="0" w:color="auto"/>
      </w:divBdr>
    </w:div>
    <w:div w:id="1850606601">
      <w:marLeft w:val="0"/>
      <w:marRight w:val="0"/>
      <w:marTop w:val="10"/>
      <w:marBottom w:val="10"/>
      <w:divBdr>
        <w:top w:val="none" w:sz="0" w:space="0" w:color="auto"/>
        <w:left w:val="none" w:sz="0" w:space="0" w:color="auto"/>
        <w:bottom w:val="none" w:sz="0" w:space="0" w:color="auto"/>
        <w:right w:val="none" w:sz="0" w:space="0" w:color="auto"/>
      </w:divBdr>
    </w:div>
    <w:div w:id="1865244696">
      <w:marLeft w:val="0"/>
      <w:marRight w:val="0"/>
      <w:marTop w:val="10"/>
      <w:marBottom w:val="10"/>
      <w:divBdr>
        <w:top w:val="none" w:sz="0" w:space="0" w:color="auto"/>
        <w:left w:val="none" w:sz="0" w:space="0" w:color="auto"/>
        <w:bottom w:val="none" w:sz="0" w:space="0" w:color="auto"/>
        <w:right w:val="none" w:sz="0" w:space="0" w:color="auto"/>
      </w:divBdr>
    </w:div>
    <w:div w:id="2119373004">
      <w:marLeft w:val="0"/>
      <w:marRight w:val="0"/>
      <w:marTop w:val="10"/>
      <w:marBottom w:val="10"/>
      <w:divBdr>
        <w:top w:val="none" w:sz="0" w:space="0" w:color="auto"/>
        <w:left w:val="none" w:sz="0" w:space="0" w:color="auto"/>
        <w:bottom w:val="none" w:sz="0" w:space="0" w:color="auto"/>
        <w:right w:val="none" w:sz="0" w:space="0" w:color="auto"/>
      </w:divBdr>
    </w:div>
    <w:div w:id="2124642032">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1086</Words>
  <Characters>6194</Characters>
  <Application>Microsoft Office Word</Application>
  <DocSecurity>0</DocSecurity>
  <Lines>51</Lines>
  <Paragraphs>14</Paragraphs>
  <ScaleCrop>false</ScaleCrop>
  <Company/>
  <LinksUpToDate>false</LinksUpToDate>
  <CharactersWithSpaces>7266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2021-12-15T08:46:00Z</dcterms:created>
  <dcterms:modified xsi:type="dcterms:W3CDTF">2021-12-15T08:46:00Z</dcterms:modified>
</cp:coreProperties>
</file>