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22CB0">
      <w:pPr>
        <w:spacing w:line="500" w:lineRule="atLeast"/>
        <w:jc w:val="center"/>
        <w:divId w:val="1825311511"/>
        <w:rPr>
          <w:rFonts w:ascii="黑体" w:eastAsia="黑体" w:hAnsi="黑体"/>
          <w:sz w:val="36"/>
          <w:szCs w:val="36"/>
        </w:rPr>
      </w:pPr>
      <w:bookmarkStart w:id="0" w:name="_GoBack"/>
      <w:bookmarkEnd w:id="0"/>
      <w:r>
        <w:rPr>
          <w:rFonts w:ascii="黑体" w:eastAsia="黑体" w:hAnsi="黑体" w:hint="eastAsia"/>
          <w:sz w:val="36"/>
          <w:szCs w:val="36"/>
        </w:rPr>
        <w:t>四川省成都市中级人民法院</w:t>
      </w:r>
    </w:p>
    <w:p w:rsidR="00000000" w:rsidRDefault="00722CB0">
      <w:pPr>
        <w:spacing w:line="500" w:lineRule="atLeast"/>
        <w:jc w:val="center"/>
        <w:divId w:val="21249886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22CB0">
      <w:pPr>
        <w:spacing w:line="500" w:lineRule="atLeast"/>
        <w:jc w:val="right"/>
        <w:divId w:val="244724279"/>
        <w:rPr>
          <w:rFonts w:hint="eastAsia"/>
          <w:sz w:val="30"/>
          <w:szCs w:val="30"/>
        </w:rPr>
      </w:pPr>
      <w:r>
        <w:rPr>
          <w:rFonts w:hint="eastAsia"/>
          <w:sz w:val="30"/>
          <w:szCs w:val="30"/>
        </w:rPr>
        <w:t>（</w:t>
      </w:r>
      <w:r>
        <w:rPr>
          <w:rFonts w:hint="eastAsia"/>
          <w:sz w:val="30"/>
          <w:szCs w:val="30"/>
        </w:rPr>
        <w:t>2021</w:t>
      </w:r>
      <w:r>
        <w:rPr>
          <w:rFonts w:hint="eastAsia"/>
          <w:sz w:val="30"/>
          <w:szCs w:val="30"/>
        </w:rPr>
        <w:t>）川</w:t>
      </w:r>
      <w:r>
        <w:rPr>
          <w:rFonts w:hint="eastAsia"/>
          <w:sz w:val="30"/>
          <w:szCs w:val="30"/>
        </w:rPr>
        <w:t>01</w:t>
      </w:r>
      <w:r>
        <w:rPr>
          <w:rFonts w:hint="eastAsia"/>
          <w:sz w:val="30"/>
          <w:szCs w:val="30"/>
        </w:rPr>
        <w:t>民终</w:t>
      </w:r>
      <w:r>
        <w:rPr>
          <w:rFonts w:hint="eastAsia"/>
          <w:sz w:val="30"/>
          <w:szCs w:val="30"/>
        </w:rPr>
        <w:t>12691</w:t>
      </w:r>
      <w:r>
        <w:rPr>
          <w:rFonts w:hint="eastAsia"/>
          <w:sz w:val="30"/>
          <w:szCs w:val="30"/>
        </w:rPr>
        <w:t>号</w:t>
      </w:r>
    </w:p>
    <w:p w:rsidR="00000000" w:rsidRDefault="00722CB0">
      <w:pPr>
        <w:spacing w:line="500" w:lineRule="atLeast"/>
        <w:ind w:firstLine="600"/>
        <w:divId w:val="2096395892"/>
        <w:rPr>
          <w:rFonts w:hint="eastAsia"/>
          <w:sz w:val="30"/>
          <w:szCs w:val="30"/>
        </w:rPr>
      </w:pPr>
      <w:r>
        <w:rPr>
          <w:rFonts w:hint="eastAsia"/>
          <w:sz w:val="30"/>
          <w:szCs w:val="30"/>
        </w:rPr>
        <w:t>上诉人（原审原告）：四川启明博雅教育科技有限公司，住所地成都市锦江区年丰巷</w:t>
      </w:r>
      <w:r>
        <w:rPr>
          <w:rFonts w:hint="eastAsia"/>
          <w:sz w:val="30"/>
          <w:szCs w:val="30"/>
        </w:rPr>
        <w:t>52</w:t>
      </w:r>
      <w:r>
        <w:rPr>
          <w:rFonts w:hint="eastAsia"/>
          <w:sz w:val="30"/>
          <w:szCs w:val="30"/>
        </w:rPr>
        <w:t>号</w:t>
      </w:r>
      <w:r>
        <w:rPr>
          <w:rFonts w:hint="eastAsia"/>
          <w:sz w:val="30"/>
          <w:szCs w:val="30"/>
        </w:rPr>
        <w:t>1</w:t>
      </w:r>
      <w:r>
        <w:rPr>
          <w:rFonts w:hint="eastAsia"/>
          <w:sz w:val="30"/>
          <w:szCs w:val="30"/>
        </w:rPr>
        <w:t>幢</w:t>
      </w:r>
      <w:r>
        <w:rPr>
          <w:rFonts w:hint="eastAsia"/>
          <w:sz w:val="30"/>
          <w:szCs w:val="30"/>
        </w:rPr>
        <w:t>5</w:t>
      </w:r>
      <w:r>
        <w:rPr>
          <w:rFonts w:hint="eastAsia"/>
          <w:sz w:val="30"/>
          <w:szCs w:val="30"/>
        </w:rPr>
        <w:t>层</w:t>
      </w:r>
      <w:r>
        <w:rPr>
          <w:rFonts w:hint="eastAsia"/>
          <w:sz w:val="30"/>
          <w:szCs w:val="30"/>
        </w:rPr>
        <w:t>5-4</w:t>
      </w:r>
      <w:r>
        <w:rPr>
          <w:rFonts w:hint="eastAsia"/>
          <w:sz w:val="30"/>
          <w:szCs w:val="30"/>
        </w:rPr>
        <w:t>号附</w:t>
      </w:r>
      <w:r>
        <w:rPr>
          <w:rFonts w:hint="eastAsia"/>
          <w:sz w:val="30"/>
          <w:szCs w:val="30"/>
        </w:rPr>
        <w:t>308</w:t>
      </w:r>
      <w:r>
        <w:rPr>
          <w:rFonts w:hint="eastAsia"/>
          <w:sz w:val="30"/>
          <w:szCs w:val="30"/>
        </w:rPr>
        <w:t>号。</w:t>
      </w:r>
    </w:p>
    <w:p w:rsidR="00000000" w:rsidRDefault="00722CB0">
      <w:pPr>
        <w:spacing w:line="500" w:lineRule="atLeast"/>
        <w:ind w:firstLine="600"/>
        <w:divId w:val="2052992787"/>
        <w:rPr>
          <w:rFonts w:hint="eastAsia"/>
          <w:sz w:val="30"/>
          <w:szCs w:val="30"/>
        </w:rPr>
      </w:pPr>
      <w:r>
        <w:rPr>
          <w:rFonts w:hint="eastAsia"/>
          <w:sz w:val="30"/>
          <w:szCs w:val="30"/>
        </w:rPr>
        <w:t>法定代表人：杨衡，执行董事。</w:t>
      </w:r>
    </w:p>
    <w:p w:rsidR="00000000" w:rsidRDefault="00722CB0">
      <w:pPr>
        <w:spacing w:line="500" w:lineRule="atLeast"/>
        <w:ind w:firstLine="600"/>
        <w:divId w:val="1923373012"/>
        <w:rPr>
          <w:rFonts w:hint="eastAsia"/>
          <w:sz w:val="30"/>
          <w:szCs w:val="30"/>
        </w:rPr>
      </w:pPr>
      <w:r>
        <w:rPr>
          <w:rFonts w:hint="eastAsia"/>
          <w:sz w:val="30"/>
          <w:szCs w:val="30"/>
        </w:rPr>
        <w:t>诉讼代表人：李杰妹，女，监事。</w:t>
      </w:r>
    </w:p>
    <w:p w:rsidR="00000000" w:rsidRDefault="00722CB0">
      <w:pPr>
        <w:spacing w:line="500" w:lineRule="atLeast"/>
        <w:ind w:firstLine="600"/>
        <w:divId w:val="2029330911"/>
        <w:rPr>
          <w:rFonts w:hint="eastAsia"/>
          <w:sz w:val="30"/>
          <w:szCs w:val="30"/>
        </w:rPr>
      </w:pPr>
      <w:r>
        <w:rPr>
          <w:rFonts w:hint="eastAsia"/>
          <w:sz w:val="30"/>
          <w:szCs w:val="30"/>
        </w:rPr>
        <w:t>被上诉人（原审被告）：杨衡，男，</w:t>
      </w:r>
      <w:r>
        <w:rPr>
          <w:rFonts w:hint="eastAsia"/>
          <w:sz w:val="30"/>
          <w:szCs w:val="30"/>
        </w:rPr>
        <w:t>1977</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日出生，汉族，住成都市锦江区。</w:t>
      </w:r>
    </w:p>
    <w:p w:rsidR="00000000" w:rsidRDefault="00722CB0">
      <w:pPr>
        <w:spacing w:line="500" w:lineRule="atLeast"/>
        <w:ind w:firstLine="600"/>
        <w:divId w:val="1966544885"/>
        <w:rPr>
          <w:rFonts w:hint="eastAsia"/>
          <w:sz w:val="30"/>
          <w:szCs w:val="30"/>
        </w:rPr>
      </w:pPr>
      <w:r>
        <w:rPr>
          <w:rFonts w:hint="eastAsia"/>
          <w:sz w:val="30"/>
          <w:szCs w:val="30"/>
        </w:rPr>
        <w:t>委托诉讼代理人：龙凤梅，四川泰仁律师事务所律师。</w:t>
      </w:r>
    </w:p>
    <w:p w:rsidR="00000000" w:rsidRDefault="00722CB0">
      <w:pPr>
        <w:spacing w:line="500" w:lineRule="atLeast"/>
        <w:ind w:firstLine="600"/>
        <w:divId w:val="421342293"/>
        <w:rPr>
          <w:rFonts w:hint="eastAsia"/>
          <w:sz w:val="30"/>
          <w:szCs w:val="30"/>
        </w:rPr>
      </w:pPr>
      <w:r>
        <w:rPr>
          <w:rFonts w:hint="eastAsia"/>
          <w:sz w:val="30"/>
          <w:szCs w:val="30"/>
        </w:rPr>
        <w:t>委托诉讼代理人：朱思颖，四川泰仁律师事务所律师。</w:t>
      </w:r>
    </w:p>
    <w:p w:rsidR="00000000" w:rsidRDefault="00722CB0">
      <w:pPr>
        <w:spacing w:line="500" w:lineRule="atLeast"/>
        <w:ind w:firstLine="600"/>
        <w:divId w:val="1221937028"/>
        <w:rPr>
          <w:rFonts w:hint="eastAsia"/>
          <w:sz w:val="30"/>
          <w:szCs w:val="30"/>
        </w:rPr>
      </w:pPr>
      <w:r>
        <w:rPr>
          <w:rFonts w:hint="eastAsia"/>
          <w:sz w:val="30"/>
          <w:szCs w:val="30"/>
        </w:rPr>
        <w:t>上诉人四川启明博雅教育科技有限公司（以下简称启明博雅公司）因与被上诉人杨衡损害公司利益责任纠纷一案，不服成都市锦江区人民法院（</w:t>
      </w:r>
      <w:r>
        <w:rPr>
          <w:rFonts w:hint="eastAsia"/>
          <w:sz w:val="30"/>
          <w:szCs w:val="30"/>
        </w:rPr>
        <w:t>2020</w:t>
      </w:r>
      <w:r>
        <w:rPr>
          <w:rFonts w:hint="eastAsia"/>
          <w:sz w:val="30"/>
          <w:szCs w:val="30"/>
        </w:rPr>
        <w:t>）川</w:t>
      </w:r>
      <w:r>
        <w:rPr>
          <w:rFonts w:hint="eastAsia"/>
          <w:sz w:val="30"/>
          <w:szCs w:val="30"/>
        </w:rPr>
        <w:t>0104</w:t>
      </w:r>
      <w:r>
        <w:rPr>
          <w:rFonts w:hint="eastAsia"/>
          <w:sz w:val="30"/>
          <w:szCs w:val="30"/>
        </w:rPr>
        <w:t>民初</w:t>
      </w:r>
      <w:r>
        <w:rPr>
          <w:rFonts w:hint="eastAsia"/>
          <w:sz w:val="30"/>
          <w:szCs w:val="30"/>
        </w:rPr>
        <w:t>13292</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日立案后，依法组成合议庭进行审理。本案现已审理终结。</w:t>
      </w:r>
    </w:p>
    <w:p w:rsidR="00000000" w:rsidRDefault="00722CB0">
      <w:pPr>
        <w:spacing w:line="500" w:lineRule="atLeast"/>
        <w:ind w:firstLine="600"/>
        <w:divId w:val="956446142"/>
        <w:rPr>
          <w:rFonts w:hint="eastAsia"/>
          <w:sz w:val="30"/>
          <w:szCs w:val="30"/>
        </w:rPr>
      </w:pPr>
      <w:r>
        <w:rPr>
          <w:rFonts w:hint="eastAsia"/>
          <w:sz w:val="30"/>
          <w:szCs w:val="30"/>
        </w:rPr>
        <w:t>启明博雅公司上诉请求：撤销一审判决，改判支持启明博雅公司全部诉讼请求。事实与理由：</w:t>
      </w:r>
      <w:r>
        <w:rPr>
          <w:rFonts w:hint="eastAsia"/>
          <w:sz w:val="30"/>
          <w:szCs w:val="30"/>
        </w:rPr>
        <w:t>1.</w:t>
      </w:r>
      <w:r>
        <w:rPr>
          <w:rFonts w:hint="eastAsia"/>
          <w:sz w:val="30"/>
          <w:szCs w:val="30"/>
        </w:rPr>
        <w:t>《咨询协议》中约定的经营权系启明博雅公司支付相应对价取得，应由启明博雅公司享有，杨衡未经相关程序以及未支付相应对价擅自将归属于启明博雅公司的权利转移给成都市龙泉驿</w:t>
      </w:r>
      <w:r>
        <w:rPr>
          <w:rFonts w:hint="eastAsia"/>
          <w:sz w:val="30"/>
          <w:szCs w:val="30"/>
        </w:rPr>
        <w:t>区欧米学堂文化艺术培训学校有限公司（以下简称欧米学堂公司），侵害了启明博雅公司的合法权益。一审中，杨衡将欧米学堂公司的股东变更为启明博雅公司，导致其挪用的</w:t>
      </w:r>
      <w:r>
        <w:rPr>
          <w:rFonts w:hint="eastAsia"/>
          <w:sz w:val="30"/>
          <w:szCs w:val="30"/>
        </w:rPr>
        <w:t>30</w:t>
      </w:r>
      <w:r>
        <w:rPr>
          <w:rFonts w:hint="eastAsia"/>
          <w:sz w:val="30"/>
          <w:szCs w:val="30"/>
        </w:rPr>
        <w:t>万元款项性质发生变化，故现申请取消该部分的诉讼金额。</w:t>
      </w:r>
      <w:r>
        <w:rPr>
          <w:rFonts w:hint="eastAsia"/>
          <w:sz w:val="30"/>
          <w:szCs w:val="30"/>
        </w:rPr>
        <w:t>2.</w:t>
      </w:r>
      <w:r>
        <w:rPr>
          <w:rFonts w:hint="eastAsia"/>
          <w:sz w:val="30"/>
          <w:szCs w:val="30"/>
        </w:rPr>
        <w:t>杨衡未经财务负责人李杰妹许可，擅自在公司账本上记载相关支出且未提交相关支出凭证，无法证明相关支出的真实性。一审法院仅以李杰妹在微信聊天</w:t>
      </w:r>
      <w:r>
        <w:rPr>
          <w:rFonts w:hint="eastAsia"/>
          <w:sz w:val="30"/>
          <w:szCs w:val="30"/>
        </w:rPr>
        <w:lastRenderedPageBreak/>
        <w:t>记录中的陈述认定杨衡不存在挪用款项的事实，认定错误。聊天记录时间同本案起诉时间差异较大，聊天记录与本案事实不具备关联性。李杰妹多次要求杨衡提供相关支出凭证，杨衡怠于</w:t>
      </w:r>
      <w:r>
        <w:rPr>
          <w:rFonts w:hint="eastAsia"/>
          <w:sz w:val="30"/>
          <w:szCs w:val="30"/>
        </w:rPr>
        <w:t>举证，并未提交相关证据，足以证明相关支出并未真实发生，其应当返还挪用的启明博雅公司的相应财产。</w:t>
      </w:r>
      <w:r>
        <w:rPr>
          <w:rFonts w:hint="eastAsia"/>
          <w:sz w:val="30"/>
          <w:szCs w:val="30"/>
        </w:rPr>
        <w:t>3.</w:t>
      </w:r>
      <w:r>
        <w:rPr>
          <w:rFonts w:hint="eastAsia"/>
          <w:sz w:val="30"/>
          <w:szCs w:val="30"/>
        </w:rPr>
        <w:t>杨衡作为启明博雅公司的法定代表人，其对公司具有勤勉尽责义务。一审中启明博雅公司提交的学员列表系杨衡制作，其应当对数据的真实性负责。启明博雅公司依据学员列表核算学员收入并无不当，仅需杨衡公开其掌握的学员管理系统和公司收支数据便可核算相关收入。杨衡在一审中主张数据有误，且多次拒绝公开相关数据，其行为已构成举证妨碍，一审法院认定举证责任分配错误，从而导致事实认定错误，应予以纠正。</w:t>
      </w:r>
      <w:r>
        <w:rPr>
          <w:rFonts w:hint="eastAsia"/>
          <w:sz w:val="30"/>
          <w:szCs w:val="30"/>
        </w:rPr>
        <w:t>4.</w:t>
      </w:r>
      <w:r>
        <w:rPr>
          <w:rFonts w:hint="eastAsia"/>
          <w:sz w:val="30"/>
          <w:szCs w:val="30"/>
        </w:rPr>
        <w:t>李杰妹自</w:t>
      </w:r>
      <w:r>
        <w:rPr>
          <w:rFonts w:hint="eastAsia"/>
          <w:sz w:val="30"/>
          <w:szCs w:val="30"/>
        </w:rPr>
        <w:t>2020</w:t>
      </w:r>
      <w:r>
        <w:rPr>
          <w:rFonts w:hint="eastAsia"/>
          <w:sz w:val="30"/>
          <w:szCs w:val="30"/>
        </w:rPr>
        <w:t>年</w:t>
      </w:r>
      <w:r>
        <w:rPr>
          <w:rFonts w:hint="eastAsia"/>
          <w:sz w:val="30"/>
          <w:szCs w:val="30"/>
        </w:rPr>
        <w:t>2</w:t>
      </w:r>
      <w:r>
        <w:rPr>
          <w:rFonts w:hint="eastAsia"/>
          <w:sz w:val="30"/>
          <w:szCs w:val="30"/>
        </w:rPr>
        <w:t>月不再负责学校</w:t>
      </w:r>
      <w:r>
        <w:rPr>
          <w:rFonts w:hint="eastAsia"/>
          <w:sz w:val="30"/>
          <w:szCs w:val="30"/>
        </w:rPr>
        <w:t>工作，未常驻学校，故启明博雅公司</w:t>
      </w:r>
      <w:r>
        <w:rPr>
          <w:rFonts w:hint="eastAsia"/>
          <w:sz w:val="30"/>
          <w:szCs w:val="30"/>
        </w:rPr>
        <w:t>2020</w:t>
      </w:r>
      <w:r>
        <w:rPr>
          <w:rFonts w:hint="eastAsia"/>
          <w:sz w:val="30"/>
          <w:szCs w:val="30"/>
        </w:rPr>
        <w:t>年</w:t>
      </w:r>
      <w:r>
        <w:rPr>
          <w:rFonts w:hint="eastAsia"/>
          <w:sz w:val="30"/>
          <w:szCs w:val="30"/>
        </w:rPr>
        <w:t>2</w:t>
      </w:r>
      <w:r>
        <w:rPr>
          <w:rFonts w:hint="eastAsia"/>
          <w:sz w:val="30"/>
          <w:szCs w:val="30"/>
        </w:rPr>
        <w:t>月之后只有杨衡一个股东，记账本不是公司实际的账目，相关内容由杨衡口述，李杰妹记载的临时记录，该账本不代表公司实际账目。</w:t>
      </w:r>
    </w:p>
    <w:p w:rsidR="00000000" w:rsidRDefault="00722CB0">
      <w:pPr>
        <w:spacing w:line="500" w:lineRule="atLeast"/>
        <w:ind w:firstLine="600"/>
        <w:divId w:val="1659528178"/>
        <w:rPr>
          <w:rFonts w:hint="eastAsia"/>
          <w:sz w:val="30"/>
          <w:szCs w:val="30"/>
        </w:rPr>
      </w:pPr>
      <w:r>
        <w:rPr>
          <w:rFonts w:hint="eastAsia"/>
          <w:sz w:val="30"/>
          <w:szCs w:val="30"/>
        </w:rPr>
        <w:t>杨衡辩称：</w:t>
      </w:r>
      <w:r>
        <w:rPr>
          <w:rFonts w:hint="eastAsia"/>
          <w:sz w:val="30"/>
          <w:szCs w:val="30"/>
        </w:rPr>
        <w:t>1.</w:t>
      </w:r>
      <w:r>
        <w:rPr>
          <w:rFonts w:hint="eastAsia"/>
          <w:sz w:val="30"/>
          <w:szCs w:val="30"/>
        </w:rPr>
        <w:t>一审判决认定事实正确清楚，杨衡不存在侵犯启明博雅公司财产权的行为。首先，《咨询协议》系由杨衡与案外人上海乂学教育科技有限公司（以下简称乂学教育公司）签订。由于教育行业需要取得教育办学许可，启明博雅公司成立未经过教育许可，无法再取得教育办学许可资质，故双方经商议一致同意另申请一家公司先完成教育办学许可资质再成立公司实际使用该经营权。双</w:t>
      </w:r>
      <w:r>
        <w:rPr>
          <w:rFonts w:hint="eastAsia"/>
          <w:sz w:val="30"/>
          <w:szCs w:val="30"/>
        </w:rPr>
        <w:t>方一致认可成立欧米学堂公司，并且在欧米学堂公司取得了相应的教育办学许可后才完成了最后的工商登记。现欧米学堂公司股东变更为启明博雅公司，启明博雅公司持有</w:t>
      </w:r>
      <w:r>
        <w:rPr>
          <w:rFonts w:hint="eastAsia"/>
          <w:sz w:val="30"/>
          <w:szCs w:val="30"/>
        </w:rPr>
        <w:t>100%</w:t>
      </w:r>
      <w:r>
        <w:rPr>
          <w:rFonts w:hint="eastAsia"/>
          <w:sz w:val="30"/>
          <w:szCs w:val="30"/>
        </w:rPr>
        <w:t>股权。</w:t>
      </w:r>
      <w:r>
        <w:rPr>
          <w:rFonts w:hint="eastAsia"/>
          <w:sz w:val="30"/>
          <w:szCs w:val="30"/>
        </w:rPr>
        <w:t>2.</w:t>
      </w:r>
      <w:r>
        <w:rPr>
          <w:rFonts w:hint="eastAsia"/>
          <w:sz w:val="30"/>
          <w:szCs w:val="30"/>
        </w:rPr>
        <w:t>启明博雅公司陈述杨衡将启明博雅公司的款项挪作它处与事实不符合。首先，成立启明</w:t>
      </w:r>
      <w:r>
        <w:rPr>
          <w:rFonts w:hint="eastAsia"/>
          <w:sz w:val="30"/>
          <w:szCs w:val="30"/>
        </w:rPr>
        <w:lastRenderedPageBreak/>
        <w:t>博雅公司时，公司股东一致同意使用杨衡私人银行卡用于公司经营。一审诉讼过程中杨衡已经向法庭提交证据，可以证明衡个人银行卡的公司的全部款款项已经全部转移到了公司的对公账户，从</w:t>
      </w:r>
      <w:r>
        <w:rPr>
          <w:rFonts w:hint="eastAsia"/>
          <w:sz w:val="30"/>
          <w:szCs w:val="30"/>
        </w:rPr>
        <w:t>2020</w:t>
      </w:r>
      <w:r>
        <w:rPr>
          <w:rFonts w:hint="eastAsia"/>
          <w:sz w:val="30"/>
          <w:szCs w:val="30"/>
        </w:rPr>
        <w:t>年底至今，启明博雅公司经营均使用启明博雅公司的对公账户。根据杨衡银行卡流水可以看出，杨衡个</w:t>
      </w:r>
      <w:r>
        <w:rPr>
          <w:rFonts w:hint="eastAsia"/>
          <w:sz w:val="30"/>
          <w:szCs w:val="30"/>
        </w:rPr>
        <w:t>人使用的资金与该银行卡公司使用的资金未进行混同，全部用于了公司经营。虽然该银行卡绑定了杨衡的私人微信，存在不超过</w:t>
      </w:r>
      <w:r>
        <w:rPr>
          <w:rFonts w:hint="eastAsia"/>
          <w:sz w:val="30"/>
          <w:szCs w:val="30"/>
        </w:rPr>
        <w:t>10</w:t>
      </w:r>
      <w:r>
        <w:rPr>
          <w:rFonts w:hint="eastAsia"/>
          <w:sz w:val="30"/>
          <w:szCs w:val="30"/>
        </w:rPr>
        <w:t>笔少量支出，但相关支出都在手工账本中进行了填平。因此杨衡不存在任何侵犯启明博雅公司财产权利的行为。</w:t>
      </w:r>
      <w:r>
        <w:rPr>
          <w:rFonts w:hint="eastAsia"/>
          <w:sz w:val="30"/>
          <w:szCs w:val="30"/>
        </w:rPr>
        <w:t>3.</w:t>
      </w:r>
      <w:r>
        <w:rPr>
          <w:rFonts w:hint="eastAsia"/>
          <w:sz w:val="30"/>
          <w:szCs w:val="30"/>
        </w:rPr>
        <w:t>关于手工记账本，自公司成立至今，由启明博雅公司监事李杰妹作为启明博雅公司的财务记账，该手工记账本几乎完全记录了公司整体的运营收入以及支出。李杰妹作为公司监事没有任何理由否认该手工记账本的真实性。因该手工记账本由李杰妹掌握，并作为证据出示，即截止启明博雅公司起诉之前，所有的公司帐目都是由李杰妹通</w:t>
      </w:r>
      <w:r>
        <w:rPr>
          <w:rFonts w:hint="eastAsia"/>
          <w:sz w:val="30"/>
          <w:szCs w:val="30"/>
        </w:rPr>
        <w:t>过手工记账本进行的记账，杨衡没有任何修改以及篡改该手工记账本的可能性，故手工记账本的记录是真实合法有效的。且从</w:t>
      </w:r>
      <w:r>
        <w:rPr>
          <w:rFonts w:hint="eastAsia"/>
          <w:sz w:val="30"/>
          <w:szCs w:val="30"/>
        </w:rPr>
        <w:t>2019</w:t>
      </w:r>
      <w:r>
        <w:rPr>
          <w:rFonts w:hint="eastAsia"/>
          <w:sz w:val="30"/>
          <w:szCs w:val="30"/>
        </w:rPr>
        <w:t>年底李杰妹与杨衡的聊天记录可以看出，李杰妹陈述手工记账本与公司实际经营支出是完全吻合的。</w:t>
      </w:r>
      <w:r>
        <w:rPr>
          <w:rFonts w:hint="eastAsia"/>
          <w:sz w:val="30"/>
          <w:szCs w:val="30"/>
        </w:rPr>
        <w:t>4.</w:t>
      </w:r>
      <w:r>
        <w:rPr>
          <w:rFonts w:hint="eastAsia"/>
          <w:sz w:val="30"/>
          <w:szCs w:val="30"/>
        </w:rPr>
        <w:t>自成立起至</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日，启明博雅公司全部学员的总收入金额为</w:t>
      </w:r>
      <w:r>
        <w:rPr>
          <w:rFonts w:hint="eastAsia"/>
          <w:sz w:val="30"/>
          <w:szCs w:val="30"/>
        </w:rPr>
        <w:t>982812.6</w:t>
      </w:r>
      <w:r>
        <w:rPr>
          <w:rFonts w:hint="eastAsia"/>
          <w:sz w:val="30"/>
          <w:szCs w:val="30"/>
        </w:rPr>
        <w:t>元，总收入应为</w:t>
      </w:r>
      <w:r>
        <w:rPr>
          <w:rFonts w:hint="eastAsia"/>
          <w:sz w:val="30"/>
          <w:szCs w:val="30"/>
        </w:rPr>
        <w:t>2190764.89</w:t>
      </w:r>
      <w:r>
        <w:rPr>
          <w:rFonts w:hint="eastAsia"/>
          <w:sz w:val="30"/>
          <w:szCs w:val="30"/>
        </w:rPr>
        <w:t>元，支出总额为</w:t>
      </w:r>
    </w:p>
    <w:p w:rsidR="00000000" w:rsidRDefault="00722CB0">
      <w:pPr>
        <w:spacing w:line="500" w:lineRule="atLeast"/>
        <w:ind w:firstLine="600"/>
        <w:divId w:val="1324352415"/>
        <w:rPr>
          <w:rFonts w:hint="eastAsia"/>
          <w:sz w:val="30"/>
          <w:szCs w:val="30"/>
        </w:rPr>
      </w:pPr>
      <w:r>
        <w:rPr>
          <w:rFonts w:hint="eastAsia"/>
          <w:sz w:val="30"/>
          <w:szCs w:val="30"/>
        </w:rPr>
        <w:t>1687703.38</w:t>
      </w:r>
      <w:r>
        <w:rPr>
          <w:rFonts w:hint="eastAsia"/>
          <w:sz w:val="30"/>
          <w:szCs w:val="30"/>
        </w:rPr>
        <w:t>元，该支出未包含</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日支付到欧米学堂公司的对公账户</w:t>
      </w:r>
      <w:r>
        <w:rPr>
          <w:rFonts w:hint="eastAsia"/>
          <w:sz w:val="30"/>
          <w:szCs w:val="30"/>
        </w:rPr>
        <w:t>30</w:t>
      </w:r>
      <w:r>
        <w:rPr>
          <w:rFonts w:hint="eastAsia"/>
          <w:sz w:val="30"/>
          <w:szCs w:val="30"/>
        </w:rPr>
        <w:t>万元验资款。</w:t>
      </w:r>
    </w:p>
    <w:p w:rsidR="00000000" w:rsidRDefault="00722CB0">
      <w:pPr>
        <w:spacing w:line="500" w:lineRule="atLeast"/>
        <w:ind w:firstLine="600"/>
        <w:divId w:val="63069097"/>
        <w:rPr>
          <w:rFonts w:hint="eastAsia"/>
          <w:sz w:val="30"/>
          <w:szCs w:val="30"/>
        </w:rPr>
      </w:pPr>
      <w:r>
        <w:rPr>
          <w:rFonts w:hint="eastAsia"/>
          <w:sz w:val="30"/>
          <w:szCs w:val="30"/>
        </w:rPr>
        <w:t>启明博雅公司向一审法院起诉请求：</w:t>
      </w:r>
      <w:r>
        <w:rPr>
          <w:rFonts w:hint="eastAsia"/>
          <w:sz w:val="30"/>
          <w:szCs w:val="30"/>
        </w:rPr>
        <w:t>1</w:t>
      </w:r>
      <w:r>
        <w:rPr>
          <w:rFonts w:hint="eastAsia"/>
          <w:sz w:val="30"/>
          <w:szCs w:val="30"/>
        </w:rPr>
        <w:t>．判令启明博雅公司与第三方签约所</w:t>
      </w:r>
      <w:r>
        <w:rPr>
          <w:rFonts w:hint="eastAsia"/>
          <w:sz w:val="30"/>
          <w:szCs w:val="30"/>
        </w:rPr>
        <w:t>获得的经营权归启明博雅公司所有（一审庭审中，启明博雅公司明确第三方签约是指启明博雅公司与乂学教育公司的签订的《咨询协议》，经营权是指特定区域的招生、教育经营权以及乂学、智适应松鼠</w:t>
      </w:r>
      <w:r>
        <w:rPr>
          <w:rFonts w:hint="eastAsia"/>
          <w:sz w:val="30"/>
          <w:szCs w:val="30"/>
        </w:rPr>
        <w:t>AI</w:t>
      </w:r>
      <w:r>
        <w:rPr>
          <w:rFonts w:hint="eastAsia"/>
          <w:sz w:val="30"/>
          <w:szCs w:val="30"/>
        </w:rPr>
        <w:t>商标使用权）；</w:t>
      </w:r>
      <w:r>
        <w:rPr>
          <w:rFonts w:hint="eastAsia"/>
          <w:sz w:val="30"/>
          <w:szCs w:val="30"/>
        </w:rPr>
        <w:t>2</w:t>
      </w:r>
      <w:r>
        <w:rPr>
          <w:rFonts w:hint="eastAsia"/>
          <w:sz w:val="30"/>
          <w:szCs w:val="30"/>
        </w:rPr>
        <w:t>．判令杨衡向启明博雅公司返还资金共计</w:t>
      </w:r>
      <w:r>
        <w:rPr>
          <w:rFonts w:hint="eastAsia"/>
          <w:sz w:val="30"/>
          <w:szCs w:val="30"/>
        </w:rPr>
        <w:t>658504.44</w:t>
      </w:r>
      <w:r>
        <w:rPr>
          <w:rFonts w:hint="eastAsia"/>
          <w:sz w:val="30"/>
          <w:szCs w:val="30"/>
        </w:rPr>
        <w:t>元（一审庭审中，启明博雅公司明确李杰妹出资</w:t>
      </w:r>
      <w:r>
        <w:rPr>
          <w:rFonts w:hint="eastAsia"/>
          <w:sz w:val="30"/>
          <w:szCs w:val="30"/>
        </w:rPr>
        <w:t>300000</w:t>
      </w:r>
      <w:r>
        <w:rPr>
          <w:rFonts w:hint="eastAsia"/>
          <w:sz w:val="30"/>
          <w:szCs w:val="30"/>
        </w:rPr>
        <w:t>元，杨衡出资</w:t>
      </w:r>
      <w:r>
        <w:rPr>
          <w:rFonts w:hint="eastAsia"/>
          <w:sz w:val="30"/>
          <w:szCs w:val="30"/>
        </w:rPr>
        <w:t>695000</w:t>
      </w:r>
      <w:r>
        <w:rPr>
          <w:rFonts w:hint="eastAsia"/>
          <w:sz w:val="30"/>
          <w:szCs w:val="30"/>
        </w:rPr>
        <w:t>元，投资收益</w:t>
      </w:r>
      <w:r>
        <w:rPr>
          <w:rFonts w:hint="eastAsia"/>
          <w:sz w:val="30"/>
          <w:szCs w:val="30"/>
        </w:rPr>
        <w:t>12000</w:t>
      </w:r>
      <w:r>
        <w:rPr>
          <w:rFonts w:hint="eastAsia"/>
          <w:sz w:val="30"/>
          <w:szCs w:val="30"/>
        </w:rPr>
        <w:t>元，学员营收</w:t>
      </w:r>
      <w:r>
        <w:rPr>
          <w:rFonts w:hint="eastAsia"/>
          <w:sz w:val="30"/>
          <w:szCs w:val="30"/>
        </w:rPr>
        <w:t>1101110</w:t>
      </w:r>
      <w:r>
        <w:rPr>
          <w:rFonts w:hint="eastAsia"/>
          <w:sz w:val="30"/>
          <w:szCs w:val="30"/>
        </w:rPr>
        <w:t>元，与现金日记账记载的支出以及加盟费的差额为</w:t>
      </w:r>
      <w:r>
        <w:rPr>
          <w:rFonts w:hint="eastAsia"/>
          <w:sz w:val="30"/>
          <w:szCs w:val="30"/>
        </w:rPr>
        <w:t>658504.44</w:t>
      </w:r>
      <w:r>
        <w:rPr>
          <w:rFonts w:hint="eastAsia"/>
          <w:sz w:val="30"/>
          <w:szCs w:val="30"/>
        </w:rPr>
        <w:t>元）；</w:t>
      </w:r>
      <w:r>
        <w:rPr>
          <w:rFonts w:hint="eastAsia"/>
          <w:sz w:val="30"/>
          <w:szCs w:val="30"/>
        </w:rPr>
        <w:t>3</w:t>
      </w:r>
      <w:r>
        <w:rPr>
          <w:rFonts w:hint="eastAsia"/>
          <w:sz w:val="30"/>
          <w:szCs w:val="30"/>
        </w:rPr>
        <w:t>．判令杨衡向启明博雅公司支付资金占用利息</w:t>
      </w:r>
      <w:r>
        <w:rPr>
          <w:rFonts w:hint="eastAsia"/>
          <w:sz w:val="30"/>
          <w:szCs w:val="30"/>
        </w:rPr>
        <w:t>68412.29</w:t>
      </w:r>
      <w:r>
        <w:rPr>
          <w:rFonts w:hint="eastAsia"/>
          <w:sz w:val="30"/>
          <w:szCs w:val="30"/>
        </w:rPr>
        <w:t>元（一审</w:t>
      </w:r>
      <w:r>
        <w:rPr>
          <w:rFonts w:hint="eastAsia"/>
          <w:sz w:val="30"/>
          <w:szCs w:val="30"/>
        </w:rPr>
        <w:t>庭审中，启明博雅公司明确利息从开立账户日即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日开始起算，按中国人民银行同期存款一年期的利率标准，计算至起诉之日即</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w:t>
      </w:r>
    </w:p>
    <w:p w:rsidR="00000000" w:rsidRDefault="00722CB0">
      <w:pPr>
        <w:spacing w:line="500" w:lineRule="atLeast"/>
        <w:ind w:firstLine="600"/>
        <w:divId w:val="404767451"/>
        <w:rPr>
          <w:rFonts w:hint="eastAsia"/>
          <w:sz w:val="30"/>
          <w:szCs w:val="30"/>
        </w:rPr>
      </w:pPr>
      <w:r>
        <w:rPr>
          <w:rFonts w:hint="eastAsia"/>
          <w:sz w:val="30"/>
          <w:szCs w:val="30"/>
        </w:rPr>
        <w:t>一审法院认定事实：</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日，杨衡、李桂芬签订启明博雅公司章程，设立启明博雅公司，杨衡认缴出资</w:t>
      </w:r>
      <w:r>
        <w:rPr>
          <w:rFonts w:hint="eastAsia"/>
          <w:sz w:val="30"/>
          <w:szCs w:val="30"/>
        </w:rPr>
        <w:t>950000</w:t>
      </w:r>
      <w:r>
        <w:rPr>
          <w:rFonts w:hint="eastAsia"/>
          <w:sz w:val="30"/>
          <w:szCs w:val="30"/>
        </w:rPr>
        <w:t>元，李桂芬认缴出资</w:t>
      </w:r>
      <w:r>
        <w:rPr>
          <w:rFonts w:hint="eastAsia"/>
          <w:sz w:val="30"/>
          <w:szCs w:val="30"/>
        </w:rPr>
        <w:t>50000</w:t>
      </w:r>
      <w:r>
        <w:rPr>
          <w:rFonts w:hint="eastAsia"/>
          <w:sz w:val="30"/>
          <w:szCs w:val="30"/>
        </w:rPr>
        <w:t>元。同日启明博雅公司通过股东会决议，选举杨衡为公司执行董事兼经理，李桂芬任公司监事。启明博雅公司章程第二十三条规定，执行董事、经理不得挪用公司资金或者将公司的资金借给任何与公司业务无关的单位和个人；第二十九条规定，执</w:t>
      </w:r>
      <w:r>
        <w:rPr>
          <w:rFonts w:hint="eastAsia"/>
          <w:sz w:val="30"/>
          <w:szCs w:val="30"/>
        </w:rPr>
        <w:t>行董事对股东会负责，行使职权包括：拟定公司的经营计划和投资方案以及制定公司的基本管理制度。</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日，李杰妹分别与杨衡、李桂芬签订《股份转让协议》，约定杨衡将其持有启明博雅公司</w:t>
      </w:r>
      <w:r>
        <w:rPr>
          <w:rFonts w:hint="eastAsia"/>
          <w:sz w:val="30"/>
          <w:szCs w:val="30"/>
        </w:rPr>
        <w:t>250000</w:t>
      </w:r>
      <w:r>
        <w:rPr>
          <w:rFonts w:hint="eastAsia"/>
          <w:sz w:val="30"/>
          <w:szCs w:val="30"/>
        </w:rPr>
        <w:t>元股权转让给李杰妹，李桂芬将其持有的启明博雅公司</w:t>
      </w:r>
      <w:r>
        <w:rPr>
          <w:rFonts w:hint="eastAsia"/>
          <w:sz w:val="30"/>
          <w:szCs w:val="30"/>
        </w:rPr>
        <w:t>50000</w:t>
      </w:r>
      <w:r>
        <w:rPr>
          <w:rFonts w:hint="eastAsia"/>
          <w:sz w:val="30"/>
          <w:szCs w:val="30"/>
        </w:rPr>
        <w:t>元股权转让给李杰妹，李杰妹之夫向静波向杨衡农业银行账户支付股权转让款共计</w:t>
      </w:r>
    </w:p>
    <w:p w:rsidR="00000000" w:rsidRDefault="00722CB0">
      <w:pPr>
        <w:spacing w:line="500" w:lineRule="atLeast"/>
        <w:ind w:firstLine="600"/>
        <w:divId w:val="2002732290"/>
        <w:rPr>
          <w:rFonts w:hint="eastAsia"/>
          <w:sz w:val="30"/>
          <w:szCs w:val="30"/>
        </w:rPr>
      </w:pPr>
      <w:r>
        <w:rPr>
          <w:rFonts w:hint="eastAsia"/>
          <w:sz w:val="30"/>
          <w:szCs w:val="30"/>
        </w:rPr>
        <w:t>300000</w:t>
      </w:r>
      <w:r>
        <w:rPr>
          <w:rFonts w:hint="eastAsia"/>
          <w:sz w:val="30"/>
          <w:szCs w:val="30"/>
        </w:rPr>
        <w:t>元。同日，启明博雅公司作出股东会决议，同意上述股权转让，并载明股东出资情况为杨衡认缴出资</w:t>
      </w:r>
      <w:r>
        <w:rPr>
          <w:rFonts w:hint="eastAsia"/>
          <w:sz w:val="30"/>
          <w:szCs w:val="30"/>
        </w:rPr>
        <w:t>700000</w:t>
      </w:r>
      <w:r>
        <w:rPr>
          <w:rFonts w:hint="eastAsia"/>
          <w:sz w:val="30"/>
          <w:szCs w:val="30"/>
        </w:rPr>
        <w:t>元，李杰妹认缴出资</w:t>
      </w:r>
      <w:r>
        <w:rPr>
          <w:rFonts w:hint="eastAsia"/>
          <w:sz w:val="30"/>
          <w:szCs w:val="30"/>
        </w:rPr>
        <w:t>300000</w:t>
      </w:r>
      <w:r>
        <w:rPr>
          <w:rFonts w:hint="eastAsia"/>
          <w:sz w:val="30"/>
          <w:szCs w:val="30"/>
        </w:rPr>
        <w:t>元，免去李桂芬公司监事职务，选举李杰妹担任</w:t>
      </w:r>
      <w:r>
        <w:rPr>
          <w:rFonts w:hint="eastAsia"/>
          <w:sz w:val="30"/>
          <w:szCs w:val="30"/>
        </w:rPr>
        <w:t>公司监事，并相应修改公司章程。</w:t>
      </w:r>
    </w:p>
    <w:p w:rsidR="00000000" w:rsidRDefault="00722CB0">
      <w:pPr>
        <w:spacing w:line="500" w:lineRule="atLeast"/>
        <w:ind w:firstLine="600"/>
        <w:divId w:val="1928036216"/>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日，启明博雅公司启用“现金日记账簿”，经管人员为李杰妹，该账簿记录共计记载</w:t>
      </w:r>
      <w:r>
        <w:rPr>
          <w:rFonts w:hint="eastAsia"/>
          <w:sz w:val="30"/>
          <w:szCs w:val="30"/>
        </w:rPr>
        <w:t>76</w:t>
      </w:r>
      <w:r>
        <w:rPr>
          <w:rFonts w:hint="eastAsia"/>
          <w:sz w:val="30"/>
          <w:szCs w:val="30"/>
        </w:rPr>
        <w:t>页，从</w:t>
      </w:r>
      <w:r>
        <w:rPr>
          <w:rFonts w:hint="eastAsia"/>
          <w:sz w:val="30"/>
          <w:szCs w:val="30"/>
        </w:rPr>
        <w:t>2018</w:t>
      </w:r>
      <w:r>
        <w:rPr>
          <w:rFonts w:hint="eastAsia"/>
          <w:sz w:val="30"/>
          <w:szCs w:val="30"/>
        </w:rPr>
        <w:t>年至</w:t>
      </w:r>
      <w:r>
        <w:rPr>
          <w:rFonts w:hint="eastAsia"/>
          <w:sz w:val="30"/>
          <w:szCs w:val="30"/>
        </w:rPr>
        <w:t>2020</w:t>
      </w:r>
      <w:r>
        <w:rPr>
          <w:rFonts w:hint="eastAsia"/>
          <w:sz w:val="30"/>
          <w:szCs w:val="30"/>
        </w:rPr>
        <w:t>年</w:t>
      </w:r>
      <w:r>
        <w:rPr>
          <w:rFonts w:hint="eastAsia"/>
          <w:sz w:val="30"/>
          <w:szCs w:val="30"/>
        </w:rPr>
        <w:t>9</w:t>
      </w:r>
      <w:r>
        <w:rPr>
          <w:rFonts w:hint="eastAsia"/>
          <w:sz w:val="30"/>
          <w:szCs w:val="30"/>
        </w:rPr>
        <w:t>月的收支情况均有记载，账簿第</w:t>
      </w:r>
      <w:r>
        <w:rPr>
          <w:rFonts w:hint="eastAsia"/>
          <w:sz w:val="30"/>
          <w:szCs w:val="30"/>
        </w:rPr>
        <w:t>1</w:t>
      </w:r>
      <w:r>
        <w:rPr>
          <w:rFonts w:hint="eastAsia"/>
          <w:sz w:val="30"/>
          <w:szCs w:val="30"/>
        </w:rPr>
        <w:t>页记载：</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日，杨衡支付投资款</w:t>
      </w:r>
      <w:r>
        <w:rPr>
          <w:rFonts w:hint="eastAsia"/>
          <w:sz w:val="30"/>
          <w:szCs w:val="30"/>
        </w:rPr>
        <w:t>10000</w:t>
      </w:r>
      <w:r>
        <w:rPr>
          <w:rFonts w:hint="eastAsia"/>
          <w:sz w:val="30"/>
          <w:szCs w:val="30"/>
        </w:rPr>
        <w:t>元，支付乂学加盟费定金</w:t>
      </w:r>
      <w:r>
        <w:rPr>
          <w:rFonts w:hint="eastAsia"/>
          <w:sz w:val="30"/>
          <w:szCs w:val="30"/>
        </w:rPr>
        <w:t>10000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日，杨衡支付投资款</w:t>
      </w:r>
      <w:r>
        <w:rPr>
          <w:rFonts w:hint="eastAsia"/>
          <w:sz w:val="30"/>
          <w:szCs w:val="30"/>
        </w:rPr>
        <w:t>435000</w:t>
      </w:r>
      <w:r>
        <w:rPr>
          <w:rFonts w:hint="eastAsia"/>
          <w:sz w:val="30"/>
          <w:szCs w:val="30"/>
        </w:rPr>
        <w:t>元，支付乂学加盟费尾款</w:t>
      </w:r>
      <w:r>
        <w:rPr>
          <w:rFonts w:hint="eastAsia"/>
          <w:sz w:val="30"/>
          <w:szCs w:val="30"/>
        </w:rPr>
        <w:t>4350000</w:t>
      </w:r>
      <w:r>
        <w:rPr>
          <w:rFonts w:hint="eastAsia"/>
          <w:sz w:val="30"/>
          <w:szCs w:val="30"/>
        </w:rPr>
        <w:t>元。账簿第</w:t>
      </w:r>
      <w:r>
        <w:rPr>
          <w:rFonts w:hint="eastAsia"/>
          <w:sz w:val="30"/>
          <w:szCs w:val="30"/>
        </w:rPr>
        <w:t>3</w:t>
      </w:r>
      <w:r>
        <w:rPr>
          <w:rFonts w:hint="eastAsia"/>
          <w:sz w:val="30"/>
          <w:szCs w:val="30"/>
        </w:rPr>
        <w:t>页记载：</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日，李杰妹投资款</w:t>
      </w:r>
      <w:r>
        <w:rPr>
          <w:rFonts w:hint="eastAsia"/>
          <w:sz w:val="30"/>
          <w:szCs w:val="30"/>
        </w:rPr>
        <w:t>300000</w:t>
      </w:r>
      <w:r>
        <w:rPr>
          <w:rFonts w:hint="eastAsia"/>
          <w:sz w:val="30"/>
          <w:szCs w:val="30"/>
        </w:rPr>
        <w:t>元、杨衡投资款</w:t>
      </w:r>
      <w:r>
        <w:rPr>
          <w:rFonts w:hint="eastAsia"/>
          <w:sz w:val="30"/>
          <w:szCs w:val="30"/>
        </w:rPr>
        <w:t>150000</w:t>
      </w:r>
      <w:r>
        <w:rPr>
          <w:rFonts w:hint="eastAsia"/>
          <w:sz w:val="30"/>
          <w:szCs w:val="30"/>
        </w:rPr>
        <w:t>元。账簿第</w:t>
      </w:r>
      <w:r>
        <w:rPr>
          <w:rFonts w:hint="eastAsia"/>
          <w:sz w:val="30"/>
          <w:szCs w:val="30"/>
        </w:rPr>
        <w:t>13</w:t>
      </w:r>
      <w:r>
        <w:rPr>
          <w:rFonts w:hint="eastAsia"/>
          <w:sz w:val="30"/>
          <w:szCs w:val="30"/>
        </w:rPr>
        <w:t>页记载：</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日，杨衡入账</w:t>
      </w:r>
      <w:r>
        <w:rPr>
          <w:rFonts w:hint="eastAsia"/>
          <w:sz w:val="30"/>
          <w:szCs w:val="30"/>
        </w:rPr>
        <w:t>16</w:t>
      </w:r>
      <w:r>
        <w:rPr>
          <w:rFonts w:hint="eastAsia"/>
          <w:sz w:val="30"/>
          <w:szCs w:val="30"/>
        </w:rPr>
        <w:t>5298</w:t>
      </w:r>
      <w:r>
        <w:rPr>
          <w:rFonts w:hint="eastAsia"/>
          <w:sz w:val="30"/>
          <w:szCs w:val="30"/>
        </w:rPr>
        <w:t>元，其中</w:t>
      </w:r>
      <w:r>
        <w:rPr>
          <w:rFonts w:hint="eastAsia"/>
          <w:sz w:val="30"/>
          <w:szCs w:val="30"/>
        </w:rPr>
        <w:t>100000</w:t>
      </w:r>
      <w:r>
        <w:rPr>
          <w:rFonts w:hint="eastAsia"/>
          <w:sz w:val="30"/>
          <w:szCs w:val="30"/>
        </w:rPr>
        <w:t>元为投资款。该账簿中间页码部分存在杨衡代记录收支的情况，账簿第</w:t>
      </w:r>
      <w:r>
        <w:rPr>
          <w:rFonts w:hint="eastAsia"/>
          <w:sz w:val="30"/>
          <w:szCs w:val="30"/>
        </w:rPr>
        <w:t>33</w:t>
      </w:r>
      <w:r>
        <w:rPr>
          <w:rFonts w:hint="eastAsia"/>
          <w:sz w:val="30"/>
          <w:szCs w:val="30"/>
        </w:rPr>
        <w:t>页下备注：</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w:t>
      </w:r>
      <w:r>
        <w:rPr>
          <w:rFonts w:hint="eastAsia"/>
          <w:sz w:val="30"/>
          <w:szCs w:val="30"/>
        </w:rPr>
        <w:t>13</w:t>
      </w:r>
      <w:r>
        <w:rPr>
          <w:rFonts w:hint="eastAsia"/>
          <w:sz w:val="30"/>
          <w:szCs w:val="30"/>
        </w:rPr>
        <w:t>日，杨衡打回代收货款</w:t>
      </w:r>
      <w:r>
        <w:rPr>
          <w:rFonts w:hint="eastAsia"/>
          <w:sz w:val="30"/>
          <w:szCs w:val="30"/>
        </w:rPr>
        <w:t>1513</w:t>
      </w:r>
      <w:r>
        <w:rPr>
          <w:rFonts w:hint="eastAsia"/>
          <w:sz w:val="30"/>
          <w:szCs w:val="30"/>
        </w:rPr>
        <w:t>元，个人账结清。</w:t>
      </w:r>
    </w:p>
    <w:p w:rsidR="00000000" w:rsidRDefault="00722CB0">
      <w:pPr>
        <w:spacing w:line="500" w:lineRule="atLeast"/>
        <w:ind w:firstLine="600"/>
        <w:divId w:val="1024593314"/>
        <w:rPr>
          <w:rFonts w:hint="eastAsia"/>
          <w:sz w:val="30"/>
          <w:szCs w:val="30"/>
        </w:rPr>
      </w:pPr>
      <w:r>
        <w:rPr>
          <w:rFonts w:hint="eastAsia"/>
          <w:sz w:val="30"/>
          <w:szCs w:val="30"/>
        </w:rPr>
        <w:t>杨衡根据“现金日记账簿”记载的收支情况计算出启明博雅公司截至</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日的收入金额为</w:t>
      </w:r>
      <w:r>
        <w:rPr>
          <w:rFonts w:hint="eastAsia"/>
          <w:sz w:val="30"/>
          <w:szCs w:val="30"/>
        </w:rPr>
        <w:t>2190764.89</w:t>
      </w:r>
      <w:r>
        <w:rPr>
          <w:rFonts w:hint="eastAsia"/>
          <w:sz w:val="30"/>
          <w:szCs w:val="30"/>
        </w:rPr>
        <w:t>元，截至</w:t>
      </w:r>
      <w:r>
        <w:rPr>
          <w:rFonts w:hint="eastAsia"/>
          <w:sz w:val="30"/>
          <w:szCs w:val="30"/>
        </w:rPr>
        <w:t>9</w:t>
      </w:r>
      <w:r>
        <w:rPr>
          <w:rFonts w:hint="eastAsia"/>
          <w:sz w:val="30"/>
          <w:szCs w:val="30"/>
        </w:rPr>
        <w:t>月</w:t>
      </w:r>
      <w:r>
        <w:rPr>
          <w:rFonts w:hint="eastAsia"/>
          <w:sz w:val="30"/>
          <w:szCs w:val="30"/>
        </w:rPr>
        <w:t>18</w:t>
      </w:r>
      <w:r>
        <w:rPr>
          <w:rFonts w:hint="eastAsia"/>
          <w:sz w:val="30"/>
          <w:szCs w:val="30"/>
        </w:rPr>
        <w:t>日的支出金额为</w:t>
      </w:r>
      <w:r>
        <w:rPr>
          <w:rFonts w:hint="eastAsia"/>
          <w:sz w:val="30"/>
          <w:szCs w:val="30"/>
        </w:rPr>
        <w:t>1905857.69</w:t>
      </w:r>
      <w:r>
        <w:rPr>
          <w:rFonts w:hint="eastAsia"/>
          <w:sz w:val="30"/>
          <w:szCs w:val="30"/>
        </w:rPr>
        <w:t>元。一审审理过程中，启明博雅公司核算出该公司截至</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日的收入共计</w:t>
      </w:r>
      <w:r>
        <w:rPr>
          <w:rFonts w:hint="eastAsia"/>
          <w:sz w:val="30"/>
          <w:szCs w:val="30"/>
        </w:rPr>
        <w:t>2143692.67</w:t>
      </w:r>
      <w:r>
        <w:rPr>
          <w:rFonts w:hint="eastAsia"/>
          <w:sz w:val="30"/>
          <w:szCs w:val="30"/>
        </w:rPr>
        <w:t>元，认可杨衡支出的项目包括加盟费、装修、水电、消防、房租等共计</w:t>
      </w:r>
      <w:r>
        <w:rPr>
          <w:rFonts w:hint="eastAsia"/>
          <w:sz w:val="30"/>
          <w:szCs w:val="30"/>
        </w:rPr>
        <w:t>147140</w:t>
      </w:r>
      <w:r>
        <w:rPr>
          <w:rFonts w:hint="eastAsia"/>
          <w:sz w:val="30"/>
          <w:szCs w:val="30"/>
        </w:rPr>
        <w:t>7.23</w:t>
      </w:r>
      <w:r>
        <w:rPr>
          <w:rFonts w:hint="eastAsia"/>
          <w:sz w:val="30"/>
          <w:szCs w:val="30"/>
        </w:rPr>
        <w:t>元，不认可的支出部分共计</w:t>
      </w:r>
      <w:r>
        <w:rPr>
          <w:rFonts w:hint="eastAsia"/>
          <w:sz w:val="30"/>
          <w:szCs w:val="30"/>
        </w:rPr>
        <w:t>601536.44</w:t>
      </w:r>
      <w:r>
        <w:rPr>
          <w:rFonts w:hint="eastAsia"/>
          <w:sz w:val="30"/>
          <w:szCs w:val="30"/>
        </w:rPr>
        <w:t>元。</w:t>
      </w:r>
    </w:p>
    <w:p w:rsidR="00000000" w:rsidRDefault="00722CB0">
      <w:pPr>
        <w:spacing w:line="500" w:lineRule="atLeast"/>
        <w:ind w:firstLine="600"/>
        <w:divId w:val="373194114"/>
        <w:rPr>
          <w:rFonts w:hint="eastAsia"/>
          <w:sz w:val="30"/>
          <w:szCs w:val="30"/>
        </w:rPr>
      </w:pP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日，杨衡开设的尾号为</w:t>
      </w:r>
      <w:r>
        <w:rPr>
          <w:rFonts w:hint="eastAsia"/>
          <w:sz w:val="30"/>
          <w:szCs w:val="30"/>
        </w:rPr>
        <w:t>0371</w:t>
      </w:r>
      <w:r>
        <w:rPr>
          <w:rFonts w:hint="eastAsia"/>
          <w:sz w:val="30"/>
          <w:szCs w:val="30"/>
        </w:rPr>
        <w:t>的农业银行账户向乂学教育公司转账支付</w:t>
      </w:r>
      <w:r>
        <w:rPr>
          <w:rFonts w:hint="eastAsia"/>
          <w:sz w:val="30"/>
          <w:szCs w:val="30"/>
        </w:rPr>
        <w:t>435000</w:t>
      </w:r>
      <w:r>
        <w:rPr>
          <w:rFonts w:hint="eastAsia"/>
          <w:sz w:val="30"/>
          <w:szCs w:val="30"/>
        </w:rPr>
        <w:t>元，附言加盟费。</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咨询方乂学教育公司与本地经营者杨衡、李杰妹签订《咨询协议》及补充条款，约定杨衡、李杰妹聘请该公司为其投资成立培训机构事宜及培训机构成立后的运营提供专业的咨询和指导，约定协议签订当日支付咨询费</w:t>
      </w:r>
      <w:r>
        <w:rPr>
          <w:rFonts w:hint="eastAsia"/>
          <w:sz w:val="30"/>
          <w:szCs w:val="30"/>
        </w:rPr>
        <w:t>440000</w:t>
      </w:r>
      <w:r>
        <w:rPr>
          <w:rFonts w:hint="eastAsia"/>
          <w:sz w:val="30"/>
          <w:szCs w:val="30"/>
        </w:rPr>
        <w:t>元，履约保证金</w:t>
      </w:r>
      <w:r>
        <w:rPr>
          <w:rFonts w:hint="eastAsia"/>
          <w:sz w:val="30"/>
          <w:szCs w:val="30"/>
        </w:rPr>
        <w:t>5000</w:t>
      </w:r>
      <w:r>
        <w:rPr>
          <w:rFonts w:hint="eastAsia"/>
          <w:sz w:val="30"/>
          <w:szCs w:val="30"/>
        </w:rPr>
        <w:t>元，协议服务期限为</w:t>
      </w:r>
      <w:r>
        <w:rPr>
          <w:rFonts w:hint="eastAsia"/>
          <w:sz w:val="30"/>
          <w:szCs w:val="30"/>
        </w:rPr>
        <w:t>5</w:t>
      </w:r>
      <w:r>
        <w:rPr>
          <w:rFonts w:hint="eastAsia"/>
          <w:sz w:val="30"/>
          <w:szCs w:val="30"/>
        </w:rPr>
        <w:t>年，从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日起至</w:t>
      </w:r>
      <w:r>
        <w:rPr>
          <w:rFonts w:hint="eastAsia"/>
          <w:sz w:val="30"/>
          <w:szCs w:val="30"/>
        </w:rPr>
        <w:t>2023</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日止。该公司许可杨衡、李</w:t>
      </w:r>
      <w:r>
        <w:rPr>
          <w:rFonts w:hint="eastAsia"/>
          <w:sz w:val="30"/>
          <w:szCs w:val="30"/>
        </w:rPr>
        <w:t>杰妹在成都市龙泉驿区片区范围内选择培训机构地点。协议还约定，本地培训机构合法成立并在本协议上签字盖章后，杨衡、李杰妹本协议项下的权利义务转让给本地培训机构，该公司依本协议应享有的权利以及应承担的义务的相对方亦相应变更为本地培训机构。上述《咨询协议》首页及落款处有杨衡、李杰妹的签字并加盖有启明博雅公司印章。</w:t>
      </w:r>
    </w:p>
    <w:p w:rsidR="00000000" w:rsidRDefault="00722CB0">
      <w:pPr>
        <w:spacing w:line="500" w:lineRule="atLeast"/>
        <w:ind w:firstLine="600"/>
        <w:divId w:val="427700360"/>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日，启明博雅公司申请开立基本存款账户，并开设账号为</w:t>
      </w:r>
      <w:r>
        <w:rPr>
          <w:rFonts w:hint="eastAsia"/>
          <w:sz w:val="30"/>
          <w:szCs w:val="30"/>
        </w:rPr>
        <w:t>22</w:t>
      </w:r>
      <w:r>
        <w:rPr>
          <w:rFonts w:hint="eastAsia"/>
          <w:sz w:val="30"/>
          <w:szCs w:val="30"/>
        </w:rPr>
        <w:t>×××</w:t>
      </w:r>
      <w:r>
        <w:rPr>
          <w:rFonts w:hint="eastAsia"/>
          <w:sz w:val="30"/>
          <w:szCs w:val="30"/>
        </w:rPr>
        <w:t>37</w:t>
      </w:r>
      <w:r>
        <w:rPr>
          <w:rFonts w:hint="eastAsia"/>
          <w:sz w:val="30"/>
          <w:szCs w:val="30"/>
        </w:rPr>
        <w:t>的账户，李杰妹以公司财务负责人身份办理了上述事宜。</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日，杨衡、李杰妹作为投资人申请使用欧米学堂公司的企业名</w:t>
      </w:r>
      <w:r>
        <w:rPr>
          <w:rFonts w:hint="eastAsia"/>
          <w:sz w:val="30"/>
          <w:szCs w:val="30"/>
        </w:rPr>
        <w:t>称经成都市工商行政管理局预先核准通过。</w:t>
      </w:r>
    </w:p>
    <w:p w:rsidR="00000000" w:rsidRDefault="00722CB0">
      <w:pPr>
        <w:spacing w:line="500" w:lineRule="atLeast"/>
        <w:ind w:firstLine="600"/>
        <w:divId w:val="1788506157"/>
        <w:rPr>
          <w:rFonts w:hint="eastAsia"/>
          <w:sz w:val="30"/>
          <w:szCs w:val="30"/>
        </w:rPr>
      </w:pP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日，启明博雅公司作出股东会决议，载明：股东李杰妹拒绝在股东会签到表上签字，拒绝参加会议，经该公司多数股东同意，通过决议主要内容如下：</w:t>
      </w:r>
      <w:r>
        <w:rPr>
          <w:rFonts w:hint="eastAsia"/>
          <w:sz w:val="30"/>
          <w:szCs w:val="30"/>
        </w:rPr>
        <w:t>1.</w:t>
      </w:r>
      <w:r>
        <w:rPr>
          <w:rFonts w:hint="eastAsia"/>
          <w:sz w:val="30"/>
          <w:szCs w:val="30"/>
        </w:rPr>
        <w:t>公司出资成立欧米学堂公司；</w:t>
      </w:r>
      <w:r>
        <w:rPr>
          <w:rFonts w:hint="eastAsia"/>
          <w:sz w:val="30"/>
          <w:szCs w:val="30"/>
        </w:rPr>
        <w:t>3.</w:t>
      </w:r>
      <w:r>
        <w:rPr>
          <w:rFonts w:hint="eastAsia"/>
          <w:sz w:val="30"/>
          <w:szCs w:val="30"/>
        </w:rPr>
        <w:t>从公司专用账户转</w:t>
      </w:r>
      <w:r>
        <w:rPr>
          <w:rFonts w:hint="eastAsia"/>
          <w:sz w:val="30"/>
          <w:szCs w:val="30"/>
        </w:rPr>
        <w:t>300000</w:t>
      </w:r>
      <w:r>
        <w:rPr>
          <w:rFonts w:hint="eastAsia"/>
          <w:sz w:val="30"/>
          <w:szCs w:val="30"/>
        </w:rPr>
        <w:t>元到欧米学堂公司验资账户作为新公司验资……</w:t>
      </w:r>
      <w:r>
        <w:rPr>
          <w:rFonts w:hint="eastAsia"/>
          <w:sz w:val="30"/>
          <w:szCs w:val="30"/>
        </w:rPr>
        <w:t>5.</w:t>
      </w:r>
      <w:r>
        <w:rPr>
          <w:rFonts w:hint="eastAsia"/>
          <w:sz w:val="30"/>
          <w:szCs w:val="30"/>
        </w:rPr>
        <w:t>欧米学堂公司注册资金</w:t>
      </w:r>
      <w:r>
        <w:rPr>
          <w:rFonts w:hint="eastAsia"/>
          <w:sz w:val="30"/>
          <w:szCs w:val="30"/>
        </w:rPr>
        <w:t>300000</w:t>
      </w:r>
      <w:r>
        <w:rPr>
          <w:rFonts w:hint="eastAsia"/>
          <w:sz w:val="30"/>
          <w:szCs w:val="30"/>
        </w:rPr>
        <w:t>元，杨衡占</w:t>
      </w:r>
      <w:r>
        <w:rPr>
          <w:rFonts w:hint="eastAsia"/>
          <w:sz w:val="30"/>
          <w:szCs w:val="30"/>
        </w:rPr>
        <w:t>70%</w:t>
      </w:r>
      <w:r>
        <w:rPr>
          <w:rFonts w:hint="eastAsia"/>
          <w:sz w:val="30"/>
          <w:szCs w:val="30"/>
        </w:rPr>
        <w:t>股份，李杰妹占</w:t>
      </w:r>
      <w:r>
        <w:rPr>
          <w:rFonts w:hint="eastAsia"/>
          <w:sz w:val="30"/>
          <w:szCs w:val="30"/>
        </w:rPr>
        <w:t>30%</w:t>
      </w:r>
      <w:r>
        <w:rPr>
          <w:rFonts w:hint="eastAsia"/>
          <w:sz w:val="30"/>
          <w:szCs w:val="30"/>
        </w:rPr>
        <w:t>股份。</w:t>
      </w:r>
    </w:p>
    <w:p w:rsidR="00000000" w:rsidRDefault="00722CB0">
      <w:pPr>
        <w:spacing w:line="500" w:lineRule="atLeast"/>
        <w:ind w:firstLine="600"/>
        <w:divId w:val="314145003"/>
        <w:rPr>
          <w:rFonts w:hint="eastAsia"/>
          <w:sz w:val="30"/>
          <w:szCs w:val="30"/>
        </w:rPr>
      </w:pP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日，四川省成都市律政公证处出具《公证书》，载明：李杰妹使用手机点开名为“钉钉”的</w:t>
      </w:r>
      <w:r>
        <w:rPr>
          <w:rFonts w:hint="eastAsia"/>
          <w:sz w:val="30"/>
          <w:szCs w:val="30"/>
        </w:rPr>
        <w:t>APP</w:t>
      </w:r>
      <w:r>
        <w:rPr>
          <w:rFonts w:hint="eastAsia"/>
          <w:sz w:val="30"/>
          <w:szCs w:val="30"/>
        </w:rPr>
        <w:t>软件，使用李杰妹手机号码登录后查</w:t>
      </w:r>
      <w:r>
        <w:rPr>
          <w:rFonts w:hint="eastAsia"/>
          <w:sz w:val="30"/>
          <w:szCs w:val="30"/>
        </w:rPr>
        <w:t>看启明博雅公司全员文件夹，截取图片</w:t>
      </w:r>
      <w:r>
        <w:rPr>
          <w:rFonts w:hint="eastAsia"/>
          <w:sz w:val="30"/>
          <w:szCs w:val="30"/>
        </w:rPr>
        <w:t>10</w:t>
      </w:r>
      <w:r>
        <w:rPr>
          <w:rFonts w:hint="eastAsia"/>
          <w:sz w:val="30"/>
          <w:szCs w:val="30"/>
        </w:rPr>
        <w:t>张，图片内容包括统一表格，表格记载学员姓名、补习科目缴费情况等，启明博雅公司自行统计学员收入总额为</w:t>
      </w:r>
      <w:r>
        <w:rPr>
          <w:rFonts w:hint="eastAsia"/>
          <w:sz w:val="30"/>
          <w:szCs w:val="30"/>
        </w:rPr>
        <w:t>1101110</w:t>
      </w:r>
      <w:r>
        <w:rPr>
          <w:rFonts w:hint="eastAsia"/>
          <w:sz w:val="30"/>
          <w:szCs w:val="30"/>
        </w:rPr>
        <w:t>元。</w:t>
      </w:r>
    </w:p>
    <w:p w:rsidR="00000000" w:rsidRDefault="00722CB0">
      <w:pPr>
        <w:spacing w:line="500" w:lineRule="atLeast"/>
        <w:ind w:firstLine="600"/>
        <w:divId w:val="176968873"/>
        <w:rPr>
          <w:rFonts w:hint="eastAsia"/>
          <w:sz w:val="30"/>
          <w:szCs w:val="30"/>
        </w:rPr>
      </w:pP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日，欧米学堂公司启用基本存款账户，显示账户余额为</w:t>
      </w:r>
      <w:r>
        <w:rPr>
          <w:rFonts w:hint="eastAsia"/>
          <w:sz w:val="30"/>
          <w:szCs w:val="30"/>
        </w:rPr>
        <w:t>300100</w:t>
      </w:r>
      <w:r>
        <w:rPr>
          <w:rFonts w:hint="eastAsia"/>
          <w:sz w:val="30"/>
          <w:szCs w:val="30"/>
        </w:rPr>
        <w:t>元。</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日，欧米学堂公司向教育行政机关申请举办者变更。</w:t>
      </w:r>
    </w:p>
    <w:p w:rsidR="00000000" w:rsidRDefault="00722CB0">
      <w:pPr>
        <w:spacing w:line="500" w:lineRule="atLeast"/>
        <w:ind w:firstLine="600"/>
        <w:divId w:val="1829593462"/>
        <w:rPr>
          <w:rFonts w:hint="eastAsia"/>
          <w:sz w:val="30"/>
          <w:szCs w:val="30"/>
        </w:rPr>
      </w:pPr>
      <w:r>
        <w:rPr>
          <w:rFonts w:hint="eastAsia"/>
          <w:sz w:val="30"/>
          <w:szCs w:val="30"/>
        </w:rPr>
        <w:t>同时，李杰妹通过微信向杨衡发送：</w:t>
      </w:r>
      <w:r>
        <w:rPr>
          <w:rFonts w:hint="eastAsia"/>
          <w:sz w:val="30"/>
          <w:szCs w:val="30"/>
        </w:rPr>
        <w:t>0371</w:t>
      </w:r>
      <w:r>
        <w:rPr>
          <w:rFonts w:hint="eastAsia"/>
          <w:sz w:val="30"/>
          <w:szCs w:val="30"/>
        </w:rPr>
        <w:t>卡的付款密码是多少，需要交话费，学校所有的收入支出走的都是杨衡个人账户，李杰妹出资</w:t>
      </w:r>
      <w:r>
        <w:rPr>
          <w:rFonts w:hint="eastAsia"/>
          <w:sz w:val="30"/>
          <w:szCs w:val="30"/>
        </w:rPr>
        <w:t>300000</w:t>
      </w:r>
      <w:r>
        <w:rPr>
          <w:rFonts w:hint="eastAsia"/>
          <w:sz w:val="30"/>
          <w:szCs w:val="30"/>
        </w:rPr>
        <w:t>元，杨衡出资</w:t>
      </w:r>
      <w:r>
        <w:rPr>
          <w:rFonts w:hint="eastAsia"/>
          <w:sz w:val="30"/>
          <w:szCs w:val="30"/>
        </w:rPr>
        <w:t>700000</w:t>
      </w:r>
      <w:r>
        <w:rPr>
          <w:rFonts w:hint="eastAsia"/>
          <w:sz w:val="30"/>
          <w:szCs w:val="30"/>
        </w:rPr>
        <w:t>元都是放在</w:t>
      </w:r>
      <w:r>
        <w:rPr>
          <w:rFonts w:hint="eastAsia"/>
          <w:sz w:val="30"/>
          <w:szCs w:val="30"/>
        </w:rPr>
        <w:t>0371</w:t>
      </w:r>
      <w:r>
        <w:rPr>
          <w:rFonts w:hint="eastAsia"/>
          <w:sz w:val="30"/>
          <w:szCs w:val="30"/>
        </w:rPr>
        <w:t>的账户里用于学校的各种事务。</w:t>
      </w:r>
      <w:r>
        <w:rPr>
          <w:rFonts w:hint="eastAsia"/>
          <w:sz w:val="30"/>
          <w:szCs w:val="30"/>
        </w:rPr>
        <w:t>20</w:t>
      </w:r>
      <w:r>
        <w:rPr>
          <w:rFonts w:hint="eastAsia"/>
          <w:sz w:val="30"/>
          <w:szCs w:val="30"/>
        </w:rPr>
        <w:t>19</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日，李杰妹通过微信向杨衡发送：</w:t>
      </w:r>
      <w:r>
        <w:rPr>
          <w:rFonts w:hint="eastAsia"/>
          <w:sz w:val="30"/>
          <w:szCs w:val="30"/>
        </w:rPr>
        <w:t>10</w:t>
      </w:r>
      <w:r>
        <w:rPr>
          <w:rFonts w:hint="eastAsia"/>
          <w:sz w:val="30"/>
          <w:szCs w:val="30"/>
        </w:rPr>
        <w:t>月份微信收入</w:t>
      </w:r>
      <w:r>
        <w:rPr>
          <w:rFonts w:hint="eastAsia"/>
          <w:sz w:val="30"/>
          <w:szCs w:val="30"/>
        </w:rPr>
        <w:t>50866</w:t>
      </w:r>
      <w:r>
        <w:rPr>
          <w:rFonts w:hint="eastAsia"/>
          <w:sz w:val="30"/>
          <w:szCs w:val="30"/>
        </w:rPr>
        <w:t>元和卡收入</w:t>
      </w:r>
      <w:r>
        <w:rPr>
          <w:rFonts w:hint="eastAsia"/>
          <w:sz w:val="30"/>
          <w:szCs w:val="30"/>
        </w:rPr>
        <w:t>62400</w:t>
      </w:r>
      <w:r>
        <w:rPr>
          <w:rFonts w:hint="eastAsia"/>
          <w:sz w:val="30"/>
          <w:szCs w:val="30"/>
        </w:rPr>
        <w:t>元，加上现金</w:t>
      </w:r>
      <w:r>
        <w:rPr>
          <w:rFonts w:hint="eastAsia"/>
          <w:sz w:val="30"/>
          <w:szCs w:val="30"/>
        </w:rPr>
        <w:t>2698</w:t>
      </w:r>
      <w:r>
        <w:rPr>
          <w:rFonts w:hint="eastAsia"/>
          <w:sz w:val="30"/>
          <w:szCs w:val="30"/>
        </w:rPr>
        <w:t>元，和学校记录账吻合。启明博雅公司提交的“松鼠</w:t>
      </w:r>
      <w:r>
        <w:rPr>
          <w:rFonts w:hint="eastAsia"/>
          <w:sz w:val="30"/>
          <w:szCs w:val="30"/>
        </w:rPr>
        <w:t>AI</w:t>
      </w:r>
      <w:r>
        <w:rPr>
          <w:rFonts w:hint="eastAsia"/>
          <w:sz w:val="30"/>
          <w:szCs w:val="30"/>
        </w:rPr>
        <w:t>智适应教育专用收据”载明收款金额大部分在“现金日记账簿”上有记载。</w:t>
      </w:r>
    </w:p>
    <w:p w:rsidR="00000000" w:rsidRDefault="00722CB0">
      <w:pPr>
        <w:spacing w:line="500" w:lineRule="atLeast"/>
        <w:ind w:firstLine="600"/>
        <w:divId w:val="242838705"/>
        <w:rPr>
          <w:rFonts w:hint="eastAsia"/>
          <w:sz w:val="30"/>
          <w:szCs w:val="30"/>
        </w:rPr>
      </w:pPr>
      <w:r>
        <w:rPr>
          <w:rFonts w:hint="eastAsia"/>
          <w:sz w:val="30"/>
          <w:szCs w:val="30"/>
        </w:rPr>
        <w:t>一审庭审中，启明博雅公司陈述公司的办公用品有些是在淘宝购买的，有些是在商店购买的。杨衡陈述，启明博雅的对公账户已被冻结，无法使用；欧米学堂公司全部学员学费总收入为</w:t>
      </w:r>
    </w:p>
    <w:p w:rsidR="00000000" w:rsidRDefault="00722CB0">
      <w:pPr>
        <w:spacing w:line="500" w:lineRule="atLeast"/>
        <w:ind w:firstLine="600"/>
        <w:divId w:val="1973124058"/>
        <w:rPr>
          <w:rFonts w:hint="eastAsia"/>
          <w:sz w:val="30"/>
          <w:szCs w:val="30"/>
        </w:rPr>
      </w:pPr>
      <w:r>
        <w:rPr>
          <w:rFonts w:hint="eastAsia"/>
          <w:sz w:val="30"/>
          <w:szCs w:val="30"/>
        </w:rPr>
        <w:t>982812.6</w:t>
      </w:r>
      <w:r>
        <w:rPr>
          <w:rFonts w:hint="eastAsia"/>
          <w:sz w:val="30"/>
          <w:szCs w:val="30"/>
        </w:rPr>
        <w:t>元，杨衡微信余额为</w:t>
      </w:r>
      <w:r>
        <w:rPr>
          <w:rFonts w:hint="eastAsia"/>
          <w:sz w:val="30"/>
          <w:szCs w:val="30"/>
        </w:rPr>
        <w:t>40956</w:t>
      </w:r>
      <w:r>
        <w:rPr>
          <w:rFonts w:hint="eastAsia"/>
          <w:sz w:val="30"/>
          <w:szCs w:val="30"/>
        </w:rPr>
        <w:t>元，支付宝余额为</w:t>
      </w:r>
      <w:r>
        <w:rPr>
          <w:rFonts w:hint="eastAsia"/>
          <w:sz w:val="30"/>
          <w:szCs w:val="30"/>
        </w:rPr>
        <w:t>1726</w:t>
      </w:r>
      <w:r>
        <w:rPr>
          <w:rFonts w:hint="eastAsia"/>
          <w:sz w:val="30"/>
          <w:szCs w:val="30"/>
        </w:rPr>
        <w:t>元，欧米学堂公司的账户上对公账户还有款项</w:t>
      </w:r>
      <w:r>
        <w:rPr>
          <w:rFonts w:hint="eastAsia"/>
          <w:sz w:val="30"/>
          <w:szCs w:val="30"/>
        </w:rPr>
        <w:t>22053</w:t>
      </w:r>
      <w:r>
        <w:rPr>
          <w:rFonts w:hint="eastAsia"/>
          <w:sz w:val="30"/>
          <w:szCs w:val="30"/>
        </w:rPr>
        <w:t>9.41</w:t>
      </w:r>
      <w:r>
        <w:rPr>
          <w:rFonts w:hint="eastAsia"/>
          <w:sz w:val="30"/>
          <w:szCs w:val="30"/>
        </w:rPr>
        <w:t>元，杨衡尾号为</w:t>
      </w:r>
      <w:r>
        <w:rPr>
          <w:rFonts w:hint="eastAsia"/>
          <w:sz w:val="30"/>
          <w:szCs w:val="30"/>
        </w:rPr>
        <w:t>0371</w:t>
      </w:r>
      <w:r>
        <w:rPr>
          <w:rFonts w:hint="eastAsia"/>
          <w:sz w:val="30"/>
          <w:szCs w:val="30"/>
        </w:rPr>
        <w:t>的银行账户上已不含启明博雅公司的款项。</w:t>
      </w:r>
    </w:p>
    <w:p w:rsidR="00000000" w:rsidRDefault="00722CB0">
      <w:pPr>
        <w:spacing w:line="500" w:lineRule="atLeast"/>
        <w:ind w:firstLine="600"/>
        <w:divId w:val="2109501133"/>
        <w:rPr>
          <w:rFonts w:hint="eastAsia"/>
          <w:sz w:val="30"/>
          <w:szCs w:val="30"/>
        </w:rPr>
      </w:pPr>
      <w:r>
        <w:rPr>
          <w:rFonts w:hint="eastAsia"/>
          <w:sz w:val="30"/>
          <w:szCs w:val="30"/>
        </w:rPr>
        <w:t>一审法院认为，《中华人民共和国公司法》第一百四十八条规定，董事、高级管理人员不得有下列行为：（一）挪用公司资金；（二）将公司资金以其个人名义或者以其他个人名义开立账户存储；……（五）未经股东会或者股东大会同意，利用职务便利为自己或者他人谋取属于公司的商业机会，自营或者为他人经营与所任职公司同类的业务……。董事、高级管理人员违反前款规定所得的收入应当归公司所有。本案中，启明博雅公司起诉要求其与乂学教育公司的签订的《咨询协议》所获经营权归启明博雅公司所有，上述协议是由杨衡、李杰妹与乂学教育公司签订，经营权的主体</w:t>
      </w:r>
      <w:r>
        <w:rPr>
          <w:rFonts w:hint="eastAsia"/>
          <w:sz w:val="30"/>
          <w:szCs w:val="30"/>
        </w:rPr>
        <w:t>应由乂学教育公司根据协议内容确认，杨衡无权单方决定经营权的归属。其次，因杨衡、李杰妹是启明博雅公司股东，欧米学堂公司是经启明博雅公司决议设立，若欧米学堂公司经营《咨询协议》载明的内容，也不存在上述法律规定与公司存在同业竞争的行为。启明博雅公司起诉杨衡要求确认《咨询协议》相关的经营权归属，于法无据，一审法院不予支持。</w:t>
      </w:r>
    </w:p>
    <w:p w:rsidR="00000000" w:rsidRDefault="00722CB0">
      <w:pPr>
        <w:spacing w:line="500" w:lineRule="atLeast"/>
        <w:ind w:firstLine="600"/>
        <w:divId w:val="1372152241"/>
        <w:rPr>
          <w:rFonts w:hint="eastAsia"/>
          <w:sz w:val="30"/>
          <w:szCs w:val="30"/>
        </w:rPr>
      </w:pPr>
      <w:r>
        <w:rPr>
          <w:rFonts w:hint="eastAsia"/>
          <w:sz w:val="30"/>
          <w:szCs w:val="30"/>
        </w:rPr>
        <w:t>关于启明博雅公司要求杨衡返还资金</w:t>
      </w:r>
      <w:r>
        <w:rPr>
          <w:rFonts w:hint="eastAsia"/>
          <w:sz w:val="30"/>
          <w:szCs w:val="30"/>
        </w:rPr>
        <w:t>658504.44</w:t>
      </w:r>
      <w:r>
        <w:rPr>
          <w:rFonts w:hint="eastAsia"/>
          <w:sz w:val="30"/>
          <w:szCs w:val="30"/>
        </w:rPr>
        <w:t>元并支付资金占用利息的请求。一审庭审中，启明博雅公司明确上述款项由李杰妹出资</w:t>
      </w:r>
      <w:r>
        <w:rPr>
          <w:rFonts w:hint="eastAsia"/>
          <w:sz w:val="30"/>
          <w:szCs w:val="30"/>
        </w:rPr>
        <w:t>300000</w:t>
      </w:r>
      <w:r>
        <w:rPr>
          <w:rFonts w:hint="eastAsia"/>
          <w:sz w:val="30"/>
          <w:szCs w:val="30"/>
        </w:rPr>
        <w:t>元、杨衡出资</w:t>
      </w:r>
      <w:r>
        <w:rPr>
          <w:rFonts w:hint="eastAsia"/>
          <w:sz w:val="30"/>
          <w:szCs w:val="30"/>
        </w:rPr>
        <w:t>695000</w:t>
      </w:r>
      <w:r>
        <w:rPr>
          <w:rFonts w:hint="eastAsia"/>
          <w:sz w:val="30"/>
          <w:szCs w:val="30"/>
        </w:rPr>
        <w:t>元、投资收益</w:t>
      </w:r>
      <w:r>
        <w:rPr>
          <w:rFonts w:hint="eastAsia"/>
          <w:sz w:val="30"/>
          <w:szCs w:val="30"/>
        </w:rPr>
        <w:t>12000</w:t>
      </w:r>
      <w:r>
        <w:rPr>
          <w:rFonts w:hint="eastAsia"/>
          <w:sz w:val="30"/>
          <w:szCs w:val="30"/>
        </w:rPr>
        <w:t>元、学员营</w:t>
      </w:r>
      <w:r>
        <w:rPr>
          <w:rFonts w:hint="eastAsia"/>
          <w:sz w:val="30"/>
          <w:szCs w:val="30"/>
        </w:rPr>
        <w:t>收</w:t>
      </w:r>
      <w:r>
        <w:rPr>
          <w:rFonts w:hint="eastAsia"/>
          <w:sz w:val="30"/>
          <w:szCs w:val="30"/>
        </w:rPr>
        <w:t>1101110</w:t>
      </w:r>
      <w:r>
        <w:rPr>
          <w:rFonts w:hint="eastAsia"/>
          <w:sz w:val="30"/>
          <w:szCs w:val="30"/>
        </w:rPr>
        <w:t>元与现金日记账记载的支出以及加盟费支出的差额所构成。“现金日记账簿”是启明博雅公司财务李杰妹负责记录，其对账簿上记录的真实性予以负责，若存在杨衡代记录的情形，其记录行为也应经李杰妹许可，账簿上记载的款项支出事由是否合理，则属于公司内部治理范畴，应按公司章程的约定处理。故一审法院对“现金日记账簿”上记载内容依法予以确认。李杰妹与杨衡的微信聊天记录显示其知晓其与杨衡的投资款都是放在</w:t>
      </w:r>
      <w:r>
        <w:rPr>
          <w:rFonts w:hint="eastAsia"/>
          <w:sz w:val="30"/>
          <w:szCs w:val="30"/>
        </w:rPr>
        <w:t>0371</w:t>
      </w:r>
      <w:r>
        <w:rPr>
          <w:rFonts w:hint="eastAsia"/>
          <w:sz w:val="30"/>
          <w:szCs w:val="30"/>
        </w:rPr>
        <w:t>的银行账户里用于学校的各种事务，说明李杰妹知晓杨衡开设的尾号为</w:t>
      </w:r>
      <w:r>
        <w:rPr>
          <w:rFonts w:hint="eastAsia"/>
          <w:sz w:val="30"/>
          <w:szCs w:val="30"/>
        </w:rPr>
        <w:t>0371</w:t>
      </w:r>
      <w:r>
        <w:rPr>
          <w:rFonts w:hint="eastAsia"/>
          <w:sz w:val="30"/>
          <w:szCs w:val="30"/>
        </w:rPr>
        <w:t>的银行卡用于公司经营。结合“现金日记账</w:t>
      </w:r>
      <w:r>
        <w:rPr>
          <w:rFonts w:hint="eastAsia"/>
          <w:sz w:val="30"/>
          <w:szCs w:val="30"/>
        </w:rPr>
        <w:t>簿”记载“</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月份，杨衡与公司账目结清”以及李杰妹在微信聊天中陈述“</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月收入款项和学校记录账相吻合”的事实，不能认定杨衡存在挪用上述款项的事实。启明博雅公司主张的投资收益</w:t>
      </w:r>
      <w:r>
        <w:rPr>
          <w:rFonts w:hint="eastAsia"/>
          <w:sz w:val="30"/>
          <w:szCs w:val="30"/>
        </w:rPr>
        <w:t>12000</w:t>
      </w:r>
      <w:r>
        <w:rPr>
          <w:rFonts w:hint="eastAsia"/>
          <w:sz w:val="30"/>
          <w:szCs w:val="30"/>
        </w:rPr>
        <w:t>元，未提交相应证据佐证，一审法院对该事实不予确认。启明博雅公司主张的学员营收</w:t>
      </w:r>
    </w:p>
    <w:p w:rsidR="00000000" w:rsidRDefault="00722CB0">
      <w:pPr>
        <w:spacing w:line="500" w:lineRule="atLeast"/>
        <w:ind w:firstLine="600"/>
        <w:divId w:val="1901863236"/>
        <w:rPr>
          <w:rFonts w:hint="eastAsia"/>
          <w:sz w:val="30"/>
          <w:szCs w:val="30"/>
        </w:rPr>
      </w:pPr>
      <w:r>
        <w:rPr>
          <w:rFonts w:hint="eastAsia"/>
          <w:sz w:val="30"/>
          <w:szCs w:val="30"/>
        </w:rPr>
        <w:t>1101110</w:t>
      </w:r>
      <w:r>
        <w:rPr>
          <w:rFonts w:hint="eastAsia"/>
          <w:sz w:val="30"/>
          <w:szCs w:val="30"/>
        </w:rPr>
        <w:t>元，杨衡认可欧米学堂公司全部学员学费总收入为</w:t>
      </w:r>
    </w:p>
    <w:p w:rsidR="00000000" w:rsidRDefault="00722CB0">
      <w:pPr>
        <w:spacing w:line="500" w:lineRule="atLeast"/>
        <w:ind w:firstLine="600"/>
        <w:divId w:val="1152605015"/>
        <w:rPr>
          <w:rFonts w:hint="eastAsia"/>
          <w:sz w:val="30"/>
          <w:szCs w:val="30"/>
        </w:rPr>
      </w:pPr>
      <w:r>
        <w:rPr>
          <w:rFonts w:hint="eastAsia"/>
          <w:sz w:val="30"/>
          <w:szCs w:val="30"/>
        </w:rPr>
        <w:t>982812.6</w:t>
      </w:r>
      <w:r>
        <w:rPr>
          <w:rFonts w:hint="eastAsia"/>
          <w:sz w:val="30"/>
          <w:szCs w:val="30"/>
        </w:rPr>
        <w:t>元，两者之间差额为</w:t>
      </w:r>
      <w:r>
        <w:rPr>
          <w:rFonts w:hint="eastAsia"/>
          <w:sz w:val="30"/>
          <w:szCs w:val="30"/>
        </w:rPr>
        <w:t>118297.4</w:t>
      </w:r>
      <w:r>
        <w:rPr>
          <w:rFonts w:hint="eastAsia"/>
          <w:sz w:val="30"/>
          <w:szCs w:val="30"/>
        </w:rPr>
        <w:t>元。一审庭审中，启明博雅公司核算出启明博雅公司截止</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日的收入共计</w:t>
      </w:r>
      <w:r>
        <w:rPr>
          <w:rFonts w:hint="eastAsia"/>
          <w:sz w:val="30"/>
          <w:szCs w:val="30"/>
        </w:rPr>
        <w:t>2143692.67</w:t>
      </w:r>
      <w:r>
        <w:rPr>
          <w:rFonts w:hint="eastAsia"/>
          <w:sz w:val="30"/>
          <w:szCs w:val="30"/>
        </w:rPr>
        <w:t>元，该金额与杨衡根据“</w:t>
      </w:r>
      <w:r>
        <w:rPr>
          <w:rFonts w:hint="eastAsia"/>
          <w:sz w:val="30"/>
          <w:szCs w:val="30"/>
        </w:rPr>
        <w:t>现金日记账簿”计算得出截止</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日的收入</w:t>
      </w:r>
      <w:r>
        <w:rPr>
          <w:rFonts w:hint="eastAsia"/>
          <w:sz w:val="30"/>
          <w:szCs w:val="30"/>
        </w:rPr>
        <w:t>2190764.89</w:t>
      </w:r>
      <w:r>
        <w:rPr>
          <w:rFonts w:hint="eastAsia"/>
          <w:sz w:val="30"/>
          <w:szCs w:val="30"/>
        </w:rPr>
        <w:t>元，存在</w:t>
      </w:r>
      <w:r>
        <w:rPr>
          <w:rFonts w:hint="eastAsia"/>
          <w:sz w:val="30"/>
          <w:szCs w:val="30"/>
        </w:rPr>
        <w:t>47000</w:t>
      </w:r>
      <w:r>
        <w:rPr>
          <w:rFonts w:hint="eastAsia"/>
          <w:sz w:val="30"/>
          <w:szCs w:val="30"/>
        </w:rPr>
        <w:t>元左右的差额。结合杨衡陈述启明博雅公司尚有微信余额</w:t>
      </w:r>
      <w:r>
        <w:rPr>
          <w:rFonts w:hint="eastAsia"/>
          <w:sz w:val="30"/>
          <w:szCs w:val="30"/>
        </w:rPr>
        <w:t>40956</w:t>
      </w:r>
      <w:r>
        <w:rPr>
          <w:rFonts w:hint="eastAsia"/>
          <w:sz w:val="30"/>
          <w:szCs w:val="30"/>
        </w:rPr>
        <w:t>元，支付宝余额</w:t>
      </w:r>
      <w:r>
        <w:rPr>
          <w:rFonts w:hint="eastAsia"/>
          <w:sz w:val="30"/>
          <w:szCs w:val="30"/>
        </w:rPr>
        <w:t>1726</w:t>
      </w:r>
      <w:r>
        <w:rPr>
          <w:rFonts w:hint="eastAsia"/>
          <w:sz w:val="30"/>
          <w:szCs w:val="30"/>
        </w:rPr>
        <w:t>元，欧米学堂公司对公账户尚有款项</w:t>
      </w:r>
    </w:p>
    <w:p w:rsidR="00000000" w:rsidRDefault="00722CB0">
      <w:pPr>
        <w:spacing w:line="500" w:lineRule="atLeast"/>
        <w:ind w:firstLine="600"/>
        <w:divId w:val="1104572303"/>
        <w:rPr>
          <w:rFonts w:hint="eastAsia"/>
          <w:sz w:val="30"/>
          <w:szCs w:val="30"/>
        </w:rPr>
      </w:pPr>
      <w:r>
        <w:rPr>
          <w:rFonts w:hint="eastAsia"/>
          <w:sz w:val="30"/>
          <w:szCs w:val="30"/>
        </w:rPr>
        <w:t>220539.41</w:t>
      </w:r>
      <w:r>
        <w:rPr>
          <w:rFonts w:hint="eastAsia"/>
          <w:sz w:val="30"/>
          <w:szCs w:val="30"/>
        </w:rPr>
        <w:t>元的事实，上述金额的总额大于启明博雅公司、杨衡之间确认的学员营收之间的差额，故不能认定杨衡挪用、侵占启明博雅公司款项的事实。对启明博雅公司要求杨衡返还资金</w:t>
      </w:r>
    </w:p>
    <w:p w:rsidR="00000000" w:rsidRDefault="00722CB0">
      <w:pPr>
        <w:spacing w:line="500" w:lineRule="atLeast"/>
        <w:ind w:firstLine="600"/>
        <w:divId w:val="1576092640"/>
        <w:rPr>
          <w:rFonts w:hint="eastAsia"/>
          <w:sz w:val="30"/>
          <w:szCs w:val="30"/>
        </w:rPr>
      </w:pPr>
      <w:r>
        <w:rPr>
          <w:rFonts w:hint="eastAsia"/>
          <w:sz w:val="30"/>
          <w:szCs w:val="30"/>
        </w:rPr>
        <w:t>658504.44</w:t>
      </w:r>
      <w:r>
        <w:rPr>
          <w:rFonts w:hint="eastAsia"/>
          <w:sz w:val="30"/>
          <w:szCs w:val="30"/>
        </w:rPr>
        <w:t>元并支付资金占用利息的请求，一审法院不予支持。</w:t>
      </w:r>
    </w:p>
    <w:p w:rsidR="00000000" w:rsidRDefault="00722CB0">
      <w:pPr>
        <w:spacing w:line="500" w:lineRule="atLeast"/>
        <w:ind w:firstLine="600"/>
        <w:divId w:val="97222378"/>
        <w:rPr>
          <w:rFonts w:hint="eastAsia"/>
          <w:sz w:val="30"/>
          <w:szCs w:val="30"/>
        </w:rPr>
      </w:pPr>
      <w:r>
        <w:rPr>
          <w:rFonts w:hint="eastAsia"/>
          <w:sz w:val="30"/>
          <w:szCs w:val="30"/>
        </w:rPr>
        <w:t>综上所述，一审依照《中华人民共和国民事诉讼法》第六十四条，《最高人</w:t>
      </w:r>
      <w:r>
        <w:rPr>
          <w:rFonts w:hint="eastAsia"/>
          <w:sz w:val="30"/>
          <w:szCs w:val="30"/>
        </w:rPr>
        <w:t>民法院关于适用＜中华人民共和国民事诉讼法＞的解释》第九十条规定，判决：驳回启明博雅公司的诉讼请求。</w:t>
      </w:r>
    </w:p>
    <w:p w:rsidR="00000000" w:rsidRDefault="00722CB0">
      <w:pPr>
        <w:spacing w:line="500" w:lineRule="atLeast"/>
        <w:ind w:firstLine="600"/>
        <w:divId w:val="2090346660"/>
        <w:rPr>
          <w:rFonts w:hint="eastAsia"/>
          <w:sz w:val="30"/>
          <w:szCs w:val="30"/>
        </w:rPr>
      </w:pPr>
      <w:r>
        <w:rPr>
          <w:rFonts w:hint="eastAsia"/>
          <w:sz w:val="30"/>
          <w:szCs w:val="30"/>
        </w:rPr>
        <w:t>一审案件受理费减半收取</w:t>
      </w:r>
      <w:r>
        <w:rPr>
          <w:rFonts w:hint="eastAsia"/>
          <w:sz w:val="30"/>
          <w:szCs w:val="30"/>
        </w:rPr>
        <w:t>5535</w:t>
      </w:r>
      <w:r>
        <w:rPr>
          <w:rFonts w:hint="eastAsia"/>
          <w:sz w:val="30"/>
          <w:szCs w:val="30"/>
        </w:rPr>
        <w:t>元，由启明博雅公司承担。</w:t>
      </w:r>
    </w:p>
    <w:p w:rsidR="00000000" w:rsidRDefault="00722CB0">
      <w:pPr>
        <w:spacing w:line="500" w:lineRule="atLeast"/>
        <w:ind w:firstLine="600"/>
        <w:divId w:val="982734464"/>
        <w:rPr>
          <w:rFonts w:hint="eastAsia"/>
          <w:sz w:val="30"/>
          <w:szCs w:val="30"/>
        </w:rPr>
      </w:pPr>
      <w:r>
        <w:rPr>
          <w:rFonts w:hint="eastAsia"/>
          <w:sz w:val="30"/>
          <w:szCs w:val="30"/>
        </w:rPr>
        <w:t>二审期间，启明博雅公司提交了以下证据：</w:t>
      </w:r>
      <w:r>
        <w:rPr>
          <w:rFonts w:hint="eastAsia"/>
          <w:sz w:val="30"/>
          <w:szCs w:val="30"/>
        </w:rPr>
        <w:t>1.</w:t>
      </w:r>
      <w:r>
        <w:rPr>
          <w:rFonts w:hint="eastAsia"/>
          <w:sz w:val="30"/>
          <w:szCs w:val="30"/>
        </w:rPr>
        <w:t>文件夹“启明博雅教学组”、“斯达威课堂作业”、手写名录，拟证明启明博雅公司培训存在现金收入。</w:t>
      </w:r>
      <w:r>
        <w:rPr>
          <w:rFonts w:hint="eastAsia"/>
          <w:sz w:val="30"/>
          <w:szCs w:val="30"/>
        </w:rPr>
        <w:t>2.</w:t>
      </w:r>
      <w:r>
        <w:rPr>
          <w:rFonts w:hint="eastAsia"/>
          <w:sz w:val="30"/>
          <w:szCs w:val="30"/>
        </w:rPr>
        <w:t>微信聊天记录，拟证明消防款的记账金额与实际金额不一致。</w:t>
      </w:r>
      <w:r>
        <w:rPr>
          <w:rFonts w:hint="eastAsia"/>
          <w:sz w:val="30"/>
          <w:szCs w:val="30"/>
        </w:rPr>
        <w:t>3.</w:t>
      </w:r>
      <w:r>
        <w:rPr>
          <w:rFonts w:hint="eastAsia"/>
          <w:sz w:val="30"/>
          <w:szCs w:val="30"/>
        </w:rPr>
        <w:t>农业银行交易明细，拟证明杨衡每月向自己发高额工资。</w:t>
      </w:r>
      <w:r>
        <w:rPr>
          <w:rFonts w:hint="eastAsia"/>
          <w:sz w:val="30"/>
          <w:szCs w:val="30"/>
        </w:rPr>
        <w:t>4.</w:t>
      </w:r>
      <w:r>
        <w:rPr>
          <w:rFonts w:hint="eastAsia"/>
          <w:sz w:val="30"/>
          <w:szCs w:val="30"/>
        </w:rPr>
        <w:t>股东会决议、微信聊天记录，拟证明手写账本不代表实际账目。</w:t>
      </w:r>
      <w:r>
        <w:rPr>
          <w:rFonts w:hint="eastAsia"/>
          <w:sz w:val="30"/>
          <w:szCs w:val="30"/>
        </w:rPr>
        <w:t>5.</w:t>
      </w:r>
      <w:r>
        <w:rPr>
          <w:rFonts w:hint="eastAsia"/>
          <w:sz w:val="30"/>
          <w:szCs w:val="30"/>
        </w:rPr>
        <w:t>市场主体名称预先登记告知书、微信聊天记录，拟证</w:t>
      </w:r>
      <w:r>
        <w:rPr>
          <w:rFonts w:hint="eastAsia"/>
          <w:sz w:val="30"/>
          <w:szCs w:val="30"/>
        </w:rPr>
        <w:t>明欧米学堂公司核名问题。</w:t>
      </w:r>
      <w:r>
        <w:rPr>
          <w:rFonts w:hint="eastAsia"/>
          <w:sz w:val="30"/>
          <w:szCs w:val="30"/>
        </w:rPr>
        <w:t>6.</w:t>
      </w:r>
      <w:r>
        <w:rPr>
          <w:rFonts w:hint="eastAsia"/>
          <w:sz w:val="30"/>
          <w:szCs w:val="30"/>
        </w:rPr>
        <w:t>股东会决议，李杰妹与“曾律师”的微信聊天记录，拟证明李杰妹并非拒绝参加股东会，而是没有实际召开。杨衡质证，</w:t>
      </w:r>
      <w:r>
        <w:rPr>
          <w:rFonts w:hint="eastAsia"/>
          <w:sz w:val="30"/>
          <w:szCs w:val="30"/>
        </w:rPr>
        <w:t>1.</w:t>
      </w:r>
      <w:r>
        <w:rPr>
          <w:rFonts w:hint="eastAsia"/>
          <w:sz w:val="30"/>
          <w:szCs w:val="30"/>
        </w:rPr>
        <w:t>对证据</w:t>
      </w:r>
      <w:r>
        <w:rPr>
          <w:rFonts w:hint="eastAsia"/>
          <w:sz w:val="30"/>
          <w:szCs w:val="30"/>
        </w:rPr>
        <w:t>1</w:t>
      </w:r>
      <w:r>
        <w:rPr>
          <w:rFonts w:hint="eastAsia"/>
          <w:sz w:val="30"/>
          <w:szCs w:val="30"/>
        </w:rPr>
        <w:t>的真实性、合法性均予以认可，关联性不予以认可，学员的收入在手工记账本中是包含了启明博雅公司举出的第</w:t>
      </w:r>
      <w:r>
        <w:rPr>
          <w:rFonts w:hint="eastAsia"/>
          <w:sz w:val="30"/>
          <w:szCs w:val="30"/>
        </w:rPr>
        <w:t>3</w:t>
      </w:r>
      <w:r>
        <w:rPr>
          <w:rFonts w:hint="eastAsia"/>
          <w:sz w:val="30"/>
          <w:szCs w:val="30"/>
        </w:rPr>
        <w:t>页证据中所列出的现金收入。</w:t>
      </w:r>
      <w:r>
        <w:rPr>
          <w:rFonts w:hint="eastAsia"/>
          <w:sz w:val="30"/>
          <w:szCs w:val="30"/>
        </w:rPr>
        <w:t>2.</w:t>
      </w:r>
      <w:r>
        <w:rPr>
          <w:rFonts w:hint="eastAsia"/>
          <w:sz w:val="30"/>
          <w:szCs w:val="30"/>
        </w:rPr>
        <w:t>对证据</w:t>
      </w:r>
      <w:r>
        <w:rPr>
          <w:rFonts w:hint="eastAsia"/>
          <w:sz w:val="30"/>
          <w:szCs w:val="30"/>
        </w:rPr>
        <w:t>2</w:t>
      </w:r>
      <w:r>
        <w:rPr>
          <w:rFonts w:hint="eastAsia"/>
          <w:sz w:val="30"/>
          <w:szCs w:val="30"/>
        </w:rPr>
        <w:t>的真实性、合法性均无异议，该组证据不能证明真实的消防款支出，也不能证明公司的账目支出的记录不正确。</w:t>
      </w:r>
      <w:r>
        <w:rPr>
          <w:rFonts w:hint="eastAsia"/>
          <w:sz w:val="30"/>
          <w:szCs w:val="30"/>
        </w:rPr>
        <w:t>3.</w:t>
      </w:r>
      <w:r>
        <w:rPr>
          <w:rFonts w:hint="eastAsia"/>
          <w:sz w:val="30"/>
          <w:szCs w:val="30"/>
        </w:rPr>
        <w:t>对证据</w:t>
      </w:r>
      <w:r>
        <w:rPr>
          <w:rFonts w:hint="eastAsia"/>
          <w:sz w:val="30"/>
          <w:szCs w:val="30"/>
        </w:rPr>
        <w:t>3</w:t>
      </w:r>
      <w:r>
        <w:rPr>
          <w:rFonts w:hint="eastAsia"/>
          <w:sz w:val="30"/>
          <w:szCs w:val="30"/>
        </w:rPr>
        <w:t>真实性认可，杨衡作为启明博雅公司的经理以及实际的公司经营人员，杨衡自</w:t>
      </w:r>
      <w:r>
        <w:rPr>
          <w:rFonts w:hint="eastAsia"/>
          <w:sz w:val="30"/>
          <w:szCs w:val="30"/>
        </w:rPr>
        <w:t>2018</w:t>
      </w:r>
      <w:r>
        <w:rPr>
          <w:rFonts w:hint="eastAsia"/>
          <w:sz w:val="30"/>
          <w:szCs w:val="30"/>
        </w:rPr>
        <w:t>年至今从未取得任何分红或者是收益，杨衡经过</w:t>
      </w:r>
      <w:r>
        <w:rPr>
          <w:rFonts w:hint="eastAsia"/>
          <w:sz w:val="30"/>
          <w:szCs w:val="30"/>
        </w:rPr>
        <w:t>公司合法程序，收取启明博雅公司支付的劳动报酬以及工资是合法的，符合情理。</w:t>
      </w:r>
      <w:r>
        <w:rPr>
          <w:rFonts w:hint="eastAsia"/>
          <w:sz w:val="30"/>
          <w:szCs w:val="30"/>
        </w:rPr>
        <w:t>4.</w:t>
      </w:r>
      <w:r>
        <w:rPr>
          <w:rFonts w:hint="eastAsia"/>
          <w:sz w:val="30"/>
          <w:szCs w:val="30"/>
        </w:rPr>
        <w:t>对证据</w:t>
      </w:r>
      <w:r>
        <w:rPr>
          <w:rFonts w:hint="eastAsia"/>
          <w:sz w:val="30"/>
          <w:szCs w:val="30"/>
        </w:rPr>
        <w:t>4</w:t>
      </w:r>
      <w:r>
        <w:rPr>
          <w:rFonts w:hint="eastAsia"/>
          <w:sz w:val="30"/>
          <w:szCs w:val="30"/>
        </w:rPr>
        <w:t>不认可，启明博雅公司手写账本均系李杰妹个人记录，若不认可该手写账本，则启明博雅公司就不存在其它账本或者是账目记录可以证明实际收支。</w:t>
      </w:r>
      <w:r>
        <w:rPr>
          <w:rFonts w:hint="eastAsia"/>
          <w:sz w:val="30"/>
          <w:szCs w:val="30"/>
        </w:rPr>
        <w:t>5.</w:t>
      </w:r>
      <w:r>
        <w:rPr>
          <w:rFonts w:hint="eastAsia"/>
          <w:sz w:val="30"/>
          <w:szCs w:val="30"/>
        </w:rPr>
        <w:t>对证据</w:t>
      </w:r>
      <w:r>
        <w:rPr>
          <w:rFonts w:hint="eastAsia"/>
          <w:sz w:val="30"/>
          <w:szCs w:val="30"/>
        </w:rPr>
        <w:t>5</w:t>
      </w:r>
      <w:r>
        <w:rPr>
          <w:rFonts w:hint="eastAsia"/>
          <w:sz w:val="30"/>
          <w:szCs w:val="30"/>
        </w:rPr>
        <w:t>的真实性认可，但与本案无关。欧米学堂公司在核名办理工商登记时，因李杰妹不配合前往工商局以及出示身份证办理工商登记，杨衡被迫使用个人名义办理了欧米学堂公司工商登记，现欧米学堂公司的股东已变更为启明博雅公司。</w:t>
      </w:r>
      <w:r>
        <w:rPr>
          <w:rFonts w:hint="eastAsia"/>
          <w:sz w:val="30"/>
          <w:szCs w:val="30"/>
        </w:rPr>
        <w:t>6.</w:t>
      </w:r>
      <w:r>
        <w:rPr>
          <w:rFonts w:hint="eastAsia"/>
          <w:sz w:val="30"/>
          <w:szCs w:val="30"/>
        </w:rPr>
        <w:t>对证据</w:t>
      </w:r>
      <w:r>
        <w:rPr>
          <w:rFonts w:hint="eastAsia"/>
          <w:sz w:val="30"/>
          <w:szCs w:val="30"/>
        </w:rPr>
        <w:t>6</w:t>
      </w:r>
      <w:r>
        <w:rPr>
          <w:rFonts w:hint="eastAsia"/>
          <w:sz w:val="30"/>
          <w:szCs w:val="30"/>
        </w:rPr>
        <w:t>的真实性、合法性均无异议，但不具有关联性，该证据涉及的是公司的股东经营</w:t>
      </w:r>
      <w:r>
        <w:rPr>
          <w:rFonts w:hint="eastAsia"/>
          <w:sz w:val="30"/>
          <w:szCs w:val="30"/>
        </w:rPr>
        <w:t>以及相应的知情权问题，与本案的侵犯启明博雅公司财产以及相应资金无关。本院经审查，</w:t>
      </w:r>
      <w:r>
        <w:rPr>
          <w:rFonts w:hint="eastAsia"/>
          <w:sz w:val="30"/>
          <w:szCs w:val="30"/>
        </w:rPr>
        <w:t>1.</w:t>
      </w:r>
      <w:r>
        <w:rPr>
          <w:rFonts w:hint="eastAsia"/>
          <w:sz w:val="30"/>
          <w:szCs w:val="30"/>
        </w:rPr>
        <w:t>对证据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的真实性予以确认，对其证明目的本院将进行综合评判。</w:t>
      </w:r>
      <w:r>
        <w:rPr>
          <w:rFonts w:hint="eastAsia"/>
          <w:sz w:val="30"/>
          <w:szCs w:val="30"/>
        </w:rPr>
        <w:t>2.</w:t>
      </w:r>
      <w:r>
        <w:rPr>
          <w:rFonts w:hint="eastAsia"/>
          <w:sz w:val="30"/>
          <w:szCs w:val="30"/>
        </w:rPr>
        <w:t>对证据</w:t>
      </w:r>
      <w:r>
        <w:rPr>
          <w:rFonts w:hint="eastAsia"/>
          <w:sz w:val="30"/>
          <w:szCs w:val="30"/>
        </w:rPr>
        <w:t>5</w:t>
      </w:r>
      <w:r>
        <w:rPr>
          <w:rFonts w:hint="eastAsia"/>
          <w:sz w:val="30"/>
          <w:szCs w:val="30"/>
        </w:rPr>
        <w:t>、</w:t>
      </w:r>
      <w:r>
        <w:rPr>
          <w:rFonts w:hint="eastAsia"/>
          <w:sz w:val="30"/>
          <w:szCs w:val="30"/>
        </w:rPr>
        <w:t>6</w:t>
      </w:r>
      <w:r>
        <w:rPr>
          <w:rFonts w:hint="eastAsia"/>
          <w:sz w:val="30"/>
          <w:szCs w:val="30"/>
        </w:rPr>
        <w:t>真实性予以确认，但欧米学堂公司的股东已经变更为启明博雅公司，该证据与本案争议事实无关，且李杰妹与“曾律师”的微信聊天内容不能达到其证明目的，本院不予采信。</w:t>
      </w:r>
    </w:p>
    <w:p w:rsidR="00000000" w:rsidRDefault="00722CB0">
      <w:pPr>
        <w:spacing w:line="500" w:lineRule="atLeast"/>
        <w:ind w:firstLine="600"/>
        <w:divId w:val="336345798"/>
        <w:rPr>
          <w:rFonts w:hint="eastAsia"/>
          <w:sz w:val="30"/>
          <w:szCs w:val="30"/>
        </w:rPr>
      </w:pPr>
      <w:r>
        <w:rPr>
          <w:rFonts w:hint="eastAsia"/>
          <w:sz w:val="30"/>
          <w:szCs w:val="30"/>
        </w:rPr>
        <w:t>二审查明事实与一审查明事实一致，对一审查明的事实，本院予以确认。</w:t>
      </w:r>
    </w:p>
    <w:p w:rsidR="00000000" w:rsidRDefault="00722CB0">
      <w:pPr>
        <w:spacing w:line="500" w:lineRule="atLeast"/>
        <w:ind w:firstLine="600"/>
        <w:divId w:val="1307927492"/>
        <w:rPr>
          <w:rFonts w:hint="eastAsia"/>
          <w:sz w:val="30"/>
          <w:szCs w:val="30"/>
        </w:rPr>
      </w:pPr>
      <w:r>
        <w:rPr>
          <w:rFonts w:hint="eastAsia"/>
          <w:sz w:val="30"/>
          <w:szCs w:val="30"/>
        </w:rPr>
        <w:t>二审中，双方确认</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2020</w:t>
      </w:r>
      <w:r>
        <w:rPr>
          <w:rFonts w:hint="eastAsia"/>
          <w:sz w:val="30"/>
          <w:szCs w:val="30"/>
        </w:rPr>
        <w:t>年</w:t>
      </w:r>
      <w:r>
        <w:rPr>
          <w:rFonts w:hint="eastAsia"/>
          <w:sz w:val="30"/>
          <w:szCs w:val="30"/>
        </w:rPr>
        <w:t>1</w:t>
      </w:r>
      <w:r>
        <w:rPr>
          <w:rFonts w:hint="eastAsia"/>
          <w:sz w:val="30"/>
          <w:szCs w:val="30"/>
        </w:rPr>
        <w:t>、</w:t>
      </w:r>
      <w:r>
        <w:rPr>
          <w:rFonts w:hint="eastAsia"/>
          <w:sz w:val="30"/>
          <w:szCs w:val="30"/>
        </w:rPr>
        <w:t>2</w:t>
      </w:r>
      <w:r>
        <w:rPr>
          <w:rFonts w:hint="eastAsia"/>
          <w:sz w:val="30"/>
          <w:szCs w:val="30"/>
        </w:rPr>
        <w:t>月，部分账目由杨衡记账，其余账目均由李杰妹记账。</w:t>
      </w:r>
    </w:p>
    <w:p w:rsidR="00000000" w:rsidRDefault="00722CB0">
      <w:pPr>
        <w:spacing w:line="500" w:lineRule="atLeast"/>
        <w:ind w:firstLine="600"/>
        <w:divId w:val="2067290686"/>
        <w:rPr>
          <w:rFonts w:hint="eastAsia"/>
          <w:sz w:val="30"/>
          <w:szCs w:val="30"/>
        </w:rPr>
      </w:pPr>
      <w:r>
        <w:rPr>
          <w:rFonts w:hint="eastAsia"/>
          <w:sz w:val="30"/>
          <w:szCs w:val="30"/>
        </w:rPr>
        <w:t>本院认为，关于《咨询协</w:t>
      </w:r>
      <w:r>
        <w:rPr>
          <w:rFonts w:hint="eastAsia"/>
          <w:sz w:val="30"/>
          <w:szCs w:val="30"/>
        </w:rPr>
        <w:t>议》所涉经营权的问题，欧米学堂公司的股东已经变更为启明博雅公司，启明博雅公司间接享有相应的经营权，并未损害启明博雅公司的利益。</w:t>
      </w:r>
    </w:p>
    <w:p w:rsidR="00000000" w:rsidRDefault="00722CB0">
      <w:pPr>
        <w:spacing w:line="500" w:lineRule="atLeast"/>
        <w:ind w:firstLine="600"/>
        <w:divId w:val="637495972"/>
        <w:rPr>
          <w:rFonts w:hint="eastAsia"/>
          <w:sz w:val="30"/>
          <w:szCs w:val="30"/>
        </w:rPr>
      </w:pPr>
      <w:r>
        <w:rPr>
          <w:rFonts w:hint="eastAsia"/>
          <w:sz w:val="30"/>
          <w:szCs w:val="30"/>
        </w:rPr>
        <w:t>关于启明博雅公司实际支出问题。本院认为，首先，根据审理查明的事实，启明博雅公司股东李杰妹、杨衡形成合意，以杨衡的个人银行卡用于公司经营。现启明博雅公司认为杨衡用于公司经营的实际支出与记账支出不一致，损害了启明博雅公司的利益，但公司财务由启明博雅公司监事李杰妹负责，</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2020</w:t>
      </w:r>
      <w:r>
        <w:rPr>
          <w:rFonts w:hint="eastAsia"/>
          <w:sz w:val="30"/>
          <w:szCs w:val="30"/>
        </w:rPr>
        <w:t>年</w:t>
      </w:r>
      <w:r>
        <w:rPr>
          <w:rFonts w:hint="eastAsia"/>
          <w:sz w:val="30"/>
          <w:szCs w:val="30"/>
        </w:rPr>
        <w:t>1</w:t>
      </w:r>
      <w:r>
        <w:rPr>
          <w:rFonts w:hint="eastAsia"/>
          <w:sz w:val="30"/>
          <w:szCs w:val="30"/>
        </w:rPr>
        <w:t>、</w:t>
      </w:r>
      <w:r>
        <w:rPr>
          <w:rFonts w:hint="eastAsia"/>
          <w:sz w:val="30"/>
          <w:szCs w:val="30"/>
        </w:rPr>
        <w:t>2</w:t>
      </w:r>
      <w:r>
        <w:rPr>
          <w:rFonts w:hint="eastAsia"/>
          <w:sz w:val="30"/>
          <w:szCs w:val="30"/>
        </w:rPr>
        <w:t>月外均由李杰妹负责记账，则在公司监事李杰妹记账中，应当对杨衡支出款项的进行核实后，才记入</w:t>
      </w:r>
      <w:r>
        <w:rPr>
          <w:rFonts w:hint="eastAsia"/>
          <w:sz w:val="30"/>
          <w:szCs w:val="30"/>
        </w:rPr>
        <w:t>账本。故启明博雅公司认为</w:t>
      </w:r>
      <w:r>
        <w:rPr>
          <w:rFonts w:hint="eastAsia"/>
          <w:sz w:val="30"/>
          <w:szCs w:val="30"/>
        </w:rPr>
        <w:t>2020</w:t>
      </w:r>
      <w:r>
        <w:rPr>
          <w:rFonts w:hint="eastAsia"/>
          <w:sz w:val="30"/>
          <w:szCs w:val="30"/>
        </w:rPr>
        <w:t>年账本只是按照杨衡口述暂时记录，没有核对，上述账目与实际账目不符的主张，本院不予支持。其次，启明博雅公司有异议的款项，绝大部分为零星、小额支出。双方均认可启明博雅公司在经营过程中，办公用品等部分通过淘宝购买，部分在商店购买，则在启明博雅公司记账过程中，部分凭证未完善，并不能证明杨衡银行的实际支出与记账支出不一致，且在记账中包含“杨还入账”“杨衡提过账款”“平账”等内容及相应金额，表明对杨衡支出部分亦进行了核算。最后，关于消防款项，启明博雅公司监事李杰妹与消防工人的微信聊天中，</w:t>
      </w:r>
      <w:r>
        <w:rPr>
          <w:rFonts w:hint="eastAsia"/>
          <w:sz w:val="30"/>
          <w:szCs w:val="30"/>
        </w:rPr>
        <w:t>虽然该人员确认只收到</w:t>
      </w:r>
      <w:r>
        <w:rPr>
          <w:rFonts w:hint="eastAsia"/>
          <w:sz w:val="30"/>
          <w:szCs w:val="30"/>
        </w:rPr>
        <w:t>6500</w:t>
      </w:r>
      <w:r>
        <w:rPr>
          <w:rFonts w:hint="eastAsia"/>
          <w:sz w:val="30"/>
          <w:szCs w:val="30"/>
        </w:rPr>
        <w:t>元、</w:t>
      </w:r>
      <w:r>
        <w:rPr>
          <w:rFonts w:hint="eastAsia"/>
          <w:sz w:val="30"/>
          <w:szCs w:val="30"/>
        </w:rPr>
        <w:t>10000</w:t>
      </w:r>
      <w:r>
        <w:rPr>
          <w:rFonts w:hint="eastAsia"/>
          <w:sz w:val="30"/>
          <w:szCs w:val="30"/>
        </w:rPr>
        <w:t>元、</w:t>
      </w:r>
      <w:r>
        <w:rPr>
          <w:rFonts w:hint="eastAsia"/>
          <w:sz w:val="30"/>
          <w:szCs w:val="30"/>
        </w:rPr>
        <w:t>15000</w:t>
      </w:r>
      <w:r>
        <w:rPr>
          <w:rFonts w:hint="eastAsia"/>
          <w:sz w:val="30"/>
          <w:szCs w:val="30"/>
        </w:rPr>
        <w:t>元，且均是微信转款。但其发送的“杨衡龙泉培训”的微信转款截图中，款项金额与上述金额并不一致，故不能依据该微信聊天记录确认记账中的消防款支出与实际支出不一致。关于杨衡、黄燕的工资，在</w:t>
      </w:r>
      <w:r>
        <w:rPr>
          <w:rFonts w:hint="eastAsia"/>
          <w:sz w:val="30"/>
          <w:szCs w:val="30"/>
        </w:rPr>
        <w:t>2020</w:t>
      </w:r>
      <w:r>
        <w:rPr>
          <w:rFonts w:hint="eastAsia"/>
          <w:sz w:val="30"/>
          <w:szCs w:val="30"/>
        </w:rPr>
        <w:t>年</w:t>
      </w:r>
      <w:r>
        <w:rPr>
          <w:rFonts w:hint="eastAsia"/>
          <w:sz w:val="30"/>
          <w:szCs w:val="30"/>
        </w:rPr>
        <w:t>8</w:t>
      </w:r>
      <w:r>
        <w:rPr>
          <w:rFonts w:hint="eastAsia"/>
          <w:sz w:val="30"/>
          <w:szCs w:val="30"/>
        </w:rPr>
        <w:t>月的账本中均有体现，表明该工资经过了公司监事李杰妹的认可。关于启明博雅公司主张李杰妹于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日将“斯达威”的收入向杨衡交付了现金，杨衡未将该款存入银行账户。但启明博雅公司举示的文件夹的内容只能证明开展了相应业务，不足以证明李杰妹将该款交付给杨衡，且启明</w:t>
      </w:r>
      <w:r>
        <w:rPr>
          <w:rFonts w:hint="eastAsia"/>
          <w:sz w:val="30"/>
          <w:szCs w:val="30"/>
        </w:rPr>
        <w:t>博雅公司举示的记账本显示，</w:t>
      </w:r>
      <w:r>
        <w:rPr>
          <w:rFonts w:hint="eastAsia"/>
          <w:sz w:val="30"/>
          <w:szCs w:val="30"/>
        </w:rPr>
        <w:t>2020</w:t>
      </w:r>
      <w:r>
        <w:rPr>
          <w:rFonts w:hint="eastAsia"/>
          <w:sz w:val="30"/>
          <w:szCs w:val="30"/>
        </w:rPr>
        <w:t>年</w:t>
      </w:r>
      <w:r>
        <w:rPr>
          <w:rFonts w:hint="eastAsia"/>
          <w:sz w:val="30"/>
          <w:szCs w:val="30"/>
        </w:rPr>
        <w:t>7</w:t>
      </w:r>
      <w:r>
        <w:rPr>
          <w:rFonts w:hint="eastAsia"/>
          <w:sz w:val="30"/>
          <w:szCs w:val="30"/>
        </w:rPr>
        <w:t>月的账目存在多处修改、空白，故对启明博雅公司的上述主张，本院不予支持。综上，启明博雅公司举示的证据不足以证明公司实际支出与记账支出不符。杨衡的微信、支付宝余额以及欧米学堂公司的账户余额大于启明博雅公司的收支差额，故启明博雅公司认为杨衡侵占公司财产，损害公司利益的主张，无事实依据，本院不予支持。</w:t>
      </w:r>
    </w:p>
    <w:p w:rsidR="00000000" w:rsidRDefault="00722CB0">
      <w:pPr>
        <w:spacing w:line="500" w:lineRule="atLeast"/>
        <w:ind w:firstLine="600"/>
        <w:divId w:val="777608080"/>
        <w:rPr>
          <w:rFonts w:hint="eastAsia"/>
          <w:sz w:val="30"/>
          <w:szCs w:val="30"/>
        </w:rPr>
      </w:pPr>
      <w:r>
        <w:rPr>
          <w:rFonts w:hint="eastAsia"/>
          <w:sz w:val="30"/>
          <w:szCs w:val="30"/>
        </w:rPr>
        <w:t>综上所述，启明博雅公司的上诉请求不成立，应予驳回；一审判决认定事实清楚，适用法律正确，应予维持。依照《中华人民共和国民事诉讼法》第一百七十条第一款第一项规定，判决如下：</w:t>
      </w:r>
    </w:p>
    <w:p w:rsidR="00000000" w:rsidRDefault="00722CB0">
      <w:pPr>
        <w:spacing w:line="500" w:lineRule="atLeast"/>
        <w:ind w:firstLine="600"/>
        <w:divId w:val="1365785592"/>
        <w:rPr>
          <w:rFonts w:hint="eastAsia"/>
          <w:sz w:val="30"/>
          <w:szCs w:val="30"/>
        </w:rPr>
      </w:pPr>
      <w:r>
        <w:rPr>
          <w:rFonts w:hint="eastAsia"/>
          <w:sz w:val="30"/>
          <w:szCs w:val="30"/>
        </w:rPr>
        <w:t>驳回上诉</w:t>
      </w:r>
      <w:r>
        <w:rPr>
          <w:rFonts w:hint="eastAsia"/>
          <w:sz w:val="30"/>
          <w:szCs w:val="30"/>
        </w:rPr>
        <w:t>，维持原判。</w:t>
      </w:r>
    </w:p>
    <w:p w:rsidR="00000000" w:rsidRDefault="00722CB0">
      <w:pPr>
        <w:spacing w:line="500" w:lineRule="atLeast"/>
        <w:ind w:firstLine="600"/>
        <w:divId w:val="894007300"/>
        <w:rPr>
          <w:rFonts w:hint="eastAsia"/>
          <w:sz w:val="30"/>
          <w:szCs w:val="30"/>
        </w:rPr>
      </w:pPr>
      <w:r>
        <w:rPr>
          <w:rFonts w:hint="eastAsia"/>
          <w:sz w:val="30"/>
          <w:szCs w:val="30"/>
        </w:rPr>
        <w:t>二审案件受理费</w:t>
      </w:r>
      <w:r>
        <w:rPr>
          <w:rFonts w:hint="eastAsia"/>
          <w:sz w:val="30"/>
          <w:szCs w:val="30"/>
        </w:rPr>
        <w:t>11070</w:t>
      </w:r>
      <w:r>
        <w:rPr>
          <w:rFonts w:hint="eastAsia"/>
          <w:sz w:val="30"/>
          <w:szCs w:val="30"/>
        </w:rPr>
        <w:t>元，由四川启明博雅教育科技有限公司负担。</w:t>
      </w:r>
    </w:p>
    <w:p w:rsidR="00000000" w:rsidRDefault="00722CB0">
      <w:pPr>
        <w:spacing w:line="500" w:lineRule="atLeast"/>
        <w:ind w:firstLine="600"/>
        <w:divId w:val="1552224778"/>
        <w:rPr>
          <w:rFonts w:hint="eastAsia"/>
          <w:sz w:val="30"/>
          <w:szCs w:val="30"/>
        </w:rPr>
      </w:pPr>
      <w:r>
        <w:rPr>
          <w:rFonts w:hint="eastAsia"/>
          <w:sz w:val="30"/>
          <w:szCs w:val="30"/>
        </w:rPr>
        <w:t>本判决为终审判决。</w:t>
      </w:r>
    </w:p>
    <w:p w:rsidR="00000000" w:rsidRDefault="00722CB0">
      <w:pPr>
        <w:spacing w:line="500" w:lineRule="atLeast"/>
        <w:jc w:val="right"/>
        <w:divId w:val="127935635"/>
        <w:rPr>
          <w:rFonts w:hint="eastAsia"/>
          <w:sz w:val="30"/>
          <w:szCs w:val="30"/>
        </w:rPr>
      </w:pPr>
      <w:r>
        <w:rPr>
          <w:rFonts w:hint="eastAsia"/>
          <w:sz w:val="30"/>
          <w:szCs w:val="30"/>
        </w:rPr>
        <w:t>审判长　　罗晓都</w:t>
      </w:r>
    </w:p>
    <w:p w:rsidR="00000000" w:rsidRDefault="00722CB0">
      <w:pPr>
        <w:spacing w:line="500" w:lineRule="atLeast"/>
        <w:jc w:val="right"/>
        <w:divId w:val="732847031"/>
        <w:rPr>
          <w:rFonts w:hint="eastAsia"/>
          <w:sz w:val="30"/>
          <w:szCs w:val="30"/>
        </w:rPr>
      </w:pPr>
      <w:r>
        <w:rPr>
          <w:rFonts w:hint="eastAsia"/>
          <w:sz w:val="30"/>
          <w:szCs w:val="30"/>
        </w:rPr>
        <w:t>审判员　　赵云平</w:t>
      </w:r>
    </w:p>
    <w:p w:rsidR="00000000" w:rsidRDefault="00722CB0">
      <w:pPr>
        <w:spacing w:line="500" w:lineRule="atLeast"/>
        <w:jc w:val="right"/>
        <w:divId w:val="785122131"/>
        <w:rPr>
          <w:rFonts w:hint="eastAsia"/>
          <w:sz w:val="30"/>
          <w:szCs w:val="30"/>
        </w:rPr>
      </w:pPr>
      <w:r>
        <w:rPr>
          <w:rFonts w:hint="eastAsia"/>
          <w:sz w:val="30"/>
          <w:szCs w:val="30"/>
        </w:rPr>
        <w:t>审判员　　史　洁</w:t>
      </w:r>
    </w:p>
    <w:p w:rsidR="00000000" w:rsidRDefault="00722CB0">
      <w:pPr>
        <w:spacing w:line="500" w:lineRule="atLeast"/>
        <w:jc w:val="right"/>
        <w:divId w:val="192773460"/>
        <w:rPr>
          <w:rFonts w:hint="eastAsia"/>
          <w:sz w:val="30"/>
          <w:szCs w:val="30"/>
        </w:rPr>
      </w:pPr>
      <w:r>
        <w:rPr>
          <w:rFonts w:hint="eastAsia"/>
          <w:sz w:val="30"/>
          <w:szCs w:val="30"/>
        </w:rPr>
        <w:t>二〇二一年八月二十七日</w:t>
      </w:r>
    </w:p>
    <w:p w:rsidR="00000000" w:rsidRDefault="00722CB0">
      <w:pPr>
        <w:spacing w:line="500" w:lineRule="atLeast"/>
        <w:jc w:val="right"/>
        <w:divId w:val="675421496"/>
        <w:rPr>
          <w:rFonts w:hint="eastAsia"/>
          <w:sz w:val="30"/>
          <w:szCs w:val="30"/>
        </w:rPr>
      </w:pPr>
      <w:r>
        <w:rPr>
          <w:rFonts w:hint="eastAsia"/>
          <w:sz w:val="30"/>
          <w:szCs w:val="30"/>
        </w:rPr>
        <w:t>书记员　　杨　晗</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CB0" w:rsidRDefault="00722CB0" w:rsidP="00722CB0">
      <w:r>
        <w:separator/>
      </w:r>
    </w:p>
  </w:endnote>
  <w:endnote w:type="continuationSeparator" w:id="0">
    <w:p w:rsidR="00722CB0" w:rsidRDefault="00722CB0" w:rsidP="00722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CB0" w:rsidRDefault="00722CB0" w:rsidP="00722CB0">
      <w:r>
        <w:separator/>
      </w:r>
    </w:p>
  </w:footnote>
  <w:footnote w:type="continuationSeparator" w:id="0">
    <w:p w:rsidR="00722CB0" w:rsidRDefault="00722CB0" w:rsidP="00722C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22CB0"/>
    <w:rsid w:val="00722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22C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CB0"/>
    <w:rPr>
      <w:rFonts w:ascii="宋体" w:eastAsia="宋体" w:hAnsi="宋体" w:cs="宋体"/>
      <w:sz w:val="18"/>
      <w:szCs w:val="18"/>
    </w:rPr>
  </w:style>
  <w:style w:type="paragraph" w:styleId="a5">
    <w:name w:val="footer"/>
    <w:basedOn w:val="a"/>
    <w:link w:val="a6"/>
    <w:uiPriority w:val="99"/>
    <w:unhideWhenUsed/>
    <w:rsid w:val="00722CB0"/>
    <w:pPr>
      <w:tabs>
        <w:tab w:val="center" w:pos="4153"/>
        <w:tab w:val="right" w:pos="8306"/>
      </w:tabs>
      <w:snapToGrid w:val="0"/>
    </w:pPr>
    <w:rPr>
      <w:sz w:val="18"/>
      <w:szCs w:val="18"/>
    </w:rPr>
  </w:style>
  <w:style w:type="character" w:customStyle="1" w:styleId="a6">
    <w:name w:val="页脚 字符"/>
    <w:basedOn w:val="a0"/>
    <w:link w:val="a5"/>
    <w:uiPriority w:val="99"/>
    <w:rsid w:val="00722CB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9097">
      <w:marLeft w:val="0"/>
      <w:marRight w:val="0"/>
      <w:marTop w:val="10"/>
      <w:marBottom w:val="10"/>
      <w:divBdr>
        <w:top w:val="none" w:sz="0" w:space="0" w:color="auto"/>
        <w:left w:val="none" w:sz="0" w:space="0" w:color="auto"/>
        <w:bottom w:val="none" w:sz="0" w:space="0" w:color="auto"/>
        <w:right w:val="none" w:sz="0" w:space="0" w:color="auto"/>
      </w:divBdr>
    </w:div>
    <w:div w:id="97222378">
      <w:marLeft w:val="0"/>
      <w:marRight w:val="0"/>
      <w:marTop w:val="10"/>
      <w:marBottom w:val="10"/>
      <w:divBdr>
        <w:top w:val="none" w:sz="0" w:space="0" w:color="auto"/>
        <w:left w:val="none" w:sz="0" w:space="0" w:color="auto"/>
        <w:bottom w:val="none" w:sz="0" w:space="0" w:color="auto"/>
        <w:right w:val="none" w:sz="0" w:space="0" w:color="auto"/>
      </w:divBdr>
    </w:div>
    <w:div w:id="127935635">
      <w:marLeft w:val="0"/>
      <w:marRight w:val="720"/>
      <w:marTop w:val="10"/>
      <w:marBottom w:val="10"/>
      <w:divBdr>
        <w:top w:val="none" w:sz="0" w:space="0" w:color="auto"/>
        <w:left w:val="none" w:sz="0" w:space="0" w:color="auto"/>
        <w:bottom w:val="none" w:sz="0" w:space="0" w:color="auto"/>
        <w:right w:val="none" w:sz="0" w:space="0" w:color="auto"/>
      </w:divBdr>
    </w:div>
    <w:div w:id="176968873">
      <w:marLeft w:val="0"/>
      <w:marRight w:val="0"/>
      <w:marTop w:val="10"/>
      <w:marBottom w:val="10"/>
      <w:divBdr>
        <w:top w:val="none" w:sz="0" w:space="0" w:color="auto"/>
        <w:left w:val="none" w:sz="0" w:space="0" w:color="auto"/>
        <w:bottom w:val="none" w:sz="0" w:space="0" w:color="auto"/>
        <w:right w:val="none" w:sz="0" w:space="0" w:color="auto"/>
      </w:divBdr>
    </w:div>
    <w:div w:id="192773460">
      <w:marLeft w:val="0"/>
      <w:marRight w:val="720"/>
      <w:marTop w:val="10"/>
      <w:marBottom w:val="10"/>
      <w:divBdr>
        <w:top w:val="none" w:sz="0" w:space="0" w:color="auto"/>
        <w:left w:val="none" w:sz="0" w:space="0" w:color="auto"/>
        <w:bottom w:val="none" w:sz="0" w:space="0" w:color="auto"/>
        <w:right w:val="none" w:sz="0" w:space="0" w:color="auto"/>
      </w:divBdr>
    </w:div>
    <w:div w:id="212498864">
      <w:marLeft w:val="0"/>
      <w:marRight w:val="0"/>
      <w:marTop w:val="10"/>
      <w:marBottom w:val="10"/>
      <w:divBdr>
        <w:top w:val="none" w:sz="0" w:space="0" w:color="auto"/>
        <w:left w:val="none" w:sz="0" w:space="0" w:color="auto"/>
        <w:bottom w:val="none" w:sz="0" w:space="0" w:color="auto"/>
        <w:right w:val="none" w:sz="0" w:space="0" w:color="auto"/>
      </w:divBdr>
    </w:div>
    <w:div w:id="242838705">
      <w:marLeft w:val="0"/>
      <w:marRight w:val="0"/>
      <w:marTop w:val="10"/>
      <w:marBottom w:val="10"/>
      <w:divBdr>
        <w:top w:val="none" w:sz="0" w:space="0" w:color="auto"/>
        <w:left w:val="none" w:sz="0" w:space="0" w:color="auto"/>
        <w:bottom w:val="none" w:sz="0" w:space="0" w:color="auto"/>
        <w:right w:val="none" w:sz="0" w:space="0" w:color="auto"/>
      </w:divBdr>
    </w:div>
    <w:div w:id="244724279">
      <w:marLeft w:val="0"/>
      <w:marRight w:val="0"/>
      <w:marTop w:val="10"/>
      <w:marBottom w:val="10"/>
      <w:divBdr>
        <w:top w:val="none" w:sz="0" w:space="0" w:color="auto"/>
        <w:left w:val="none" w:sz="0" w:space="0" w:color="auto"/>
        <w:bottom w:val="none" w:sz="0" w:space="0" w:color="auto"/>
        <w:right w:val="none" w:sz="0" w:space="0" w:color="auto"/>
      </w:divBdr>
    </w:div>
    <w:div w:id="314145003">
      <w:marLeft w:val="0"/>
      <w:marRight w:val="0"/>
      <w:marTop w:val="10"/>
      <w:marBottom w:val="10"/>
      <w:divBdr>
        <w:top w:val="none" w:sz="0" w:space="0" w:color="auto"/>
        <w:left w:val="none" w:sz="0" w:space="0" w:color="auto"/>
        <w:bottom w:val="none" w:sz="0" w:space="0" w:color="auto"/>
        <w:right w:val="none" w:sz="0" w:space="0" w:color="auto"/>
      </w:divBdr>
    </w:div>
    <w:div w:id="336345798">
      <w:marLeft w:val="0"/>
      <w:marRight w:val="0"/>
      <w:marTop w:val="10"/>
      <w:marBottom w:val="10"/>
      <w:divBdr>
        <w:top w:val="none" w:sz="0" w:space="0" w:color="auto"/>
        <w:left w:val="none" w:sz="0" w:space="0" w:color="auto"/>
        <w:bottom w:val="none" w:sz="0" w:space="0" w:color="auto"/>
        <w:right w:val="none" w:sz="0" w:space="0" w:color="auto"/>
      </w:divBdr>
    </w:div>
    <w:div w:id="373194114">
      <w:marLeft w:val="0"/>
      <w:marRight w:val="0"/>
      <w:marTop w:val="10"/>
      <w:marBottom w:val="10"/>
      <w:divBdr>
        <w:top w:val="none" w:sz="0" w:space="0" w:color="auto"/>
        <w:left w:val="none" w:sz="0" w:space="0" w:color="auto"/>
        <w:bottom w:val="none" w:sz="0" w:space="0" w:color="auto"/>
        <w:right w:val="none" w:sz="0" w:space="0" w:color="auto"/>
      </w:divBdr>
    </w:div>
    <w:div w:id="404767451">
      <w:marLeft w:val="0"/>
      <w:marRight w:val="0"/>
      <w:marTop w:val="10"/>
      <w:marBottom w:val="10"/>
      <w:divBdr>
        <w:top w:val="none" w:sz="0" w:space="0" w:color="auto"/>
        <w:left w:val="none" w:sz="0" w:space="0" w:color="auto"/>
        <w:bottom w:val="none" w:sz="0" w:space="0" w:color="auto"/>
        <w:right w:val="none" w:sz="0" w:space="0" w:color="auto"/>
      </w:divBdr>
    </w:div>
    <w:div w:id="421342293">
      <w:marLeft w:val="0"/>
      <w:marRight w:val="0"/>
      <w:marTop w:val="10"/>
      <w:marBottom w:val="10"/>
      <w:divBdr>
        <w:top w:val="none" w:sz="0" w:space="0" w:color="auto"/>
        <w:left w:val="none" w:sz="0" w:space="0" w:color="auto"/>
        <w:bottom w:val="none" w:sz="0" w:space="0" w:color="auto"/>
        <w:right w:val="none" w:sz="0" w:space="0" w:color="auto"/>
      </w:divBdr>
    </w:div>
    <w:div w:id="427700360">
      <w:marLeft w:val="0"/>
      <w:marRight w:val="0"/>
      <w:marTop w:val="10"/>
      <w:marBottom w:val="10"/>
      <w:divBdr>
        <w:top w:val="none" w:sz="0" w:space="0" w:color="auto"/>
        <w:left w:val="none" w:sz="0" w:space="0" w:color="auto"/>
        <w:bottom w:val="none" w:sz="0" w:space="0" w:color="auto"/>
        <w:right w:val="none" w:sz="0" w:space="0" w:color="auto"/>
      </w:divBdr>
    </w:div>
    <w:div w:id="637495972">
      <w:marLeft w:val="0"/>
      <w:marRight w:val="0"/>
      <w:marTop w:val="10"/>
      <w:marBottom w:val="10"/>
      <w:divBdr>
        <w:top w:val="none" w:sz="0" w:space="0" w:color="auto"/>
        <w:left w:val="none" w:sz="0" w:space="0" w:color="auto"/>
        <w:bottom w:val="none" w:sz="0" w:space="0" w:color="auto"/>
        <w:right w:val="none" w:sz="0" w:space="0" w:color="auto"/>
      </w:divBdr>
    </w:div>
    <w:div w:id="675421496">
      <w:marLeft w:val="0"/>
      <w:marRight w:val="720"/>
      <w:marTop w:val="10"/>
      <w:marBottom w:val="10"/>
      <w:divBdr>
        <w:top w:val="none" w:sz="0" w:space="0" w:color="auto"/>
        <w:left w:val="none" w:sz="0" w:space="0" w:color="auto"/>
        <w:bottom w:val="none" w:sz="0" w:space="0" w:color="auto"/>
        <w:right w:val="none" w:sz="0" w:space="0" w:color="auto"/>
      </w:divBdr>
    </w:div>
    <w:div w:id="732847031">
      <w:marLeft w:val="0"/>
      <w:marRight w:val="720"/>
      <w:marTop w:val="10"/>
      <w:marBottom w:val="10"/>
      <w:divBdr>
        <w:top w:val="none" w:sz="0" w:space="0" w:color="auto"/>
        <w:left w:val="none" w:sz="0" w:space="0" w:color="auto"/>
        <w:bottom w:val="none" w:sz="0" w:space="0" w:color="auto"/>
        <w:right w:val="none" w:sz="0" w:space="0" w:color="auto"/>
      </w:divBdr>
    </w:div>
    <w:div w:id="777608080">
      <w:marLeft w:val="0"/>
      <w:marRight w:val="0"/>
      <w:marTop w:val="10"/>
      <w:marBottom w:val="10"/>
      <w:divBdr>
        <w:top w:val="none" w:sz="0" w:space="0" w:color="auto"/>
        <w:left w:val="none" w:sz="0" w:space="0" w:color="auto"/>
        <w:bottom w:val="none" w:sz="0" w:space="0" w:color="auto"/>
        <w:right w:val="none" w:sz="0" w:space="0" w:color="auto"/>
      </w:divBdr>
    </w:div>
    <w:div w:id="785122131">
      <w:marLeft w:val="0"/>
      <w:marRight w:val="720"/>
      <w:marTop w:val="10"/>
      <w:marBottom w:val="10"/>
      <w:divBdr>
        <w:top w:val="none" w:sz="0" w:space="0" w:color="auto"/>
        <w:left w:val="none" w:sz="0" w:space="0" w:color="auto"/>
        <w:bottom w:val="none" w:sz="0" w:space="0" w:color="auto"/>
        <w:right w:val="none" w:sz="0" w:space="0" w:color="auto"/>
      </w:divBdr>
    </w:div>
    <w:div w:id="894007300">
      <w:marLeft w:val="0"/>
      <w:marRight w:val="0"/>
      <w:marTop w:val="10"/>
      <w:marBottom w:val="10"/>
      <w:divBdr>
        <w:top w:val="none" w:sz="0" w:space="0" w:color="auto"/>
        <w:left w:val="none" w:sz="0" w:space="0" w:color="auto"/>
        <w:bottom w:val="none" w:sz="0" w:space="0" w:color="auto"/>
        <w:right w:val="none" w:sz="0" w:space="0" w:color="auto"/>
      </w:divBdr>
    </w:div>
    <w:div w:id="956446142">
      <w:marLeft w:val="0"/>
      <w:marRight w:val="0"/>
      <w:marTop w:val="10"/>
      <w:marBottom w:val="10"/>
      <w:divBdr>
        <w:top w:val="none" w:sz="0" w:space="0" w:color="auto"/>
        <w:left w:val="none" w:sz="0" w:space="0" w:color="auto"/>
        <w:bottom w:val="none" w:sz="0" w:space="0" w:color="auto"/>
        <w:right w:val="none" w:sz="0" w:space="0" w:color="auto"/>
      </w:divBdr>
    </w:div>
    <w:div w:id="982734464">
      <w:marLeft w:val="0"/>
      <w:marRight w:val="0"/>
      <w:marTop w:val="10"/>
      <w:marBottom w:val="10"/>
      <w:divBdr>
        <w:top w:val="none" w:sz="0" w:space="0" w:color="auto"/>
        <w:left w:val="none" w:sz="0" w:space="0" w:color="auto"/>
        <w:bottom w:val="none" w:sz="0" w:space="0" w:color="auto"/>
        <w:right w:val="none" w:sz="0" w:space="0" w:color="auto"/>
      </w:divBdr>
    </w:div>
    <w:div w:id="1024593314">
      <w:marLeft w:val="0"/>
      <w:marRight w:val="0"/>
      <w:marTop w:val="10"/>
      <w:marBottom w:val="10"/>
      <w:divBdr>
        <w:top w:val="none" w:sz="0" w:space="0" w:color="auto"/>
        <w:left w:val="none" w:sz="0" w:space="0" w:color="auto"/>
        <w:bottom w:val="none" w:sz="0" w:space="0" w:color="auto"/>
        <w:right w:val="none" w:sz="0" w:space="0" w:color="auto"/>
      </w:divBdr>
    </w:div>
    <w:div w:id="1104572303">
      <w:marLeft w:val="0"/>
      <w:marRight w:val="0"/>
      <w:marTop w:val="10"/>
      <w:marBottom w:val="10"/>
      <w:divBdr>
        <w:top w:val="none" w:sz="0" w:space="0" w:color="auto"/>
        <w:left w:val="none" w:sz="0" w:space="0" w:color="auto"/>
        <w:bottom w:val="none" w:sz="0" w:space="0" w:color="auto"/>
        <w:right w:val="none" w:sz="0" w:space="0" w:color="auto"/>
      </w:divBdr>
    </w:div>
    <w:div w:id="1152605015">
      <w:marLeft w:val="0"/>
      <w:marRight w:val="0"/>
      <w:marTop w:val="10"/>
      <w:marBottom w:val="10"/>
      <w:divBdr>
        <w:top w:val="none" w:sz="0" w:space="0" w:color="auto"/>
        <w:left w:val="none" w:sz="0" w:space="0" w:color="auto"/>
        <w:bottom w:val="none" w:sz="0" w:space="0" w:color="auto"/>
        <w:right w:val="none" w:sz="0" w:space="0" w:color="auto"/>
      </w:divBdr>
    </w:div>
    <w:div w:id="1221937028">
      <w:marLeft w:val="0"/>
      <w:marRight w:val="0"/>
      <w:marTop w:val="10"/>
      <w:marBottom w:val="10"/>
      <w:divBdr>
        <w:top w:val="none" w:sz="0" w:space="0" w:color="auto"/>
        <w:left w:val="none" w:sz="0" w:space="0" w:color="auto"/>
        <w:bottom w:val="none" w:sz="0" w:space="0" w:color="auto"/>
        <w:right w:val="none" w:sz="0" w:space="0" w:color="auto"/>
      </w:divBdr>
    </w:div>
    <w:div w:id="1307927492">
      <w:marLeft w:val="0"/>
      <w:marRight w:val="0"/>
      <w:marTop w:val="10"/>
      <w:marBottom w:val="10"/>
      <w:divBdr>
        <w:top w:val="none" w:sz="0" w:space="0" w:color="auto"/>
        <w:left w:val="none" w:sz="0" w:space="0" w:color="auto"/>
        <w:bottom w:val="none" w:sz="0" w:space="0" w:color="auto"/>
        <w:right w:val="none" w:sz="0" w:space="0" w:color="auto"/>
      </w:divBdr>
    </w:div>
    <w:div w:id="1324352415">
      <w:marLeft w:val="0"/>
      <w:marRight w:val="0"/>
      <w:marTop w:val="10"/>
      <w:marBottom w:val="10"/>
      <w:divBdr>
        <w:top w:val="none" w:sz="0" w:space="0" w:color="auto"/>
        <w:left w:val="none" w:sz="0" w:space="0" w:color="auto"/>
        <w:bottom w:val="none" w:sz="0" w:space="0" w:color="auto"/>
        <w:right w:val="none" w:sz="0" w:space="0" w:color="auto"/>
      </w:divBdr>
    </w:div>
    <w:div w:id="1365785592">
      <w:marLeft w:val="0"/>
      <w:marRight w:val="0"/>
      <w:marTop w:val="10"/>
      <w:marBottom w:val="10"/>
      <w:divBdr>
        <w:top w:val="none" w:sz="0" w:space="0" w:color="auto"/>
        <w:left w:val="none" w:sz="0" w:space="0" w:color="auto"/>
        <w:bottom w:val="none" w:sz="0" w:space="0" w:color="auto"/>
        <w:right w:val="none" w:sz="0" w:space="0" w:color="auto"/>
      </w:divBdr>
    </w:div>
    <w:div w:id="1372152241">
      <w:marLeft w:val="0"/>
      <w:marRight w:val="0"/>
      <w:marTop w:val="10"/>
      <w:marBottom w:val="10"/>
      <w:divBdr>
        <w:top w:val="none" w:sz="0" w:space="0" w:color="auto"/>
        <w:left w:val="none" w:sz="0" w:space="0" w:color="auto"/>
        <w:bottom w:val="none" w:sz="0" w:space="0" w:color="auto"/>
        <w:right w:val="none" w:sz="0" w:space="0" w:color="auto"/>
      </w:divBdr>
    </w:div>
    <w:div w:id="1552224778">
      <w:marLeft w:val="0"/>
      <w:marRight w:val="0"/>
      <w:marTop w:val="10"/>
      <w:marBottom w:val="10"/>
      <w:divBdr>
        <w:top w:val="none" w:sz="0" w:space="0" w:color="auto"/>
        <w:left w:val="none" w:sz="0" w:space="0" w:color="auto"/>
        <w:bottom w:val="none" w:sz="0" w:space="0" w:color="auto"/>
        <w:right w:val="none" w:sz="0" w:space="0" w:color="auto"/>
      </w:divBdr>
    </w:div>
    <w:div w:id="1576092640">
      <w:marLeft w:val="0"/>
      <w:marRight w:val="0"/>
      <w:marTop w:val="10"/>
      <w:marBottom w:val="10"/>
      <w:divBdr>
        <w:top w:val="none" w:sz="0" w:space="0" w:color="auto"/>
        <w:left w:val="none" w:sz="0" w:space="0" w:color="auto"/>
        <w:bottom w:val="none" w:sz="0" w:space="0" w:color="auto"/>
        <w:right w:val="none" w:sz="0" w:space="0" w:color="auto"/>
      </w:divBdr>
    </w:div>
    <w:div w:id="1659528178">
      <w:marLeft w:val="0"/>
      <w:marRight w:val="0"/>
      <w:marTop w:val="10"/>
      <w:marBottom w:val="10"/>
      <w:divBdr>
        <w:top w:val="none" w:sz="0" w:space="0" w:color="auto"/>
        <w:left w:val="none" w:sz="0" w:space="0" w:color="auto"/>
        <w:bottom w:val="none" w:sz="0" w:space="0" w:color="auto"/>
        <w:right w:val="none" w:sz="0" w:space="0" w:color="auto"/>
      </w:divBdr>
    </w:div>
    <w:div w:id="1788506157">
      <w:marLeft w:val="0"/>
      <w:marRight w:val="0"/>
      <w:marTop w:val="10"/>
      <w:marBottom w:val="10"/>
      <w:divBdr>
        <w:top w:val="none" w:sz="0" w:space="0" w:color="auto"/>
        <w:left w:val="none" w:sz="0" w:space="0" w:color="auto"/>
        <w:bottom w:val="none" w:sz="0" w:space="0" w:color="auto"/>
        <w:right w:val="none" w:sz="0" w:space="0" w:color="auto"/>
      </w:divBdr>
    </w:div>
    <w:div w:id="1825311511">
      <w:marLeft w:val="0"/>
      <w:marRight w:val="0"/>
      <w:marTop w:val="10"/>
      <w:marBottom w:val="10"/>
      <w:divBdr>
        <w:top w:val="none" w:sz="0" w:space="0" w:color="auto"/>
        <w:left w:val="none" w:sz="0" w:space="0" w:color="auto"/>
        <w:bottom w:val="none" w:sz="0" w:space="0" w:color="auto"/>
        <w:right w:val="none" w:sz="0" w:space="0" w:color="auto"/>
      </w:divBdr>
    </w:div>
    <w:div w:id="1829593462">
      <w:marLeft w:val="0"/>
      <w:marRight w:val="0"/>
      <w:marTop w:val="10"/>
      <w:marBottom w:val="10"/>
      <w:divBdr>
        <w:top w:val="none" w:sz="0" w:space="0" w:color="auto"/>
        <w:left w:val="none" w:sz="0" w:space="0" w:color="auto"/>
        <w:bottom w:val="none" w:sz="0" w:space="0" w:color="auto"/>
        <w:right w:val="none" w:sz="0" w:space="0" w:color="auto"/>
      </w:divBdr>
    </w:div>
    <w:div w:id="1901863236">
      <w:marLeft w:val="0"/>
      <w:marRight w:val="0"/>
      <w:marTop w:val="10"/>
      <w:marBottom w:val="10"/>
      <w:divBdr>
        <w:top w:val="none" w:sz="0" w:space="0" w:color="auto"/>
        <w:left w:val="none" w:sz="0" w:space="0" w:color="auto"/>
        <w:bottom w:val="none" w:sz="0" w:space="0" w:color="auto"/>
        <w:right w:val="none" w:sz="0" w:space="0" w:color="auto"/>
      </w:divBdr>
    </w:div>
    <w:div w:id="1923373012">
      <w:marLeft w:val="0"/>
      <w:marRight w:val="0"/>
      <w:marTop w:val="10"/>
      <w:marBottom w:val="10"/>
      <w:divBdr>
        <w:top w:val="none" w:sz="0" w:space="0" w:color="auto"/>
        <w:left w:val="none" w:sz="0" w:space="0" w:color="auto"/>
        <w:bottom w:val="none" w:sz="0" w:space="0" w:color="auto"/>
        <w:right w:val="none" w:sz="0" w:space="0" w:color="auto"/>
      </w:divBdr>
    </w:div>
    <w:div w:id="1928036216">
      <w:marLeft w:val="0"/>
      <w:marRight w:val="0"/>
      <w:marTop w:val="10"/>
      <w:marBottom w:val="10"/>
      <w:divBdr>
        <w:top w:val="none" w:sz="0" w:space="0" w:color="auto"/>
        <w:left w:val="none" w:sz="0" w:space="0" w:color="auto"/>
        <w:bottom w:val="none" w:sz="0" w:space="0" w:color="auto"/>
        <w:right w:val="none" w:sz="0" w:space="0" w:color="auto"/>
      </w:divBdr>
    </w:div>
    <w:div w:id="1966544885">
      <w:marLeft w:val="0"/>
      <w:marRight w:val="0"/>
      <w:marTop w:val="10"/>
      <w:marBottom w:val="10"/>
      <w:divBdr>
        <w:top w:val="none" w:sz="0" w:space="0" w:color="auto"/>
        <w:left w:val="none" w:sz="0" w:space="0" w:color="auto"/>
        <w:bottom w:val="none" w:sz="0" w:space="0" w:color="auto"/>
        <w:right w:val="none" w:sz="0" w:space="0" w:color="auto"/>
      </w:divBdr>
    </w:div>
    <w:div w:id="1973124058">
      <w:marLeft w:val="0"/>
      <w:marRight w:val="0"/>
      <w:marTop w:val="10"/>
      <w:marBottom w:val="10"/>
      <w:divBdr>
        <w:top w:val="none" w:sz="0" w:space="0" w:color="auto"/>
        <w:left w:val="none" w:sz="0" w:space="0" w:color="auto"/>
        <w:bottom w:val="none" w:sz="0" w:space="0" w:color="auto"/>
        <w:right w:val="none" w:sz="0" w:space="0" w:color="auto"/>
      </w:divBdr>
    </w:div>
    <w:div w:id="2002732290">
      <w:marLeft w:val="0"/>
      <w:marRight w:val="0"/>
      <w:marTop w:val="10"/>
      <w:marBottom w:val="10"/>
      <w:divBdr>
        <w:top w:val="none" w:sz="0" w:space="0" w:color="auto"/>
        <w:left w:val="none" w:sz="0" w:space="0" w:color="auto"/>
        <w:bottom w:val="none" w:sz="0" w:space="0" w:color="auto"/>
        <w:right w:val="none" w:sz="0" w:space="0" w:color="auto"/>
      </w:divBdr>
    </w:div>
    <w:div w:id="2029330911">
      <w:marLeft w:val="0"/>
      <w:marRight w:val="0"/>
      <w:marTop w:val="10"/>
      <w:marBottom w:val="10"/>
      <w:divBdr>
        <w:top w:val="none" w:sz="0" w:space="0" w:color="auto"/>
        <w:left w:val="none" w:sz="0" w:space="0" w:color="auto"/>
        <w:bottom w:val="none" w:sz="0" w:space="0" w:color="auto"/>
        <w:right w:val="none" w:sz="0" w:space="0" w:color="auto"/>
      </w:divBdr>
    </w:div>
    <w:div w:id="2052992787">
      <w:marLeft w:val="0"/>
      <w:marRight w:val="0"/>
      <w:marTop w:val="10"/>
      <w:marBottom w:val="10"/>
      <w:divBdr>
        <w:top w:val="none" w:sz="0" w:space="0" w:color="auto"/>
        <w:left w:val="none" w:sz="0" w:space="0" w:color="auto"/>
        <w:bottom w:val="none" w:sz="0" w:space="0" w:color="auto"/>
        <w:right w:val="none" w:sz="0" w:space="0" w:color="auto"/>
      </w:divBdr>
    </w:div>
    <w:div w:id="2067290686">
      <w:marLeft w:val="0"/>
      <w:marRight w:val="0"/>
      <w:marTop w:val="10"/>
      <w:marBottom w:val="10"/>
      <w:divBdr>
        <w:top w:val="none" w:sz="0" w:space="0" w:color="auto"/>
        <w:left w:val="none" w:sz="0" w:space="0" w:color="auto"/>
        <w:bottom w:val="none" w:sz="0" w:space="0" w:color="auto"/>
        <w:right w:val="none" w:sz="0" w:space="0" w:color="auto"/>
      </w:divBdr>
    </w:div>
    <w:div w:id="2090346660">
      <w:marLeft w:val="0"/>
      <w:marRight w:val="0"/>
      <w:marTop w:val="10"/>
      <w:marBottom w:val="10"/>
      <w:divBdr>
        <w:top w:val="none" w:sz="0" w:space="0" w:color="auto"/>
        <w:left w:val="none" w:sz="0" w:space="0" w:color="auto"/>
        <w:bottom w:val="none" w:sz="0" w:space="0" w:color="auto"/>
        <w:right w:val="none" w:sz="0" w:space="0" w:color="auto"/>
      </w:divBdr>
    </w:div>
    <w:div w:id="2096395892">
      <w:marLeft w:val="0"/>
      <w:marRight w:val="0"/>
      <w:marTop w:val="10"/>
      <w:marBottom w:val="10"/>
      <w:divBdr>
        <w:top w:val="none" w:sz="0" w:space="0" w:color="auto"/>
        <w:left w:val="none" w:sz="0" w:space="0" w:color="auto"/>
        <w:bottom w:val="none" w:sz="0" w:space="0" w:color="auto"/>
        <w:right w:val="none" w:sz="0" w:space="0" w:color="auto"/>
      </w:divBdr>
    </w:div>
    <w:div w:id="210950113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