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401B2">
      <w:pPr>
        <w:spacing w:line="500" w:lineRule="atLeast"/>
        <w:jc w:val="center"/>
        <w:divId w:val="1757895240"/>
        <w:rPr>
          <w:rFonts w:ascii="黑体" w:eastAsia="黑体" w:hAnsi="黑体"/>
          <w:sz w:val="36"/>
          <w:szCs w:val="36"/>
        </w:rPr>
      </w:pPr>
      <w:bookmarkStart w:id="0" w:name="_GoBack"/>
      <w:bookmarkEnd w:id="0"/>
      <w:r>
        <w:rPr>
          <w:rFonts w:ascii="黑体" w:eastAsia="黑体" w:hAnsi="黑体" w:hint="eastAsia"/>
          <w:sz w:val="36"/>
          <w:szCs w:val="36"/>
        </w:rPr>
        <w:t>辽宁省鞍山市中级人民法院</w:t>
      </w:r>
    </w:p>
    <w:p w:rsidR="00000000" w:rsidRDefault="00A401B2">
      <w:pPr>
        <w:spacing w:line="500" w:lineRule="atLeast"/>
        <w:jc w:val="center"/>
        <w:divId w:val="59402122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A401B2">
      <w:pPr>
        <w:spacing w:line="500" w:lineRule="atLeast"/>
        <w:jc w:val="right"/>
        <w:divId w:val="2131975090"/>
        <w:rPr>
          <w:rFonts w:hint="eastAsia"/>
          <w:sz w:val="30"/>
          <w:szCs w:val="30"/>
        </w:rPr>
      </w:pPr>
      <w:r>
        <w:rPr>
          <w:rFonts w:hint="eastAsia"/>
          <w:sz w:val="30"/>
          <w:szCs w:val="30"/>
        </w:rPr>
        <w:t>（</w:t>
      </w:r>
      <w:r>
        <w:rPr>
          <w:rFonts w:hint="eastAsia"/>
          <w:sz w:val="30"/>
          <w:szCs w:val="30"/>
        </w:rPr>
        <w:t>2015</w:t>
      </w:r>
      <w:r>
        <w:rPr>
          <w:rFonts w:hint="eastAsia"/>
          <w:sz w:val="30"/>
          <w:szCs w:val="30"/>
        </w:rPr>
        <w:t>）鞍审民终再字第</w:t>
      </w:r>
      <w:r>
        <w:rPr>
          <w:rFonts w:hint="eastAsia"/>
          <w:sz w:val="30"/>
          <w:szCs w:val="30"/>
        </w:rPr>
        <w:t>6</w:t>
      </w:r>
      <w:r>
        <w:rPr>
          <w:rFonts w:hint="eastAsia"/>
          <w:sz w:val="30"/>
          <w:szCs w:val="30"/>
        </w:rPr>
        <w:t>号</w:t>
      </w:r>
    </w:p>
    <w:p w:rsidR="00000000" w:rsidRDefault="00A401B2">
      <w:pPr>
        <w:spacing w:line="500" w:lineRule="atLeast"/>
        <w:ind w:firstLine="600"/>
        <w:divId w:val="1547185057"/>
        <w:rPr>
          <w:rFonts w:hint="eastAsia"/>
          <w:sz w:val="30"/>
          <w:szCs w:val="30"/>
        </w:rPr>
      </w:pPr>
      <w:r>
        <w:rPr>
          <w:rFonts w:hint="eastAsia"/>
          <w:sz w:val="30"/>
          <w:szCs w:val="30"/>
        </w:rPr>
        <w:t>再审申请人（原审原告，二审上诉人）：鞍山市鸿锦耐火化工材料有限公司。</w:t>
      </w:r>
    </w:p>
    <w:p w:rsidR="00000000" w:rsidRDefault="00A401B2">
      <w:pPr>
        <w:spacing w:line="500" w:lineRule="atLeast"/>
        <w:ind w:firstLine="600"/>
        <w:divId w:val="1709136877"/>
        <w:rPr>
          <w:rFonts w:hint="eastAsia"/>
          <w:sz w:val="30"/>
          <w:szCs w:val="30"/>
        </w:rPr>
      </w:pPr>
      <w:r>
        <w:rPr>
          <w:rFonts w:hint="eastAsia"/>
          <w:sz w:val="30"/>
          <w:szCs w:val="30"/>
        </w:rPr>
        <w:t>法定代表人：蒋荫安，经理。</w:t>
      </w:r>
    </w:p>
    <w:p w:rsidR="00000000" w:rsidRDefault="00A401B2">
      <w:pPr>
        <w:spacing w:line="500" w:lineRule="atLeast"/>
        <w:ind w:firstLine="600"/>
        <w:divId w:val="833378604"/>
        <w:rPr>
          <w:rFonts w:hint="eastAsia"/>
          <w:sz w:val="30"/>
          <w:szCs w:val="30"/>
        </w:rPr>
      </w:pPr>
      <w:r>
        <w:rPr>
          <w:rFonts w:hint="eastAsia"/>
          <w:sz w:val="30"/>
          <w:szCs w:val="30"/>
        </w:rPr>
        <w:t>委托代理人：李艳群。</w:t>
      </w:r>
    </w:p>
    <w:p w:rsidR="00000000" w:rsidRDefault="00A401B2">
      <w:pPr>
        <w:spacing w:line="500" w:lineRule="atLeast"/>
        <w:ind w:firstLine="600"/>
        <w:divId w:val="36242444"/>
        <w:rPr>
          <w:rFonts w:hint="eastAsia"/>
          <w:sz w:val="30"/>
          <w:szCs w:val="30"/>
        </w:rPr>
      </w:pPr>
      <w:r>
        <w:rPr>
          <w:rFonts w:hint="eastAsia"/>
          <w:sz w:val="30"/>
          <w:szCs w:val="30"/>
        </w:rPr>
        <w:t>再审申请人（原审原告，二审上诉人）：蒋荫安。</w:t>
      </w:r>
    </w:p>
    <w:p w:rsidR="00000000" w:rsidRDefault="00A401B2">
      <w:pPr>
        <w:spacing w:line="500" w:lineRule="atLeast"/>
        <w:ind w:firstLine="600"/>
        <w:divId w:val="1408303648"/>
        <w:rPr>
          <w:rFonts w:hint="eastAsia"/>
          <w:sz w:val="30"/>
          <w:szCs w:val="30"/>
        </w:rPr>
      </w:pPr>
      <w:r>
        <w:rPr>
          <w:rFonts w:hint="eastAsia"/>
          <w:sz w:val="30"/>
          <w:szCs w:val="30"/>
        </w:rPr>
        <w:t>被申请人（原审被告，二审被上诉人）：焦红霞。</w:t>
      </w:r>
    </w:p>
    <w:p w:rsidR="00000000" w:rsidRDefault="00A401B2">
      <w:pPr>
        <w:spacing w:line="500" w:lineRule="atLeast"/>
        <w:ind w:firstLine="600"/>
        <w:divId w:val="388891736"/>
        <w:rPr>
          <w:rFonts w:hint="eastAsia"/>
          <w:sz w:val="30"/>
          <w:szCs w:val="30"/>
        </w:rPr>
      </w:pPr>
      <w:r>
        <w:rPr>
          <w:rFonts w:hint="eastAsia"/>
          <w:sz w:val="30"/>
          <w:szCs w:val="30"/>
        </w:rPr>
        <w:t>委托代理人：孔霞，辽宁钢城正大律师事务所律师。</w:t>
      </w:r>
    </w:p>
    <w:p w:rsidR="00000000" w:rsidRDefault="00A401B2">
      <w:pPr>
        <w:spacing w:line="500" w:lineRule="atLeast"/>
        <w:ind w:firstLine="600"/>
        <w:divId w:val="742996585"/>
        <w:rPr>
          <w:rFonts w:hint="eastAsia"/>
          <w:sz w:val="30"/>
          <w:szCs w:val="30"/>
        </w:rPr>
      </w:pPr>
      <w:r>
        <w:rPr>
          <w:rFonts w:hint="eastAsia"/>
          <w:sz w:val="30"/>
          <w:szCs w:val="30"/>
        </w:rPr>
        <w:t>被申请人（原审被告，二审被上诉人）：鞍山市永利耐火原料有限公司。</w:t>
      </w:r>
    </w:p>
    <w:p w:rsidR="00000000" w:rsidRDefault="00A401B2">
      <w:pPr>
        <w:spacing w:line="500" w:lineRule="atLeast"/>
        <w:ind w:firstLine="600"/>
        <w:divId w:val="2053773268"/>
        <w:rPr>
          <w:rFonts w:hint="eastAsia"/>
          <w:sz w:val="30"/>
          <w:szCs w:val="30"/>
        </w:rPr>
      </w:pPr>
      <w:r>
        <w:rPr>
          <w:rFonts w:hint="eastAsia"/>
          <w:sz w:val="30"/>
          <w:szCs w:val="30"/>
        </w:rPr>
        <w:t>法定代表人：焦强，总经理。</w:t>
      </w:r>
    </w:p>
    <w:p w:rsidR="00000000" w:rsidRDefault="00A401B2">
      <w:pPr>
        <w:spacing w:line="500" w:lineRule="atLeast"/>
        <w:ind w:firstLine="600"/>
        <w:divId w:val="1102920841"/>
        <w:rPr>
          <w:rFonts w:hint="eastAsia"/>
          <w:sz w:val="30"/>
          <w:szCs w:val="30"/>
        </w:rPr>
      </w:pPr>
      <w:r>
        <w:rPr>
          <w:rFonts w:hint="eastAsia"/>
          <w:sz w:val="30"/>
          <w:szCs w:val="30"/>
        </w:rPr>
        <w:t>再审申请人鞍山市鸿锦耐火化工材料有限公司（以下简称鸿锦公司）、蒋荫安因与被申请人焦红霞、鞍山市永利耐火原料有限公司（以下简称永利公司）控股股东、实际控制人、董事、监事、高级管理人员损害公司利益赔偿纠纷一案，不服本院（</w:t>
      </w:r>
      <w:r>
        <w:rPr>
          <w:rFonts w:hint="eastAsia"/>
          <w:sz w:val="30"/>
          <w:szCs w:val="30"/>
        </w:rPr>
        <w:t>2014</w:t>
      </w:r>
      <w:r>
        <w:rPr>
          <w:rFonts w:hint="eastAsia"/>
          <w:sz w:val="30"/>
          <w:szCs w:val="30"/>
        </w:rPr>
        <w:t>）鞍民三终字第</w:t>
      </w:r>
      <w:r>
        <w:rPr>
          <w:rFonts w:hint="eastAsia"/>
          <w:sz w:val="30"/>
          <w:szCs w:val="30"/>
        </w:rPr>
        <w:t>98</w:t>
      </w:r>
      <w:r>
        <w:rPr>
          <w:rFonts w:hint="eastAsia"/>
          <w:sz w:val="30"/>
          <w:szCs w:val="30"/>
        </w:rPr>
        <w:t>号民事判决书，向辽宁省高级人民法院申请再审。辽宁省高级人民法院于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日作出（</w:t>
      </w:r>
      <w:r>
        <w:rPr>
          <w:rFonts w:hint="eastAsia"/>
          <w:sz w:val="30"/>
          <w:szCs w:val="30"/>
        </w:rPr>
        <w:t>2014</w:t>
      </w:r>
      <w:r>
        <w:rPr>
          <w:rFonts w:hint="eastAsia"/>
          <w:sz w:val="30"/>
          <w:szCs w:val="30"/>
        </w:rPr>
        <w:t>）辽审三民申字第</w:t>
      </w:r>
      <w:r>
        <w:rPr>
          <w:rFonts w:hint="eastAsia"/>
          <w:sz w:val="30"/>
          <w:szCs w:val="30"/>
        </w:rPr>
        <w:t>01140</w:t>
      </w:r>
      <w:r>
        <w:rPr>
          <w:rFonts w:hint="eastAsia"/>
          <w:sz w:val="30"/>
          <w:szCs w:val="30"/>
        </w:rPr>
        <w:t>号民事裁定书，指令本院再审本案。本院依法另行组成合议庭，于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22</w:t>
      </w:r>
      <w:r>
        <w:rPr>
          <w:rFonts w:hint="eastAsia"/>
          <w:sz w:val="30"/>
          <w:szCs w:val="30"/>
        </w:rPr>
        <w:t>日公开开庭进行了审理。再审申请人鸿锦公司的法定代表人蒋荫安及其委托代理人</w:t>
      </w:r>
      <w:r>
        <w:rPr>
          <w:rFonts w:hint="eastAsia"/>
          <w:sz w:val="30"/>
          <w:szCs w:val="30"/>
        </w:rPr>
        <w:t>李艳群，被申请人焦红霞的委托代理人孔霞及被申请人永利公司的法定代表人焦强到庭参加诉讼。本案现已审理终结。</w:t>
      </w:r>
    </w:p>
    <w:p w:rsidR="00000000" w:rsidRDefault="00A401B2">
      <w:pPr>
        <w:spacing w:line="500" w:lineRule="atLeast"/>
        <w:ind w:firstLine="600"/>
        <w:divId w:val="1776359917"/>
        <w:rPr>
          <w:rFonts w:hint="eastAsia"/>
          <w:sz w:val="30"/>
          <w:szCs w:val="30"/>
        </w:rPr>
      </w:pPr>
      <w:r>
        <w:rPr>
          <w:rFonts w:hint="eastAsia"/>
          <w:sz w:val="30"/>
          <w:szCs w:val="30"/>
        </w:rPr>
        <w:t>原审原告诉称：</w:t>
      </w:r>
      <w:r>
        <w:rPr>
          <w:rFonts w:hint="eastAsia"/>
          <w:sz w:val="30"/>
          <w:szCs w:val="30"/>
        </w:rPr>
        <w:t>2009</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日原告蒋荫安出资</w:t>
      </w:r>
      <w:r>
        <w:rPr>
          <w:rFonts w:hint="eastAsia"/>
          <w:sz w:val="30"/>
          <w:szCs w:val="30"/>
        </w:rPr>
        <w:t>25</w:t>
      </w:r>
      <w:r>
        <w:rPr>
          <w:rFonts w:hint="eastAsia"/>
          <w:sz w:val="30"/>
          <w:szCs w:val="30"/>
        </w:rPr>
        <w:t>万元，被告焦红霞出资</w:t>
      </w:r>
      <w:r>
        <w:rPr>
          <w:rFonts w:hint="eastAsia"/>
          <w:sz w:val="30"/>
          <w:szCs w:val="30"/>
        </w:rPr>
        <w:t>25</w:t>
      </w:r>
      <w:r>
        <w:rPr>
          <w:rFonts w:hint="eastAsia"/>
          <w:sz w:val="30"/>
          <w:szCs w:val="30"/>
        </w:rPr>
        <w:t>万元，成立了鞍山市鸿锦耐火化工材料</w:t>
      </w:r>
      <w:r>
        <w:rPr>
          <w:rFonts w:hint="eastAsia"/>
          <w:sz w:val="30"/>
          <w:szCs w:val="30"/>
        </w:rPr>
        <w:lastRenderedPageBreak/>
        <w:t>有限公司，经营范围：耐火材料、化工原料（不含危险化学品）、五金、建材、钢材销售、化工结合剂生产，经营期限为</w:t>
      </w:r>
      <w:r>
        <w:rPr>
          <w:rFonts w:hint="eastAsia"/>
          <w:sz w:val="30"/>
          <w:szCs w:val="30"/>
        </w:rPr>
        <w:t>10</w:t>
      </w:r>
      <w:r>
        <w:rPr>
          <w:rFonts w:hint="eastAsia"/>
          <w:sz w:val="30"/>
          <w:szCs w:val="30"/>
        </w:rPr>
        <w:t>年。经股东会决定，原告蒋荫安为公司执行董事、法定代表人，被告为公司监事。当公司经营至</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月份期间，公司销售经营额和利润极度下降，原材料库存减少，原公司客户源开始减少。尤其是到</w:t>
      </w:r>
      <w:r>
        <w:rPr>
          <w:rFonts w:hint="eastAsia"/>
          <w:sz w:val="30"/>
          <w:szCs w:val="30"/>
        </w:rPr>
        <w:t>2</w:t>
      </w:r>
      <w:r>
        <w:rPr>
          <w:rFonts w:hint="eastAsia"/>
          <w:sz w:val="30"/>
          <w:szCs w:val="30"/>
        </w:rPr>
        <w:t>011</w:t>
      </w:r>
      <w:r>
        <w:rPr>
          <w:rFonts w:hint="eastAsia"/>
          <w:sz w:val="30"/>
          <w:szCs w:val="30"/>
        </w:rPr>
        <w:t>年</w:t>
      </w:r>
      <w:r>
        <w:rPr>
          <w:rFonts w:hint="eastAsia"/>
          <w:sz w:val="30"/>
          <w:szCs w:val="30"/>
        </w:rPr>
        <w:t>2</w:t>
      </w:r>
      <w:r>
        <w:rPr>
          <w:rFonts w:hint="eastAsia"/>
          <w:sz w:val="30"/>
          <w:szCs w:val="30"/>
        </w:rPr>
        <w:t>月初原</w:t>
      </w:r>
      <w:r>
        <w:rPr>
          <w:rFonts w:hint="eastAsia"/>
          <w:sz w:val="30"/>
          <w:szCs w:val="30"/>
        </w:rPr>
        <w:t>40</w:t>
      </w:r>
      <w:r>
        <w:rPr>
          <w:rFonts w:hint="eastAsia"/>
          <w:sz w:val="30"/>
          <w:szCs w:val="30"/>
        </w:rPr>
        <w:t>多家客户没有几家到公司买货，使公司经营陷入困境，濒临破产。后经原告调查了解发现：一、被告焦红霞身为鸿锦公司股东、监事、高管人员的同时，于</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日又注册成立了名为鞍山市永利耐火原料有限公司，由被告（出资</w:t>
      </w:r>
      <w:r>
        <w:rPr>
          <w:rFonts w:hint="eastAsia"/>
          <w:sz w:val="30"/>
          <w:szCs w:val="30"/>
        </w:rPr>
        <w:t>90</w:t>
      </w:r>
      <w:r>
        <w:rPr>
          <w:rFonts w:hint="eastAsia"/>
          <w:sz w:val="30"/>
          <w:szCs w:val="30"/>
        </w:rPr>
        <w:t>万元）与其弟焦强（出资</w:t>
      </w:r>
      <w:r>
        <w:rPr>
          <w:rFonts w:hint="eastAsia"/>
          <w:sz w:val="30"/>
          <w:szCs w:val="30"/>
        </w:rPr>
        <w:t>10</w:t>
      </w:r>
      <w:r>
        <w:rPr>
          <w:rFonts w:hint="eastAsia"/>
          <w:sz w:val="30"/>
          <w:szCs w:val="30"/>
        </w:rPr>
        <w:t>万元）共出资</w:t>
      </w:r>
      <w:r>
        <w:rPr>
          <w:rFonts w:hint="eastAsia"/>
          <w:sz w:val="30"/>
          <w:szCs w:val="30"/>
        </w:rPr>
        <w:t>100</w:t>
      </w:r>
      <w:r>
        <w:rPr>
          <w:rFonts w:hint="eastAsia"/>
          <w:sz w:val="30"/>
          <w:szCs w:val="30"/>
        </w:rPr>
        <w:t>万元，住所鞍山市千山区宁远镇二台子村，经营范围：耐火材料、化工产品（不含危险化学品）、五金、建材、钢材销售。经营期限为</w:t>
      </w:r>
      <w:r>
        <w:rPr>
          <w:rFonts w:hint="eastAsia"/>
          <w:sz w:val="30"/>
          <w:szCs w:val="30"/>
        </w:rPr>
        <w:t>10</w:t>
      </w:r>
      <w:r>
        <w:rPr>
          <w:rFonts w:hint="eastAsia"/>
          <w:sz w:val="30"/>
          <w:szCs w:val="30"/>
        </w:rPr>
        <w:t>年，被告焦红霞为该公司执行董事兼经理、法定代表人，焦强为监事。被告焦红霞利用原告蒋荫安心脏病复发住院手术养病</w:t>
      </w:r>
      <w:r>
        <w:rPr>
          <w:rFonts w:hint="eastAsia"/>
          <w:sz w:val="30"/>
          <w:szCs w:val="30"/>
        </w:rPr>
        <w:t>之机，另立执照，自营与其所在公司同类业务，谋取个人利益。二、被告焦红霞身为鸿锦公司股东、监事、高管人员，利用分工采购和销售负责人的职务之便，严重违反公司法有关对公司负有忠实义务的规定，采取欺骗、欺诈的行为，如从</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开始加紧分红、减少库存、私下备货、评价出高价进，以天利和腾鳌老高为名实为永利，进行关联交易。三、被告焦红霞身为鸿锦公司股东、监事、高管人员，在原告不知情的情况下，又以永利公司法定代表人的身份与所在鸿锦公司发生关联交易采取平价出货给永利公司，再加价返给鸿锦公司和与鸿锦公司同时进货等手法，</w:t>
      </w:r>
      <w:r>
        <w:rPr>
          <w:rFonts w:hint="eastAsia"/>
          <w:sz w:val="30"/>
          <w:szCs w:val="30"/>
        </w:rPr>
        <w:t>达到双重获利目的，损害鸿锦公司利益。四、被告焦红霞身为鸿锦公司股东、监事、高管人员，脚踩两只船，严重违反了不正当竞争法有关应当遵循自愿、平等、公平、诚实信用的原</w:t>
      </w:r>
      <w:r>
        <w:rPr>
          <w:rFonts w:hint="eastAsia"/>
          <w:sz w:val="30"/>
          <w:szCs w:val="30"/>
        </w:rPr>
        <w:lastRenderedPageBreak/>
        <w:t>则，遵循公认的商业道德的规定，被告采取非法和不道德的行为手段，为永利公司获得绝对竞争优势，非法获取利益。五、被告焦红霞身为鸿锦公司股东、监事、高管人员，采取不正当手段，将鸿锦公司经营的经济信息、客户范围、进货渠道及价格、销售价格、有关联系方式等，全盘转移给自立的永利公司，以达到独自获利之目的。综上所述，二被告给鸿锦公司从</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月至</w:t>
      </w:r>
      <w:r>
        <w:rPr>
          <w:rFonts w:hint="eastAsia"/>
          <w:sz w:val="30"/>
          <w:szCs w:val="30"/>
        </w:rPr>
        <w:t>2011</w:t>
      </w:r>
      <w:r>
        <w:rPr>
          <w:rFonts w:hint="eastAsia"/>
          <w:sz w:val="30"/>
          <w:szCs w:val="30"/>
        </w:rPr>
        <w:t>年</w:t>
      </w:r>
      <w:r>
        <w:rPr>
          <w:rFonts w:hint="eastAsia"/>
          <w:sz w:val="30"/>
          <w:szCs w:val="30"/>
        </w:rPr>
        <w:t>3</w:t>
      </w:r>
      <w:r>
        <w:rPr>
          <w:rFonts w:hint="eastAsia"/>
          <w:sz w:val="30"/>
          <w:szCs w:val="30"/>
        </w:rPr>
        <w:t>月，甚至直接影响到</w:t>
      </w:r>
      <w:r>
        <w:rPr>
          <w:rFonts w:hint="eastAsia"/>
          <w:sz w:val="30"/>
          <w:szCs w:val="30"/>
        </w:rPr>
        <w:t>2011</w:t>
      </w:r>
      <w:r>
        <w:rPr>
          <w:rFonts w:hint="eastAsia"/>
          <w:sz w:val="30"/>
          <w:szCs w:val="30"/>
        </w:rPr>
        <w:t>年</w:t>
      </w:r>
      <w:r>
        <w:rPr>
          <w:rFonts w:hint="eastAsia"/>
          <w:sz w:val="30"/>
          <w:szCs w:val="30"/>
        </w:rPr>
        <w:t>8</w:t>
      </w:r>
      <w:r>
        <w:rPr>
          <w:rFonts w:hint="eastAsia"/>
          <w:sz w:val="30"/>
          <w:szCs w:val="30"/>
        </w:rPr>
        <w:t>月，造成经济损失</w:t>
      </w:r>
      <w:r>
        <w:rPr>
          <w:rFonts w:hint="eastAsia"/>
          <w:sz w:val="30"/>
          <w:szCs w:val="30"/>
        </w:rPr>
        <w:t>50</w:t>
      </w:r>
      <w:r>
        <w:rPr>
          <w:rFonts w:hint="eastAsia"/>
          <w:sz w:val="30"/>
          <w:szCs w:val="30"/>
        </w:rPr>
        <w:t>余万元。由于二被告行为违反了《中华人民共和国公司法》、《中华人民共和国反不正当竞争法》的规定，严重损害了鸿锦公司的利益和侵犯了原告蒋荫安的合法权益，原告根据《中华人民共和国民事诉讼法》诉至法院，请求：</w:t>
      </w:r>
      <w:r>
        <w:rPr>
          <w:rFonts w:hint="eastAsia"/>
          <w:sz w:val="30"/>
          <w:szCs w:val="30"/>
        </w:rPr>
        <w:t>1</w:t>
      </w:r>
      <w:r>
        <w:rPr>
          <w:rFonts w:hint="eastAsia"/>
          <w:sz w:val="30"/>
          <w:szCs w:val="30"/>
        </w:rPr>
        <w:t>、判令由二被告赔偿鸿锦公司经济损失</w:t>
      </w:r>
      <w:r>
        <w:rPr>
          <w:rFonts w:hint="eastAsia"/>
          <w:sz w:val="30"/>
          <w:szCs w:val="30"/>
        </w:rPr>
        <w:t>100</w:t>
      </w:r>
      <w:r>
        <w:rPr>
          <w:rFonts w:hint="eastAsia"/>
          <w:sz w:val="30"/>
          <w:szCs w:val="30"/>
        </w:rPr>
        <w:t>万元，其中支付蒋荫安应得利润</w:t>
      </w:r>
      <w:r>
        <w:rPr>
          <w:rFonts w:hint="eastAsia"/>
          <w:sz w:val="30"/>
          <w:szCs w:val="30"/>
        </w:rPr>
        <w:t>50</w:t>
      </w:r>
      <w:r>
        <w:rPr>
          <w:rFonts w:hint="eastAsia"/>
          <w:sz w:val="30"/>
          <w:szCs w:val="30"/>
        </w:rPr>
        <w:t>万元。</w:t>
      </w:r>
      <w:r>
        <w:rPr>
          <w:rFonts w:hint="eastAsia"/>
          <w:sz w:val="30"/>
          <w:szCs w:val="30"/>
        </w:rPr>
        <w:t>2</w:t>
      </w:r>
      <w:r>
        <w:rPr>
          <w:rFonts w:hint="eastAsia"/>
          <w:sz w:val="30"/>
          <w:szCs w:val="30"/>
        </w:rPr>
        <w:t>、判令二被告停止对原告侵害行为至本案所指商业秘密为公众所知悉时为止。并在本案审理开庭后立即采取措施先予执行。</w:t>
      </w:r>
      <w:r>
        <w:rPr>
          <w:rFonts w:hint="eastAsia"/>
          <w:sz w:val="30"/>
          <w:szCs w:val="30"/>
        </w:rPr>
        <w:t>3</w:t>
      </w:r>
      <w:r>
        <w:rPr>
          <w:rFonts w:hint="eastAsia"/>
          <w:sz w:val="30"/>
          <w:szCs w:val="30"/>
        </w:rPr>
        <w:t>、判令二被告不得经营与起诉人相同的经营业务，同时判令被告焦红霞从鸿锦公</w:t>
      </w:r>
      <w:r>
        <w:rPr>
          <w:rFonts w:hint="eastAsia"/>
          <w:sz w:val="30"/>
          <w:szCs w:val="30"/>
        </w:rPr>
        <w:t>司退股、清算。</w:t>
      </w:r>
      <w:r>
        <w:rPr>
          <w:rFonts w:hint="eastAsia"/>
          <w:sz w:val="30"/>
          <w:szCs w:val="30"/>
        </w:rPr>
        <w:t>4</w:t>
      </w:r>
      <w:r>
        <w:rPr>
          <w:rFonts w:hint="eastAsia"/>
          <w:sz w:val="30"/>
          <w:szCs w:val="30"/>
        </w:rPr>
        <w:t>、判令由二被告承担全部诉讼费用及相关调查费用。</w:t>
      </w:r>
    </w:p>
    <w:p w:rsidR="00000000" w:rsidRDefault="00A401B2">
      <w:pPr>
        <w:spacing w:line="500" w:lineRule="atLeast"/>
        <w:ind w:firstLine="600"/>
        <w:divId w:val="688988140"/>
        <w:rPr>
          <w:rFonts w:hint="eastAsia"/>
          <w:sz w:val="30"/>
          <w:szCs w:val="30"/>
        </w:rPr>
      </w:pPr>
      <w:r>
        <w:rPr>
          <w:rFonts w:hint="eastAsia"/>
          <w:sz w:val="30"/>
          <w:szCs w:val="30"/>
        </w:rPr>
        <w:t>被告焦红霞未提交书面答辩状，在庭审中辩称：</w:t>
      </w:r>
      <w:r>
        <w:rPr>
          <w:rFonts w:hint="eastAsia"/>
          <w:sz w:val="30"/>
          <w:szCs w:val="30"/>
        </w:rPr>
        <w:t>1</w:t>
      </w:r>
      <w:r>
        <w:rPr>
          <w:rFonts w:hint="eastAsia"/>
          <w:sz w:val="30"/>
          <w:szCs w:val="30"/>
        </w:rPr>
        <w:t>、被告焦红霞是原告公司监事，行使的是监事职权，没有侵犯原告权利。</w:t>
      </w:r>
      <w:r>
        <w:rPr>
          <w:rFonts w:hint="eastAsia"/>
          <w:sz w:val="30"/>
          <w:szCs w:val="30"/>
        </w:rPr>
        <w:t>2</w:t>
      </w:r>
      <w:r>
        <w:rPr>
          <w:rFonts w:hint="eastAsia"/>
          <w:sz w:val="30"/>
          <w:szCs w:val="30"/>
        </w:rPr>
        <w:t>、被告焦红霞成立公司后，是在与原告蒋荫安完全清算的情况下才注册成立的公司，而且焦红霞在永利公司的股权也已经合法转让给他人，因此，焦红霞从来没有侵犯过原告的权利，也不存在原告声称的停止侵权的行为。</w:t>
      </w:r>
      <w:r>
        <w:rPr>
          <w:rFonts w:hint="eastAsia"/>
          <w:sz w:val="30"/>
          <w:szCs w:val="30"/>
        </w:rPr>
        <w:t>3</w:t>
      </w:r>
      <w:r>
        <w:rPr>
          <w:rFonts w:hint="eastAsia"/>
          <w:sz w:val="30"/>
          <w:szCs w:val="30"/>
        </w:rPr>
        <w:t>、被告焦红霞从来没有与其他单位利用原告的秘密进行关联交易，在市场经济下选择物美价廉的产品是经营者的合法权利，也是市场经济允许、法律允许的，因此</w:t>
      </w:r>
      <w:r>
        <w:rPr>
          <w:rFonts w:hint="eastAsia"/>
          <w:sz w:val="30"/>
          <w:szCs w:val="30"/>
        </w:rPr>
        <w:t>根本不存在侵权。</w:t>
      </w:r>
      <w:r>
        <w:rPr>
          <w:rFonts w:hint="eastAsia"/>
          <w:sz w:val="30"/>
          <w:szCs w:val="30"/>
        </w:rPr>
        <w:t>4</w:t>
      </w:r>
      <w:r>
        <w:rPr>
          <w:rFonts w:hint="eastAsia"/>
          <w:sz w:val="30"/>
          <w:szCs w:val="30"/>
        </w:rPr>
        <w:t>、原告因为自己的诉讼所支付的费用应当由原告自己承担，对原告给被告造成的损失，被告保留将来追诉的权利。</w:t>
      </w:r>
    </w:p>
    <w:p w:rsidR="00000000" w:rsidRDefault="00A401B2">
      <w:pPr>
        <w:spacing w:line="500" w:lineRule="atLeast"/>
        <w:ind w:firstLine="600"/>
        <w:divId w:val="601110417"/>
        <w:rPr>
          <w:rFonts w:hint="eastAsia"/>
          <w:sz w:val="30"/>
          <w:szCs w:val="30"/>
        </w:rPr>
      </w:pPr>
      <w:r>
        <w:rPr>
          <w:rFonts w:hint="eastAsia"/>
          <w:sz w:val="30"/>
          <w:szCs w:val="30"/>
        </w:rPr>
        <w:t>被告永利公司未提交书面答辩状，在庭审中辩称：</w:t>
      </w:r>
      <w:r>
        <w:rPr>
          <w:rFonts w:hint="eastAsia"/>
          <w:sz w:val="30"/>
          <w:szCs w:val="30"/>
        </w:rPr>
        <w:t>1</w:t>
      </w:r>
      <w:r>
        <w:rPr>
          <w:rFonts w:hint="eastAsia"/>
          <w:sz w:val="30"/>
          <w:szCs w:val="30"/>
        </w:rPr>
        <w:t>、不同意原告的诉讼请求，原告的诉讼事实不存在。</w:t>
      </w:r>
      <w:r>
        <w:rPr>
          <w:rFonts w:hint="eastAsia"/>
          <w:sz w:val="30"/>
          <w:szCs w:val="30"/>
        </w:rPr>
        <w:t>2</w:t>
      </w:r>
      <w:r>
        <w:rPr>
          <w:rFonts w:hint="eastAsia"/>
          <w:sz w:val="30"/>
          <w:szCs w:val="30"/>
        </w:rPr>
        <w:t>、没有证据证明永利公司利用和焦红霞的关系进行低价买、高价出的这种交易关系。希望法院驳回原告的诉讼请求。</w:t>
      </w:r>
    </w:p>
    <w:p w:rsidR="00000000" w:rsidRDefault="00A401B2">
      <w:pPr>
        <w:spacing w:line="500" w:lineRule="atLeast"/>
        <w:ind w:firstLine="600"/>
        <w:divId w:val="1631009548"/>
        <w:rPr>
          <w:rFonts w:hint="eastAsia"/>
          <w:sz w:val="30"/>
          <w:szCs w:val="30"/>
        </w:rPr>
      </w:pPr>
      <w:r>
        <w:rPr>
          <w:rFonts w:hint="eastAsia"/>
          <w:sz w:val="30"/>
          <w:szCs w:val="30"/>
        </w:rPr>
        <w:t>原审法院审理查明：</w:t>
      </w:r>
      <w:r>
        <w:rPr>
          <w:rFonts w:hint="eastAsia"/>
          <w:sz w:val="30"/>
          <w:szCs w:val="30"/>
        </w:rPr>
        <w:t>2009</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日，鸿锦公司依法成立，注册资本</w:t>
      </w:r>
      <w:r>
        <w:rPr>
          <w:rFonts w:hint="eastAsia"/>
          <w:sz w:val="30"/>
          <w:szCs w:val="30"/>
        </w:rPr>
        <w:t>50</w:t>
      </w:r>
      <w:r>
        <w:rPr>
          <w:rFonts w:hint="eastAsia"/>
          <w:sz w:val="30"/>
          <w:szCs w:val="30"/>
        </w:rPr>
        <w:t>万元，蒋荫安、焦红霞各出资</w:t>
      </w:r>
      <w:r>
        <w:rPr>
          <w:rFonts w:hint="eastAsia"/>
          <w:sz w:val="30"/>
          <w:szCs w:val="30"/>
        </w:rPr>
        <w:t>25</w:t>
      </w:r>
      <w:r>
        <w:rPr>
          <w:rFonts w:hint="eastAsia"/>
          <w:sz w:val="30"/>
          <w:szCs w:val="30"/>
        </w:rPr>
        <w:t>万元，公司经营范围：耐火材料、化工原料、五金、建材、钢材销售，耐火材料、化工结合剂生产，蒋荫安</w:t>
      </w:r>
      <w:r>
        <w:rPr>
          <w:rFonts w:hint="eastAsia"/>
          <w:sz w:val="30"/>
          <w:szCs w:val="30"/>
        </w:rPr>
        <w:t>为公司执行董事兼法定代表人，焦红霞为公司监事。公司成立后，蒋荫安委托前妻李艳群参与公司经营，蒋荫安、李艳群、焦红霞均负责联系客户、采购材料、洽谈销售价格、催收外欠货款、开具增值税发票等业务，公司开始正常经营。公司成立后双方未进行分红，未从公司账户中支出款项归个人所有。</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月开始双方陆续从公司账户中取出款项归各自所有。鸿锦公司和蒋荫安主张在</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月至</w:t>
      </w:r>
      <w:r>
        <w:rPr>
          <w:rFonts w:hint="eastAsia"/>
          <w:sz w:val="30"/>
          <w:szCs w:val="30"/>
        </w:rPr>
        <w:t>2011</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日期间双方各取得现金及承兑汇票总计</w:t>
      </w:r>
      <w:r>
        <w:rPr>
          <w:rFonts w:hint="eastAsia"/>
          <w:sz w:val="30"/>
          <w:szCs w:val="30"/>
        </w:rPr>
        <w:t>79.5</w:t>
      </w:r>
      <w:r>
        <w:rPr>
          <w:rFonts w:hint="eastAsia"/>
          <w:sz w:val="30"/>
          <w:szCs w:val="30"/>
        </w:rPr>
        <w:t>万元，焦红霞确认在此期间双方均陆续从公司账户中取得款项，但对具体金额焦红霞无法确定。</w:t>
      </w:r>
      <w:r>
        <w:rPr>
          <w:rFonts w:hint="eastAsia"/>
          <w:sz w:val="30"/>
          <w:szCs w:val="30"/>
        </w:rPr>
        <w:t>期间焦红霞曾与蒋荫安协商，要求变更鸿锦公司法定代表人为焦红霞，蒋荫安对此不同意，焦红霞自</w:t>
      </w:r>
      <w:r>
        <w:rPr>
          <w:rFonts w:hint="eastAsia"/>
          <w:sz w:val="30"/>
          <w:szCs w:val="30"/>
        </w:rPr>
        <w:t>2011</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日起不再参与鸿锦公司经营活动。</w:t>
      </w:r>
    </w:p>
    <w:p w:rsidR="00000000" w:rsidRDefault="00A401B2">
      <w:pPr>
        <w:spacing w:line="500" w:lineRule="atLeast"/>
        <w:ind w:firstLine="600"/>
        <w:divId w:val="1463381407"/>
        <w:rPr>
          <w:rFonts w:hint="eastAsia"/>
          <w:sz w:val="30"/>
          <w:szCs w:val="30"/>
        </w:rPr>
      </w:pP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日，焦红霞与其弟焦强成立永利公司，焦红霞出资</w:t>
      </w:r>
      <w:r>
        <w:rPr>
          <w:rFonts w:hint="eastAsia"/>
          <w:sz w:val="30"/>
          <w:szCs w:val="30"/>
        </w:rPr>
        <w:t>90</w:t>
      </w:r>
      <w:r>
        <w:rPr>
          <w:rFonts w:hint="eastAsia"/>
          <w:sz w:val="30"/>
          <w:szCs w:val="30"/>
        </w:rPr>
        <w:t>万元，焦强出资</w:t>
      </w:r>
      <w:r>
        <w:rPr>
          <w:rFonts w:hint="eastAsia"/>
          <w:sz w:val="30"/>
          <w:szCs w:val="30"/>
        </w:rPr>
        <w:t>10</w:t>
      </w:r>
      <w:r>
        <w:rPr>
          <w:rFonts w:hint="eastAsia"/>
          <w:sz w:val="30"/>
          <w:szCs w:val="30"/>
        </w:rPr>
        <w:t>万元，焦红霞任公司执行董事兼法定代表人，焦强为监事。公司住所地鞍山市千山区宁远镇二台子村，经营范围耐火原料、化工产品、五金、建材、钢材销售。公司成立后进行经营活动。</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日鸿锦公司和蒋荫安以焦红霞和永利公司侵犯商业秘密造成鸿锦公司经济损失为由将焦红霞和永利公司诉至法院，要求赔</w:t>
      </w:r>
      <w:r>
        <w:rPr>
          <w:rFonts w:hint="eastAsia"/>
          <w:sz w:val="30"/>
          <w:szCs w:val="30"/>
        </w:rPr>
        <w:t>偿鸿锦公司经济损失</w:t>
      </w:r>
      <w:r>
        <w:rPr>
          <w:rFonts w:hint="eastAsia"/>
          <w:sz w:val="30"/>
          <w:szCs w:val="30"/>
        </w:rPr>
        <w:t>40</w:t>
      </w:r>
      <w:r>
        <w:rPr>
          <w:rFonts w:hint="eastAsia"/>
          <w:sz w:val="30"/>
          <w:szCs w:val="30"/>
        </w:rPr>
        <w:t>万元。案件发回重审后，鸿锦公司和蒋荫安增加诉讼请求为要求焦红霞和永利公司赔偿经济损失</w:t>
      </w:r>
      <w:r>
        <w:rPr>
          <w:rFonts w:hint="eastAsia"/>
          <w:sz w:val="30"/>
          <w:szCs w:val="30"/>
        </w:rPr>
        <w:t>100</w:t>
      </w:r>
      <w:r>
        <w:rPr>
          <w:rFonts w:hint="eastAsia"/>
          <w:sz w:val="30"/>
          <w:szCs w:val="30"/>
        </w:rPr>
        <w:t>万元，其中支付蒋荫安应得利润</w:t>
      </w:r>
      <w:r>
        <w:rPr>
          <w:rFonts w:hint="eastAsia"/>
          <w:sz w:val="30"/>
          <w:szCs w:val="30"/>
        </w:rPr>
        <w:t>50</w:t>
      </w:r>
      <w:r>
        <w:rPr>
          <w:rFonts w:hint="eastAsia"/>
          <w:sz w:val="30"/>
          <w:szCs w:val="30"/>
        </w:rPr>
        <w:t>万元。</w:t>
      </w:r>
    </w:p>
    <w:p w:rsidR="00000000" w:rsidRDefault="00A401B2">
      <w:pPr>
        <w:spacing w:line="500" w:lineRule="atLeast"/>
        <w:ind w:firstLine="600"/>
        <w:divId w:val="669914716"/>
        <w:rPr>
          <w:rFonts w:hint="eastAsia"/>
          <w:sz w:val="30"/>
          <w:szCs w:val="30"/>
        </w:rPr>
      </w:pPr>
      <w:r>
        <w:rPr>
          <w:rFonts w:hint="eastAsia"/>
          <w:sz w:val="30"/>
          <w:szCs w:val="30"/>
        </w:rPr>
        <w:t>2011</w:t>
      </w:r>
      <w:r>
        <w:rPr>
          <w:rFonts w:hint="eastAsia"/>
          <w:sz w:val="30"/>
          <w:szCs w:val="30"/>
        </w:rPr>
        <w:t>年</w:t>
      </w:r>
      <w:r>
        <w:rPr>
          <w:rFonts w:hint="eastAsia"/>
          <w:sz w:val="30"/>
          <w:szCs w:val="30"/>
        </w:rPr>
        <w:t>2</w:t>
      </w:r>
      <w:r>
        <w:rPr>
          <w:rFonts w:hint="eastAsia"/>
          <w:sz w:val="30"/>
          <w:szCs w:val="30"/>
        </w:rPr>
        <w:t>月</w:t>
      </w:r>
      <w:r>
        <w:rPr>
          <w:rFonts w:hint="eastAsia"/>
          <w:sz w:val="30"/>
          <w:szCs w:val="30"/>
        </w:rPr>
        <w:t>23</w:t>
      </w:r>
      <w:r>
        <w:rPr>
          <w:rFonts w:hint="eastAsia"/>
          <w:sz w:val="30"/>
          <w:szCs w:val="30"/>
        </w:rPr>
        <w:t>日，焦红霞将其持有的永利公司</w:t>
      </w:r>
      <w:r>
        <w:rPr>
          <w:rFonts w:hint="eastAsia"/>
          <w:sz w:val="30"/>
          <w:szCs w:val="30"/>
        </w:rPr>
        <w:t>90%</w:t>
      </w:r>
      <w:r>
        <w:rPr>
          <w:rFonts w:hint="eastAsia"/>
          <w:sz w:val="30"/>
          <w:szCs w:val="30"/>
        </w:rPr>
        <w:t>的股份转让给焦强、许薇。同日，永利公司在鞍山市工商行政管理局办理变更登记手续，变更后永利公司的注册资本不变，股东焦强持有</w:t>
      </w:r>
      <w:r>
        <w:rPr>
          <w:rFonts w:hint="eastAsia"/>
          <w:sz w:val="30"/>
          <w:szCs w:val="30"/>
        </w:rPr>
        <w:t>60%</w:t>
      </w:r>
      <w:r>
        <w:rPr>
          <w:rFonts w:hint="eastAsia"/>
          <w:sz w:val="30"/>
          <w:szCs w:val="30"/>
        </w:rPr>
        <w:t>股份，许薇持有</w:t>
      </w:r>
      <w:r>
        <w:rPr>
          <w:rFonts w:hint="eastAsia"/>
          <w:sz w:val="30"/>
          <w:szCs w:val="30"/>
        </w:rPr>
        <w:t>40%</w:t>
      </w:r>
      <w:r>
        <w:rPr>
          <w:rFonts w:hint="eastAsia"/>
          <w:sz w:val="30"/>
          <w:szCs w:val="30"/>
        </w:rPr>
        <w:t>股份。焦强为公司执行董事、经理兼法定代表人，许薇为监事。</w:t>
      </w:r>
    </w:p>
    <w:p w:rsidR="00000000" w:rsidRDefault="00A401B2">
      <w:pPr>
        <w:spacing w:line="500" w:lineRule="atLeast"/>
        <w:ind w:firstLine="600"/>
        <w:divId w:val="1508445617"/>
        <w:rPr>
          <w:rFonts w:hint="eastAsia"/>
          <w:sz w:val="30"/>
          <w:szCs w:val="30"/>
        </w:rPr>
      </w:pPr>
      <w:r>
        <w:rPr>
          <w:rFonts w:hint="eastAsia"/>
          <w:sz w:val="30"/>
          <w:szCs w:val="30"/>
        </w:rPr>
        <w:t>另查，鸿锦公司向税务机关申报的增值税申报表显示</w:t>
      </w:r>
      <w:r>
        <w:rPr>
          <w:rFonts w:hint="eastAsia"/>
          <w:sz w:val="30"/>
          <w:szCs w:val="30"/>
        </w:rPr>
        <w:t>2009</w:t>
      </w:r>
      <w:r>
        <w:rPr>
          <w:rFonts w:hint="eastAsia"/>
          <w:sz w:val="30"/>
          <w:szCs w:val="30"/>
        </w:rPr>
        <w:t>年、</w:t>
      </w:r>
      <w:r>
        <w:rPr>
          <w:rFonts w:hint="eastAsia"/>
          <w:sz w:val="30"/>
          <w:szCs w:val="30"/>
        </w:rPr>
        <w:t>2010</w:t>
      </w:r>
      <w:r>
        <w:rPr>
          <w:rFonts w:hint="eastAsia"/>
          <w:sz w:val="30"/>
          <w:szCs w:val="30"/>
        </w:rPr>
        <w:t>年、</w:t>
      </w:r>
      <w:r>
        <w:rPr>
          <w:rFonts w:hint="eastAsia"/>
          <w:sz w:val="30"/>
          <w:szCs w:val="30"/>
        </w:rPr>
        <w:t>2011</w:t>
      </w:r>
      <w:r>
        <w:rPr>
          <w:rFonts w:hint="eastAsia"/>
          <w:sz w:val="30"/>
          <w:szCs w:val="30"/>
        </w:rPr>
        <w:t>年的公司销售额分别为</w:t>
      </w:r>
      <w:r>
        <w:rPr>
          <w:rFonts w:hint="eastAsia"/>
          <w:sz w:val="30"/>
          <w:szCs w:val="30"/>
        </w:rPr>
        <w:t>288</w:t>
      </w:r>
      <w:r>
        <w:rPr>
          <w:rFonts w:hint="eastAsia"/>
          <w:sz w:val="30"/>
          <w:szCs w:val="30"/>
        </w:rPr>
        <w:t>9890.18</w:t>
      </w:r>
      <w:r>
        <w:rPr>
          <w:rFonts w:hint="eastAsia"/>
          <w:sz w:val="30"/>
          <w:szCs w:val="30"/>
        </w:rPr>
        <w:t>元、</w:t>
      </w:r>
      <w:r>
        <w:rPr>
          <w:rFonts w:hint="eastAsia"/>
          <w:sz w:val="30"/>
          <w:szCs w:val="30"/>
        </w:rPr>
        <w:t>7663152.18</w:t>
      </w:r>
      <w:r>
        <w:rPr>
          <w:rFonts w:hint="eastAsia"/>
          <w:sz w:val="30"/>
          <w:szCs w:val="30"/>
        </w:rPr>
        <w:t>元、</w:t>
      </w:r>
      <w:r>
        <w:rPr>
          <w:rFonts w:hint="eastAsia"/>
          <w:sz w:val="30"/>
          <w:szCs w:val="30"/>
        </w:rPr>
        <w:t>3072856.49</w:t>
      </w:r>
      <w:r>
        <w:rPr>
          <w:rFonts w:hint="eastAsia"/>
          <w:sz w:val="30"/>
          <w:szCs w:val="30"/>
        </w:rPr>
        <w:t>元。原审法院依职权调取鞍山市铁西区国家税务局涉税证明显示，上述三年鸿锦公司每年利润总额分别为－</w:t>
      </w:r>
      <w:r>
        <w:rPr>
          <w:rFonts w:hint="eastAsia"/>
          <w:sz w:val="30"/>
          <w:szCs w:val="30"/>
        </w:rPr>
        <w:t>62643.84</w:t>
      </w:r>
      <w:r>
        <w:rPr>
          <w:rFonts w:hint="eastAsia"/>
          <w:sz w:val="30"/>
          <w:szCs w:val="30"/>
        </w:rPr>
        <w:t>元、</w:t>
      </w:r>
      <w:r>
        <w:rPr>
          <w:rFonts w:hint="eastAsia"/>
          <w:sz w:val="30"/>
          <w:szCs w:val="30"/>
        </w:rPr>
        <w:t>77531.91</w:t>
      </w:r>
      <w:r>
        <w:rPr>
          <w:rFonts w:hint="eastAsia"/>
          <w:sz w:val="30"/>
          <w:szCs w:val="30"/>
        </w:rPr>
        <w:t>元、</w:t>
      </w:r>
      <w:r>
        <w:rPr>
          <w:rFonts w:hint="eastAsia"/>
          <w:sz w:val="30"/>
          <w:szCs w:val="30"/>
        </w:rPr>
        <w:t>6300.49</w:t>
      </w:r>
      <w:r>
        <w:rPr>
          <w:rFonts w:hint="eastAsia"/>
          <w:sz w:val="30"/>
          <w:szCs w:val="30"/>
        </w:rPr>
        <w:t>元。依据鸿锦公司在上述三年内开具的增值税发票，原审法院统计出在此期间到鸿锦公司购买货物的企业共计</w:t>
      </w:r>
      <w:r>
        <w:rPr>
          <w:rFonts w:hint="eastAsia"/>
          <w:sz w:val="30"/>
          <w:szCs w:val="30"/>
        </w:rPr>
        <w:t>48</w:t>
      </w:r>
      <w:r>
        <w:rPr>
          <w:rFonts w:hint="eastAsia"/>
          <w:sz w:val="30"/>
          <w:szCs w:val="30"/>
        </w:rPr>
        <w:t>家，已查明具体的客户名单及具体采购数额。永利公司的增值税申报表显示</w:t>
      </w:r>
      <w:r>
        <w:rPr>
          <w:rFonts w:hint="eastAsia"/>
          <w:sz w:val="30"/>
          <w:szCs w:val="30"/>
        </w:rPr>
        <w:t>2010</w:t>
      </w:r>
      <w:r>
        <w:rPr>
          <w:rFonts w:hint="eastAsia"/>
          <w:sz w:val="30"/>
          <w:szCs w:val="30"/>
        </w:rPr>
        <w:t>年全年无销售额、</w:t>
      </w:r>
      <w:r>
        <w:rPr>
          <w:rFonts w:hint="eastAsia"/>
          <w:sz w:val="30"/>
          <w:szCs w:val="30"/>
        </w:rPr>
        <w:t>2011</w:t>
      </w:r>
      <w:r>
        <w:rPr>
          <w:rFonts w:hint="eastAsia"/>
          <w:sz w:val="30"/>
          <w:szCs w:val="30"/>
        </w:rPr>
        <w:t>年</w:t>
      </w:r>
      <w:r>
        <w:rPr>
          <w:rFonts w:hint="eastAsia"/>
          <w:sz w:val="30"/>
          <w:szCs w:val="30"/>
        </w:rPr>
        <w:t>1</w:t>
      </w:r>
      <w:r>
        <w:rPr>
          <w:rFonts w:hint="eastAsia"/>
          <w:sz w:val="30"/>
          <w:szCs w:val="30"/>
        </w:rPr>
        <w:t>月的销售额为</w:t>
      </w:r>
      <w:r>
        <w:rPr>
          <w:rFonts w:hint="eastAsia"/>
          <w:sz w:val="30"/>
          <w:szCs w:val="30"/>
        </w:rPr>
        <w:t>475798.31</w:t>
      </w:r>
      <w:r>
        <w:rPr>
          <w:rFonts w:hint="eastAsia"/>
          <w:sz w:val="30"/>
          <w:szCs w:val="30"/>
        </w:rPr>
        <w:t>元、</w:t>
      </w:r>
      <w:r>
        <w:rPr>
          <w:rFonts w:hint="eastAsia"/>
          <w:sz w:val="30"/>
          <w:szCs w:val="30"/>
        </w:rPr>
        <w:t>2011</w:t>
      </w:r>
      <w:r>
        <w:rPr>
          <w:rFonts w:hint="eastAsia"/>
          <w:sz w:val="30"/>
          <w:szCs w:val="30"/>
        </w:rPr>
        <w:t>年</w:t>
      </w:r>
      <w:r>
        <w:rPr>
          <w:rFonts w:hint="eastAsia"/>
          <w:sz w:val="30"/>
          <w:szCs w:val="30"/>
        </w:rPr>
        <w:t>2</w:t>
      </w:r>
      <w:r>
        <w:rPr>
          <w:rFonts w:hint="eastAsia"/>
          <w:sz w:val="30"/>
          <w:szCs w:val="30"/>
        </w:rPr>
        <w:t>月无销售额。原审法院依职权调取鞍山市国家税务直属分局企</w:t>
      </w:r>
      <w:r>
        <w:rPr>
          <w:rFonts w:hint="eastAsia"/>
          <w:sz w:val="30"/>
          <w:szCs w:val="30"/>
        </w:rPr>
        <w:t>业所得税季度纳税申报表显示，</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日永利公司累计利润总额为</w:t>
      </w:r>
      <w:r>
        <w:rPr>
          <w:rFonts w:hint="eastAsia"/>
          <w:sz w:val="30"/>
          <w:szCs w:val="30"/>
        </w:rPr>
        <w:t>-8829.58</w:t>
      </w:r>
      <w:r>
        <w:rPr>
          <w:rFonts w:hint="eastAsia"/>
          <w:sz w:val="30"/>
          <w:szCs w:val="30"/>
        </w:rPr>
        <w:t>元；</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日累计利润总额为</w:t>
      </w:r>
      <w:r>
        <w:rPr>
          <w:rFonts w:hint="eastAsia"/>
          <w:sz w:val="30"/>
          <w:szCs w:val="30"/>
        </w:rPr>
        <w:t>-53415.60</w:t>
      </w:r>
      <w:r>
        <w:rPr>
          <w:rFonts w:hint="eastAsia"/>
          <w:sz w:val="30"/>
          <w:szCs w:val="30"/>
        </w:rPr>
        <w:t>元。直属分局表示永利公司所得税按季度缴纳，因此出具的数额也是按季度统计的数据。原审法院将该数据与永利公司提交的公司财务损益表对比，公司损益表所载数据与直属分局申报表所载数据相同。永利公司损益表显示至</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日永利公司的累计利润总额为</w:t>
      </w:r>
      <w:r>
        <w:rPr>
          <w:rFonts w:hint="eastAsia"/>
          <w:sz w:val="30"/>
          <w:szCs w:val="30"/>
        </w:rPr>
        <w:t>-8829.58</w:t>
      </w:r>
      <w:r>
        <w:rPr>
          <w:rFonts w:hint="eastAsia"/>
          <w:sz w:val="30"/>
          <w:szCs w:val="30"/>
        </w:rPr>
        <w:t>元；</w:t>
      </w:r>
      <w:r>
        <w:rPr>
          <w:rFonts w:hint="eastAsia"/>
          <w:sz w:val="30"/>
          <w:szCs w:val="30"/>
        </w:rPr>
        <w:t>2011</w:t>
      </w:r>
      <w:r>
        <w:rPr>
          <w:rFonts w:hint="eastAsia"/>
          <w:sz w:val="30"/>
          <w:szCs w:val="30"/>
        </w:rPr>
        <w:t>年</w:t>
      </w:r>
      <w:r>
        <w:rPr>
          <w:rFonts w:hint="eastAsia"/>
          <w:sz w:val="30"/>
          <w:szCs w:val="30"/>
        </w:rPr>
        <w:t>1</w:t>
      </w:r>
      <w:r>
        <w:rPr>
          <w:rFonts w:hint="eastAsia"/>
          <w:sz w:val="30"/>
          <w:szCs w:val="30"/>
        </w:rPr>
        <w:t>月月利润额</w:t>
      </w:r>
      <w:r>
        <w:rPr>
          <w:rFonts w:hint="eastAsia"/>
          <w:sz w:val="30"/>
          <w:szCs w:val="30"/>
        </w:rPr>
        <w:t>68812.46</w:t>
      </w:r>
      <w:r>
        <w:rPr>
          <w:rFonts w:hint="eastAsia"/>
          <w:sz w:val="30"/>
          <w:szCs w:val="30"/>
        </w:rPr>
        <w:t>元，本年累计利润总额</w:t>
      </w:r>
      <w:r>
        <w:rPr>
          <w:rFonts w:hint="eastAsia"/>
          <w:sz w:val="30"/>
          <w:szCs w:val="30"/>
        </w:rPr>
        <w:t>68</w:t>
      </w:r>
      <w:r>
        <w:rPr>
          <w:rFonts w:hint="eastAsia"/>
          <w:sz w:val="30"/>
          <w:szCs w:val="30"/>
        </w:rPr>
        <w:t>986.05</w:t>
      </w:r>
      <w:r>
        <w:rPr>
          <w:rFonts w:hint="eastAsia"/>
          <w:sz w:val="30"/>
          <w:szCs w:val="30"/>
        </w:rPr>
        <w:t>元；</w:t>
      </w:r>
      <w:r>
        <w:rPr>
          <w:rFonts w:hint="eastAsia"/>
          <w:sz w:val="30"/>
          <w:szCs w:val="30"/>
        </w:rPr>
        <w:t>2011</w:t>
      </w:r>
      <w:r>
        <w:rPr>
          <w:rFonts w:hint="eastAsia"/>
          <w:sz w:val="30"/>
          <w:szCs w:val="30"/>
        </w:rPr>
        <w:t>年</w:t>
      </w:r>
      <w:r>
        <w:rPr>
          <w:rFonts w:hint="eastAsia"/>
          <w:sz w:val="30"/>
          <w:szCs w:val="30"/>
        </w:rPr>
        <w:t>2</w:t>
      </w:r>
      <w:r>
        <w:rPr>
          <w:rFonts w:hint="eastAsia"/>
          <w:sz w:val="30"/>
          <w:szCs w:val="30"/>
        </w:rPr>
        <w:t>月月利润额</w:t>
      </w:r>
      <w:r>
        <w:rPr>
          <w:rFonts w:hint="eastAsia"/>
          <w:sz w:val="30"/>
          <w:szCs w:val="30"/>
        </w:rPr>
        <w:t>-59658</w:t>
      </w:r>
      <w:r>
        <w:rPr>
          <w:rFonts w:hint="eastAsia"/>
          <w:sz w:val="30"/>
          <w:szCs w:val="30"/>
        </w:rPr>
        <w:t>元，本年累计利润总额</w:t>
      </w:r>
      <w:r>
        <w:rPr>
          <w:rFonts w:hint="eastAsia"/>
          <w:sz w:val="30"/>
          <w:szCs w:val="30"/>
        </w:rPr>
        <w:t>9328.05</w:t>
      </w:r>
      <w:r>
        <w:rPr>
          <w:rFonts w:hint="eastAsia"/>
          <w:sz w:val="30"/>
          <w:szCs w:val="30"/>
        </w:rPr>
        <w:t>元。</w:t>
      </w:r>
    </w:p>
    <w:p w:rsidR="00000000" w:rsidRDefault="00A401B2">
      <w:pPr>
        <w:spacing w:line="500" w:lineRule="atLeast"/>
        <w:ind w:firstLine="600"/>
        <w:divId w:val="1403334066"/>
        <w:rPr>
          <w:rFonts w:hint="eastAsia"/>
          <w:sz w:val="30"/>
          <w:szCs w:val="30"/>
        </w:rPr>
      </w:pPr>
      <w:r>
        <w:rPr>
          <w:rFonts w:hint="eastAsia"/>
          <w:sz w:val="30"/>
          <w:szCs w:val="30"/>
        </w:rPr>
        <w:t>再查，永利公司在鞍山市商业银行道西支行开立一个基本帐户。原审法院根据鸿锦公司、蒋荫安的申请调取了永利公司在</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日（成立日）至</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日（原一审查询日）期间该基本户的流水情况及银行转账凭证。依据银行出具的明细清单显示，该公司从成立至</w:t>
      </w:r>
      <w:r>
        <w:rPr>
          <w:rFonts w:hint="eastAsia"/>
          <w:sz w:val="30"/>
          <w:szCs w:val="30"/>
        </w:rPr>
        <w:t>2011</w:t>
      </w:r>
      <w:r>
        <w:rPr>
          <w:rFonts w:hint="eastAsia"/>
          <w:sz w:val="30"/>
          <w:szCs w:val="30"/>
        </w:rPr>
        <w:t>年</w:t>
      </w:r>
      <w:r>
        <w:rPr>
          <w:rFonts w:hint="eastAsia"/>
          <w:sz w:val="30"/>
          <w:szCs w:val="30"/>
        </w:rPr>
        <w:t>2</w:t>
      </w:r>
      <w:r>
        <w:rPr>
          <w:rFonts w:hint="eastAsia"/>
          <w:sz w:val="30"/>
          <w:szCs w:val="30"/>
        </w:rPr>
        <w:t>月</w:t>
      </w:r>
      <w:r>
        <w:rPr>
          <w:rFonts w:hint="eastAsia"/>
          <w:sz w:val="30"/>
          <w:szCs w:val="30"/>
        </w:rPr>
        <w:t>23</w:t>
      </w:r>
      <w:r>
        <w:rPr>
          <w:rFonts w:hint="eastAsia"/>
          <w:sz w:val="30"/>
          <w:szCs w:val="30"/>
        </w:rPr>
        <w:t>日期间共发生贷款项目</w:t>
      </w:r>
      <w:r>
        <w:rPr>
          <w:rFonts w:hint="eastAsia"/>
          <w:sz w:val="30"/>
          <w:szCs w:val="30"/>
        </w:rPr>
        <w:t>12</w:t>
      </w:r>
      <w:r>
        <w:rPr>
          <w:rFonts w:hint="eastAsia"/>
          <w:sz w:val="30"/>
          <w:szCs w:val="30"/>
        </w:rPr>
        <w:t>笔，据此统计出焦红霞在转让股权前永利公司进账款项总计</w:t>
      </w:r>
      <w:r>
        <w:rPr>
          <w:rFonts w:hint="eastAsia"/>
          <w:sz w:val="30"/>
          <w:szCs w:val="30"/>
        </w:rPr>
        <w:t>112.9164</w:t>
      </w:r>
      <w:r>
        <w:rPr>
          <w:rFonts w:hint="eastAsia"/>
          <w:sz w:val="30"/>
          <w:szCs w:val="30"/>
        </w:rPr>
        <w:t>万元。其中根据银行凭证永利公司取得的款项中有四笔交易涉及</w:t>
      </w:r>
      <w:r>
        <w:rPr>
          <w:rFonts w:hint="eastAsia"/>
          <w:sz w:val="30"/>
          <w:szCs w:val="30"/>
        </w:rPr>
        <w:t>鸿锦公司原企业客户，分别为鞍山市量子集团公司</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28</w:t>
      </w:r>
      <w:r>
        <w:rPr>
          <w:rFonts w:hint="eastAsia"/>
          <w:sz w:val="30"/>
          <w:szCs w:val="30"/>
        </w:rPr>
        <w:t>日在永利公司采购</w:t>
      </w:r>
      <w:r>
        <w:rPr>
          <w:rFonts w:hint="eastAsia"/>
          <w:sz w:val="30"/>
          <w:szCs w:val="30"/>
        </w:rPr>
        <w:t>10</w:t>
      </w:r>
      <w:r>
        <w:rPr>
          <w:rFonts w:hint="eastAsia"/>
          <w:sz w:val="30"/>
          <w:szCs w:val="30"/>
        </w:rPr>
        <w:t>万；鞍山市海润设备公司</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28</w:t>
      </w:r>
      <w:r>
        <w:rPr>
          <w:rFonts w:hint="eastAsia"/>
          <w:sz w:val="30"/>
          <w:szCs w:val="30"/>
        </w:rPr>
        <w:t>日采购</w:t>
      </w:r>
      <w:r>
        <w:rPr>
          <w:rFonts w:hint="eastAsia"/>
          <w:sz w:val="30"/>
          <w:szCs w:val="30"/>
        </w:rPr>
        <w:t>3.45</w:t>
      </w:r>
      <w:r>
        <w:rPr>
          <w:rFonts w:hint="eastAsia"/>
          <w:sz w:val="30"/>
          <w:szCs w:val="30"/>
        </w:rPr>
        <w:t>万元；岫岩龙兴耐火材料有限公司</w:t>
      </w:r>
      <w:r>
        <w:rPr>
          <w:rFonts w:hint="eastAsia"/>
          <w:sz w:val="30"/>
          <w:szCs w:val="30"/>
        </w:rPr>
        <w:t>2011</w:t>
      </w:r>
      <w:r>
        <w:rPr>
          <w:rFonts w:hint="eastAsia"/>
          <w:sz w:val="30"/>
          <w:szCs w:val="30"/>
        </w:rPr>
        <w:t>年</w:t>
      </w:r>
      <w:r>
        <w:rPr>
          <w:rFonts w:hint="eastAsia"/>
          <w:sz w:val="30"/>
          <w:szCs w:val="30"/>
        </w:rPr>
        <w:t>2</w:t>
      </w:r>
      <w:r>
        <w:rPr>
          <w:rFonts w:hint="eastAsia"/>
          <w:sz w:val="30"/>
          <w:szCs w:val="30"/>
        </w:rPr>
        <w:t>月</w:t>
      </w:r>
      <w:r>
        <w:rPr>
          <w:rFonts w:hint="eastAsia"/>
          <w:sz w:val="30"/>
          <w:szCs w:val="30"/>
        </w:rPr>
        <w:t>21</w:t>
      </w:r>
      <w:r>
        <w:rPr>
          <w:rFonts w:hint="eastAsia"/>
          <w:sz w:val="30"/>
          <w:szCs w:val="30"/>
        </w:rPr>
        <w:t>日采购</w:t>
      </w:r>
      <w:r>
        <w:rPr>
          <w:rFonts w:hint="eastAsia"/>
          <w:sz w:val="30"/>
          <w:szCs w:val="30"/>
        </w:rPr>
        <w:t>5.0354</w:t>
      </w:r>
      <w:r>
        <w:rPr>
          <w:rFonts w:hint="eastAsia"/>
          <w:sz w:val="30"/>
          <w:szCs w:val="30"/>
        </w:rPr>
        <w:t>万元；辽宁万通流体设备公司</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日采购</w:t>
      </w:r>
      <w:r>
        <w:rPr>
          <w:rFonts w:hint="eastAsia"/>
          <w:sz w:val="30"/>
          <w:szCs w:val="30"/>
        </w:rPr>
        <w:t>5.73l</w:t>
      </w:r>
      <w:r>
        <w:rPr>
          <w:rFonts w:hint="eastAsia"/>
          <w:sz w:val="30"/>
          <w:szCs w:val="30"/>
        </w:rPr>
        <w:t>万元，上述合计</w:t>
      </w:r>
      <w:r>
        <w:rPr>
          <w:rFonts w:hint="eastAsia"/>
          <w:sz w:val="30"/>
          <w:szCs w:val="30"/>
        </w:rPr>
        <w:t>24.2164</w:t>
      </w:r>
      <w:r>
        <w:rPr>
          <w:rFonts w:hint="eastAsia"/>
          <w:sz w:val="30"/>
          <w:szCs w:val="30"/>
        </w:rPr>
        <w:t>万元。依据鸿锦公司提供</w:t>
      </w:r>
      <w:r>
        <w:rPr>
          <w:rFonts w:hint="eastAsia"/>
          <w:sz w:val="30"/>
          <w:szCs w:val="30"/>
        </w:rPr>
        <w:t>48</w:t>
      </w:r>
      <w:r>
        <w:rPr>
          <w:rFonts w:hint="eastAsia"/>
          <w:sz w:val="30"/>
          <w:szCs w:val="30"/>
        </w:rPr>
        <w:t>家客户名单与银行提供的永利公司转账凭证及永利公司自行提供的客户名单，原审法院统计出永利公司在</w:t>
      </w:r>
      <w:r>
        <w:rPr>
          <w:rFonts w:hint="eastAsia"/>
          <w:sz w:val="30"/>
          <w:szCs w:val="30"/>
        </w:rPr>
        <w:t>2011</w:t>
      </w:r>
      <w:r>
        <w:rPr>
          <w:rFonts w:hint="eastAsia"/>
          <w:sz w:val="30"/>
          <w:szCs w:val="30"/>
        </w:rPr>
        <w:t>年</w:t>
      </w:r>
      <w:r>
        <w:rPr>
          <w:rFonts w:hint="eastAsia"/>
          <w:sz w:val="30"/>
          <w:szCs w:val="30"/>
        </w:rPr>
        <w:t>2</w:t>
      </w:r>
      <w:r>
        <w:rPr>
          <w:rFonts w:hint="eastAsia"/>
          <w:sz w:val="30"/>
          <w:szCs w:val="30"/>
        </w:rPr>
        <w:t>月</w:t>
      </w:r>
      <w:r>
        <w:rPr>
          <w:rFonts w:hint="eastAsia"/>
          <w:sz w:val="30"/>
          <w:szCs w:val="30"/>
        </w:rPr>
        <w:t>23</w:t>
      </w:r>
      <w:r>
        <w:rPr>
          <w:rFonts w:hint="eastAsia"/>
          <w:sz w:val="30"/>
          <w:szCs w:val="30"/>
        </w:rPr>
        <w:t>日工商变更前与鸿锦公司重合的客户共四家，在工商变更登记后，永利公司至今现有客户</w:t>
      </w:r>
      <w:r>
        <w:rPr>
          <w:rFonts w:hint="eastAsia"/>
          <w:sz w:val="30"/>
          <w:szCs w:val="30"/>
        </w:rPr>
        <w:t>64</w:t>
      </w:r>
      <w:r>
        <w:rPr>
          <w:rFonts w:hint="eastAsia"/>
          <w:sz w:val="30"/>
          <w:szCs w:val="30"/>
        </w:rPr>
        <w:t>家，</w:t>
      </w:r>
      <w:r>
        <w:rPr>
          <w:rFonts w:hint="eastAsia"/>
          <w:sz w:val="30"/>
          <w:szCs w:val="30"/>
        </w:rPr>
        <w:t>其中有</w:t>
      </w:r>
      <w:r>
        <w:rPr>
          <w:rFonts w:hint="eastAsia"/>
          <w:sz w:val="30"/>
          <w:szCs w:val="30"/>
        </w:rPr>
        <w:t>39</w:t>
      </w:r>
      <w:r>
        <w:rPr>
          <w:rFonts w:hint="eastAsia"/>
          <w:sz w:val="30"/>
          <w:szCs w:val="30"/>
        </w:rPr>
        <w:t>家与鸿锦公司的客户名称重合，客户一般为鞍山地区的耐火材料企业。在案件审理过程中，鸿锦公司最初申请对鸿锦公司、永利公司的经营情况进行审计，后变更为要求对永利公司从成立至今经营情况审计，之后又认为其提供的证据充分，按照鸿锦公司自行计算的收益率</w:t>
      </w:r>
      <w:r>
        <w:rPr>
          <w:rFonts w:hint="eastAsia"/>
          <w:sz w:val="30"/>
          <w:szCs w:val="30"/>
        </w:rPr>
        <w:t>7%</w:t>
      </w:r>
      <w:r>
        <w:rPr>
          <w:rFonts w:hint="eastAsia"/>
          <w:sz w:val="30"/>
          <w:szCs w:val="30"/>
        </w:rPr>
        <w:t>乘以永利公司的销售额计算出永利公司侵权所得收益即为鸿锦公司损失，无需审计。鉴于上述情况及案件事实且双方均未缴纳审计费用的客观情况，原审法院未组织审计。</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9</w:t>
      </w:r>
      <w:r>
        <w:rPr>
          <w:rFonts w:hint="eastAsia"/>
          <w:sz w:val="30"/>
          <w:szCs w:val="30"/>
        </w:rPr>
        <w:t>日，原审法院针对双方企业实际收益情况与纳税申报表显示的收益情况可能存在不一致的情况，向鞍山市国</w:t>
      </w:r>
      <w:r>
        <w:rPr>
          <w:rFonts w:hint="eastAsia"/>
          <w:sz w:val="30"/>
          <w:szCs w:val="30"/>
        </w:rPr>
        <w:t>税稽查局出具司法建议函，建议对鸿锦公司和永利公司的实际利润情况进行核查，但至今未收到相关的核查结果。</w:t>
      </w:r>
    </w:p>
    <w:p w:rsidR="00000000" w:rsidRDefault="00A401B2">
      <w:pPr>
        <w:spacing w:line="500" w:lineRule="atLeast"/>
        <w:ind w:firstLine="600"/>
        <w:divId w:val="410928352"/>
        <w:rPr>
          <w:rFonts w:hint="eastAsia"/>
          <w:sz w:val="30"/>
          <w:szCs w:val="30"/>
        </w:rPr>
      </w:pPr>
      <w:r>
        <w:rPr>
          <w:rFonts w:hint="eastAsia"/>
          <w:sz w:val="30"/>
          <w:szCs w:val="30"/>
        </w:rPr>
        <w:t>原审法院认为：公司的合法经营权益及股东的合法利益应受法律保护。蒋荫安与焦红霞经平等协商共同出资成立鸿锦公司，公司及股东的经营活动、合法权益应受到相关法律的保护和约束。现公司股东蒋荫安认为另一名股东焦红霞在公司经营期间违反公司章程及法律规定，对鸿锦公司及其本人（股东）造成损失并提出赔偿请求，本案案由应为控股股东、实际控制人、董事、监事、高级管理人员损害公司利益赔偿纠纷。</w:t>
      </w:r>
    </w:p>
    <w:p w:rsidR="00000000" w:rsidRDefault="00A401B2">
      <w:pPr>
        <w:spacing w:line="500" w:lineRule="atLeast"/>
        <w:ind w:firstLine="600"/>
        <w:divId w:val="1447768397"/>
        <w:rPr>
          <w:rFonts w:hint="eastAsia"/>
          <w:sz w:val="30"/>
          <w:szCs w:val="30"/>
        </w:rPr>
      </w:pPr>
      <w:r>
        <w:rPr>
          <w:rFonts w:hint="eastAsia"/>
          <w:sz w:val="30"/>
          <w:szCs w:val="30"/>
        </w:rPr>
        <w:t>关于焦红霞在担任鸿锦公司监事期间未经原</w:t>
      </w:r>
      <w:r>
        <w:rPr>
          <w:rFonts w:hint="eastAsia"/>
          <w:sz w:val="30"/>
          <w:szCs w:val="30"/>
        </w:rPr>
        <w:t>公司股东会同意自行成立永利公司的行为是否违反法定竞业禁止义务一节，鸿锦公司是经鞍山市工商行政管理局核准成立的有限责任公司，公司及其股东、公司管理人员经营活动应遵守章程及《中华人民共和国公司法》（以下简称《公司法》）的相关规定。《公司法》第四十七条、第五十条、第五十一条、第五十四条关于董事、经理、监事职权的规定，董事主要职权为执行股东会决议、决定公司经营计划等经营决策内容；经理职权为主持生产经营工作、组织实施董事决议等公司执行事务；监事职权为检查公司财务，对董事、高管人员执行公司事务的行为进行监督。鸿锦公司规</w:t>
      </w:r>
      <w:r>
        <w:rPr>
          <w:rFonts w:hint="eastAsia"/>
          <w:sz w:val="30"/>
          <w:szCs w:val="30"/>
        </w:rPr>
        <w:t>模很小，职权分工并不明确，虽在章程中记载焦红霞为监事，但实际其与蒋荫安共同参与采购、销售、经营及催收货款等企业核心工作。依据《公司法》第二百一十七条“本法下列用语的含义：（一）高级管理人员，是指公司的经理、副经理、财务负责人。上市公司董事会秘书和公司章程规定的其他人员”的规定，焦红霞的身份应为高级管理人员，其在公司工作期间不应违反上述法律规定。但焦红霞在鸿锦公司任职期间，未经鸿锦公司股东会同意，于</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日作为发起人成立永利公司并担任法定代表人执行董事兼经理，且永利公司与鸿锦公司经营同类业务。依</w:t>
      </w:r>
      <w:r>
        <w:rPr>
          <w:rFonts w:hint="eastAsia"/>
          <w:sz w:val="30"/>
          <w:szCs w:val="30"/>
        </w:rPr>
        <w:t>据《公司法》第一百四十九条“董事、高级管理人员不得有下列行为：（五）未经股东会或者股东大会同意，利用职务便利为自己或者他人谋取属于公司的商业机会，自营或者为他人经营与所任职公司同类的业务。董事、高级管理人员违反前款规定所得的收入应当归公司所有”的规定，焦红霞作为鸿锦公司高管人员期间违反竞业禁止的法定义务，应承担相应的法律责任。</w:t>
      </w:r>
    </w:p>
    <w:p w:rsidR="00000000" w:rsidRDefault="00A401B2">
      <w:pPr>
        <w:spacing w:line="500" w:lineRule="atLeast"/>
        <w:ind w:firstLine="600"/>
        <w:divId w:val="1916010951"/>
        <w:rPr>
          <w:rFonts w:hint="eastAsia"/>
          <w:sz w:val="30"/>
          <w:szCs w:val="30"/>
        </w:rPr>
      </w:pPr>
      <w:r>
        <w:rPr>
          <w:rFonts w:hint="eastAsia"/>
          <w:sz w:val="30"/>
          <w:szCs w:val="30"/>
        </w:rPr>
        <w:t>关于焦红霞及其发起设立的永利公司应承担赔偿责任的数额一节，焦红霞在</w:t>
      </w:r>
      <w:r>
        <w:rPr>
          <w:rFonts w:hint="eastAsia"/>
          <w:sz w:val="30"/>
          <w:szCs w:val="30"/>
        </w:rPr>
        <w:t>2011</w:t>
      </w:r>
      <w:r>
        <w:rPr>
          <w:rFonts w:hint="eastAsia"/>
          <w:sz w:val="30"/>
          <w:szCs w:val="30"/>
        </w:rPr>
        <w:t>年</w:t>
      </w:r>
      <w:r>
        <w:rPr>
          <w:rFonts w:hint="eastAsia"/>
          <w:sz w:val="30"/>
          <w:szCs w:val="30"/>
        </w:rPr>
        <w:t>2</w:t>
      </w:r>
      <w:r>
        <w:rPr>
          <w:rFonts w:hint="eastAsia"/>
          <w:sz w:val="30"/>
          <w:szCs w:val="30"/>
        </w:rPr>
        <w:t>月</w:t>
      </w:r>
      <w:r>
        <w:rPr>
          <w:rFonts w:hint="eastAsia"/>
          <w:sz w:val="30"/>
          <w:szCs w:val="30"/>
        </w:rPr>
        <w:t>23</w:t>
      </w:r>
      <w:r>
        <w:rPr>
          <w:rFonts w:hint="eastAsia"/>
          <w:sz w:val="30"/>
          <w:szCs w:val="30"/>
        </w:rPr>
        <w:t>日将全部股权转让给案外人焦强，变更永利公司法定代表人为焦强，并经鞍山市工商行政管理局核准登记，永利</w:t>
      </w:r>
      <w:r>
        <w:rPr>
          <w:rFonts w:hint="eastAsia"/>
          <w:sz w:val="30"/>
          <w:szCs w:val="30"/>
        </w:rPr>
        <w:t>公司作为合法成立的企业法人单位，对外经营、独立核算，是其作为经济实体应有权利，取得的合法收入是永利公司法人财产，其他人无权参与分配。但焦红霞在永利公司任职期间（</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日至</w:t>
      </w:r>
      <w:r>
        <w:rPr>
          <w:rFonts w:hint="eastAsia"/>
          <w:sz w:val="30"/>
          <w:szCs w:val="30"/>
        </w:rPr>
        <w:t>2011</w:t>
      </w:r>
      <w:r>
        <w:rPr>
          <w:rFonts w:hint="eastAsia"/>
          <w:sz w:val="30"/>
          <w:szCs w:val="30"/>
        </w:rPr>
        <w:t>年</w:t>
      </w:r>
      <w:r>
        <w:rPr>
          <w:rFonts w:hint="eastAsia"/>
          <w:sz w:val="30"/>
          <w:szCs w:val="30"/>
        </w:rPr>
        <w:t>2</w:t>
      </w:r>
      <w:r>
        <w:rPr>
          <w:rFonts w:hint="eastAsia"/>
          <w:sz w:val="30"/>
          <w:szCs w:val="30"/>
        </w:rPr>
        <w:t>月</w:t>
      </w:r>
      <w:r>
        <w:rPr>
          <w:rFonts w:hint="eastAsia"/>
          <w:sz w:val="30"/>
          <w:szCs w:val="30"/>
        </w:rPr>
        <w:t>23</w:t>
      </w:r>
      <w:r>
        <w:rPr>
          <w:rFonts w:hint="eastAsia"/>
          <w:sz w:val="30"/>
          <w:szCs w:val="30"/>
        </w:rPr>
        <w:t>日）违反法定竞业禁止规定。应承担相应的赔偿责任，因焦红霞在永利公司的应得收入没有实际取得，永利公司应承担共同赔偿责任。依据《公司法》第一百四十九条第二款的规定，焦红霞在永利公司任职期间所得收入应当归鸿锦公司所有。对于“焦红霞在永利公司任职期间的所得收入”的计算方法，鸿锦公司和蒋荫安认为焦红霞利用任职期间掌握的</w:t>
      </w:r>
      <w:r>
        <w:rPr>
          <w:rFonts w:hint="eastAsia"/>
          <w:sz w:val="30"/>
          <w:szCs w:val="30"/>
        </w:rPr>
        <w:t>鸿锦公司商业秘密，经营永利公司对鸿锦公司造成侵害，侵害行为自永利公司成立持续至今。对此鸿锦公司和蒋荫安提供的证据有鸿锦公司纳税申报表、增值税发票、保管账、销售记录、库存分货情况统计表；申请法院调取了永利公司的银行转账凭证；原审法院依职权调取的鞍山市国家税务直属分局、鞍山市铁西区国家税务局出具的涉税证明等。上述证明材料能够证明鸿锦公司在焦红霞成立新公司后其对外销售额下降，焦红霞在担任永利公司法定代表人期间在该公司采购的客户中有四家企业原来曾在鸿锦公司采购货物。但鸿锦公司未能提供永利公司与鸿锦公司销售额下降存在</w:t>
      </w:r>
      <w:r>
        <w:rPr>
          <w:rFonts w:hint="eastAsia"/>
          <w:sz w:val="30"/>
          <w:szCs w:val="30"/>
        </w:rPr>
        <w:t>因果关系证据；焦红霞采取不当手段，欺骗原有客户到永利公司采购的相关证据；亦未能提供对其造成损失数额的证据，对此原审法院依据《公司法》第一百四十九条第二款的规定，认定永利公司在焦红霞担任永利公司法定代表人期间在税务机关申报核准的总利润数额</w:t>
      </w:r>
      <w:r>
        <w:rPr>
          <w:rFonts w:hint="eastAsia"/>
          <w:sz w:val="30"/>
          <w:szCs w:val="30"/>
        </w:rPr>
        <w:t>498.47</w:t>
      </w:r>
      <w:r>
        <w:rPr>
          <w:rFonts w:hint="eastAsia"/>
          <w:sz w:val="30"/>
          <w:szCs w:val="30"/>
        </w:rPr>
        <w:t>元（</w:t>
      </w:r>
      <w:r>
        <w:rPr>
          <w:rFonts w:hint="eastAsia"/>
          <w:sz w:val="30"/>
          <w:szCs w:val="30"/>
        </w:rPr>
        <w:t>-8829.58</w:t>
      </w:r>
      <w:r>
        <w:rPr>
          <w:rFonts w:hint="eastAsia"/>
          <w:sz w:val="30"/>
          <w:szCs w:val="30"/>
        </w:rPr>
        <w:t>元＋</w:t>
      </w:r>
      <w:r>
        <w:rPr>
          <w:rFonts w:hint="eastAsia"/>
          <w:sz w:val="30"/>
          <w:szCs w:val="30"/>
        </w:rPr>
        <w:t>9328.05</w:t>
      </w:r>
      <w:r>
        <w:rPr>
          <w:rFonts w:hint="eastAsia"/>
          <w:sz w:val="30"/>
          <w:szCs w:val="30"/>
        </w:rPr>
        <w:t>元）作为赔偿鸿锦公司的损失依据。</w:t>
      </w:r>
    </w:p>
    <w:p w:rsidR="00000000" w:rsidRDefault="00A401B2">
      <w:pPr>
        <w:spacing w:line="500" w:lineRule="atLeast"/>
        <w:ind w:firstLine="600"/>
        <w:divId w:val="668026058"/>
        <w:rPr>
          <w:rFonts w:hint="eastAsia"/>
          <w:sz w:val="30"/>
          <w:szCs w:val="30"/>
        </w:rPr>
      </w:pPr>
      <w:r>
        <w:rPr>
          <w:rFonts w:hint="eastAsia"/>
          <w:sz w:val="30"/>
          <w:szCs w:val="30"/>
        </w:rPr>
        <w:t>关于鸿锦公司主张因永利公司擅自使用鸿锦公司销售客户信息，侵害鸿锦公司商业秘密至今要求进行赔偿</w:t>
      </w:r>
      <w:r>
        <w:rPr>
          <w:rFonts w:hint="eastAsia"/>
          <w:sz w:val="30"/>
          <w:szCs w:val="30"/>
        </w:rPr>
        <w:t>100</w:t>
      </w:r>
      <w:r>
        <w:rPr>
          <w:rFonts w:hint="eastAsia"/>
          <w:sz w:val="30"/>
          <w:szCs w:val="30"/>
        </w:rPr>
        <w:t>万元一节，鸿锦公司主张的商业秘密指在蒋荫安、焦红霞共同经营鸿锦公司期间，曾在鸿锦公司购买货物的</w:t>
      </w:r>
      <w:r>
        <w:rPr>
          <w:rFonts w:hint="eastAsia"/>
          <w:sz w:val="30"/>
          <w:szCs w:val="30"/>
        </w:rPr>
        <w:t>客户名称及附属的相关采购价格等信息构成的客户名单。依据《中华人民共和国反不正当竞争法》（以下简称《反不正当竞争法》）第十条“本条所称的商业秘密，是指不为公众所知悉、能为权利人带来经济利益、具有实用性并经权利人采取保密措施的技术信息和经营信息”，即认定商业秘密必须具备价值性、保密性、秘密性。客户名单在商业经营中能够给企业带来商业利益，具备价值性，但本案中鸿锦公司所称的客户名单缺乏保密性和秘密性。蒋荫安称采取保密措施，将客户名单锁放在抽屉内，但鸿锦公司代理人李艳群与其说法不一致，焦红霞对此也予以否认，鸿锦公司对</w:t>
      </w:r>
      <w:r>
        <w:rPr>
          <w:rFonts w:hint="eastAsia"/>
          <w:sz w:val="30"/>
          <w:szCs w:val="30"/>
        </w:rPr>
        <w:t>此未提供证据予以证明，故无法认定采取保密措施，缺乏保密性；秘密性指客户名单必是企业付出大量金钱、劳动，通过宣传、推荐、接触、信息回馈等手段，建立的稳定客户关系，客户名单要具有深度信息，例如客户交易习惯、购买意向、支付能力等特有信息，他人难以通过公共渠道轻易获得，使客户名单特有化，因此本案所涉客户名单缺乏秘密性；且焦红霞在与蒋荫安成立鸿锦公司之前就在鞍山市俱进耐火材料公司工作七年，对耐火材料市场比较了解，具有耐火材料行业的一般知识、经验和技能，对于该行业客户也有所了解和掌握。因此鸿锦公司的采购和销售企业客户名</w:t>
      </w:r>
      <w:r>
        <w:rPr>
          <w:rFonts w:hint="eastAsia"/>
          <w:sz w:val="30"/>
          <w:szCs w:val="30"/>
        </w:rPr>
        <w:t>单不属于法律意义上的商业秘密。但因鸿锦公司、永利公司都是销售型企业，企业本身不组织生产，主要靠低买进高卖出以获得经营利润。因此客户名单对企业具有一定的经济价值，经核对比较鸿锦公司提供的与其往来的客户名单与永利公司提供的客户名单确有部分企业相同，但这些企业大部分都是鞍山本地及周边地区的耐火材料公司。鞍山地区市场容量有限，在经营中出现部分客户重合为正常现象。鸿锦公司在未提供焦红霞擅自与鸿锦公司原客户进行欺骗性交易的相关证据情况下，仅依据双方客户部分重合即认定焦红霞私自将原告客户拉走，据此认定焦红霞侵犯其商业秘密</w:t>
      </w:r>
      <w:r>
        <w:rPr>
          <w:rFonts w:hint="eastAsia"/>
          <w:sz w:val="30"/>
          <w:szCs w:val="30"/>
        </w:rPr>
        <w:t>造成鸿锦公司损失，缺乏事实依据。依据《最高人民法院关于民事诉讼证据的若干规定》第二条“当事人对自己提出的诉讼请求所依据的事实或者反驳对方诉讼请求所依据的事实有责任提供证据加以证明。没有证据或者证据不足以证明当事人的事实主张的，由负有举证责任的当事人承担不利后果”的规定，鸿锦公司应承担相应的法律后果。而且在市场经济条件下，公司销售额下降可能存在多种原因：采购方市场行业不景气、原采购企业采购数量萎缩、其他企业销售价格较低等均能造成其销售额下降，而且销售额下降并不必然导致营业利润下降。因此，鸿锦公司的该项诉讼请求</w:t>
      </w:r>
      <w:r>
        <w:rPr>
          <w:rFonts w:hint="eastAsia"/>
          <w:sz w:val="30"/>
          <w:szCs w:val="30"/>
        </w:rPr>
        <w:t>，缺乏事实及法律依据，原审法院不予支持。</w:t>
      </w:r>
    </w:p>
    <w:p w:rsidR="00000000" w:rsidRDefault="00A401B2">
      <w:pPr>
        <w:spacing w:line="500" w:lineRule="atLeast"/>
        <w:ind w:firstLine="600"/>
        <w:divId w:val="612635452"/>
        <w:rPr>
          <w:rFonts w:hint="eastAsia"/>
          <w:sz w:val="30"/>
          <w:szCs w:val="30"/>
        </w:rPr>
      </w:pPr>
      <w:r>
        <w:rPr>
          <w:rFonts w:hint="eastAsia"/>
          <w:sz w:val="30"/>
          <w:szCs w:val="30"/>
        </w:rPr>
        <w:t>关于蒋荫安主张其作为鸿锦公司持股</w:t>
      </w:r>
      <w:r>
        <w:rPr>
          <w:rFonts w:hint="eastAsia"/>
          <w:sz w:val="30"/>
          <w:szCs w:val="30"/>
        </w:rPr>
        <w:t>50%</w:t>
      </w:r>
      <w:r>
        <w:rPr>
          <w:rFonts w:hint="eastAsia"/>
          <w:sz w:val="30"/>
          <w:szCs w:val="30"/>
        </w:rPr>
        <w:t>的股东有权获得焦红霞和永利公司给付款项的</w:t>
      </w:r>
      <w:r>
        <w:rPr>
          <w:rFonts w:hint="eastAsia"/>
          <w:sz w:val="30"/>
          <w:szCs w:val="30"/>
        </w:rPr>
        <w:t>50%</w:t>
      </w:r>
      <w:r>
        <w:rPr>
          <w:rFonts w:hint="eastAsia"/>
          <w:sz w:val="30"/>
          <w:szCs w:val="30"/>
        </w:rPr>
        <w:t>一节，鸿锦公司现合法存续，焦红霞行为损害的是鸿锦公司利益，鸿锦公司作为独立核算的法人单位，具有独立的法律人格，其取得款项后如何分配是公司内部决策事项，应由公司权力机构股东会依据公司章程及公司法的相关规定进行分配。公司及股东利益是一体的，不能出现双重赔偿，故蒋荫安的该项诉讼请求，缺乏事实及法律依据，原审法院不予支持。</w:t>
      </w:r>
    </w:p>
    <w:p w:rsidR="00000000" w:rsidRDefault="00A401B2">
      <w:pPr>
        <w:spacing w:line="500" w:lineRule="atLeast"/>
        <w:ind w:firstLine="600"/>
        <w:divId w:val="1852134783"/>
        <w:rPr>
          <w:rFonts w:hint="eastAsia"/>
          <w:sz w:val="30"/>
          <w:szCs w:val="30"/>
        </w:rPr>
      </w:pPr>
      <w:r>
        <w:rPr>
          <w:rFonts w:hint="eastAsia"/>
          <w:sz w:val="30"/>
          <w:szCs w:val="30"/>
        </w:rPr>
        <w:t>关于鸿锦公司和蒋荫安主张判令焦红霞和永利公司不得经营与起诉人相同的经</w:t>
      </w:r>
      <w:r>
        <w:rPr>
          <w:rFonts w:hint="eastAsia"/>
          <w:sz w:val="30"/>
          <w:szCs w:val="30"/>
        </w:rPr>
        <w:t>营业务一节，现永利公司工商档案显示焦红霞已经退出永利公司，不再参与经营；永利公司作为合法存续的法人单位，有权在工商管理部门核准的经营范围内对外独立经营，故鸿锦公司和蒋荫安主张焦红霞和永利公司不得经营与起诉人相同的经营业务，缺乏事实及法律依据，原审法院不予支持。关于鸿锦公司和蒋荫安主张同时判令焦红霞从鸿锦公司退股、清算一节，因本案为控股股东、实际控制人、董事、高级管理人员损害公司利益赔偿纠纷，与股东清算纠纷并非同一法律关系，原审法院不予合并审理。</w:t>
      </w:r>
    </w:p>
    <w:p w:rsidR="00000000" w:rsidRDefault="00A401B2">
      <w:pPr>
        <w:spacing w:line="500" w:lineRule="atLeast"/>
        <w:ind w:firstLine="600"/>
        <w:divId w:val="2035113523"/>
        <w:rPr>
          <w:rFonts w:hint="eastAsia"/>
          <w:sz w:val="30"/>
          <w:szCs w:val="30"/>
        </w:rPr>
      </w:pPr>
      <w:r>
        <w:rPr>
          <w:rFonts w:hint="eastAsia"/>
          <w:sz w:val="30"/>
          <w:szCs w:val="30"/>
        </w:rPr>
        <w:t>关于鸿锦公司和蒋荫安主张依据商标案件法律的解释第</w:t>
      </w:r>
      <w:r>
        <w:rPr>
          <w:rFonts w:hint="eastAsia"/>
          <w:sz w:val="30"/>
          <w:szCs w:val="30"/>
        </w:rPr>
        <w:t>17</w:t>
      </w:r>
      <w:r>
        <w:rPr>
          <w:rFonts w:hint="eastAsia"/>
          <w:sz w:val="30"/>
          <w:szCs w:val="30"/>
        </w:rPr>
        <w:t>条，焦红霞和永利公司应承担律师费、诉讼费、调查费等一节，《中华人民共和国商标法》（以下简称《商标法》）第五十六条、《最高人民法院关于审理商标民事纠纷案件适用法律若干问题的解释》第十七条是关于侵犯商标专用权的赔偿数额的认定，本案并非侵犯商标专用权案件，该项法律规定不适用于本案。故鸿锦公司和蒋荫安要求焦红霞和永利公司承担律师费、调查费等缺乏事实及法律依据，原审法院不予支持。依据《诉讼费用交纳办法》第二十九条“诉讼费由败诉方承担，胜诉方自愿承担的除外。部分胜诉、</w:t>
      </w:r>
      <w:r>
        <w:rPr>
          <w:rFonts w:hint="eastAsia"/>
          <w:sz w:val="30"/>
          <w:szCs w:val="30"/>
        </w:rPr>
        <w:t>部分败诉的，人民法院根据案件的具体情况决定当事人各自负担的诉讼费用数额”的规定，鸿锦公司和蒋荫安要求焦红霞和永利公司承担全部诉讼费的请求．缺乏事实及法律依据，原审法院不予支持。</w:t>
      </w:r>
    </w:p>
    <w:p w:rsidR="00000000" w:rsidRDefault="00A401B2">
      <w:pPr>
        <w:spacing w:line="500" w:lineRule="atLeast"/>
        <w:ind w:firstLine="600"/>
        <w:divId w:val="1958022962"/>
        <w:rPr>
          <w:rFonts w:hint="eastAsia"/>
          <w:sz w:val="30"/>
          <w:szCs w:val="30"/>
        </w:rPr>
      </w:pPr>
      <w:r>
        <w:rPr>
          <w:rFonts w:hint="eastAsia"/>
          <w:sz w:val="30"/>
          <w:szCs w:val="30"/>
        </w:rPr>
        <w:t>综上，依据《公司法》第四十七、第五十条、第五十一条、第五十四条，第一百四十九条、第二百一十七条，《反不正当竞争法》第十条，《商标法》第五十六条，《最高人民法院关于审理商标民事纠纷案件适用法律若干问题的解释》第十七条，《诉讼费用交纳办法》第二十九条的规定，判决：一、焦红霞、永利公司共同赔偿鸿锦公司经济损失</w:t>
      </w:r>
      <w:r>
        <w:rPr>
          <w:rFonts w:hint="eastAsia"/>
          <w:sz w:val="30"/>
          <w:szCs w:val="30"/>
        </w:rPr>
        <w:t>498.47</w:t>
      </w:r>
      <w:r>
        <w:rPr>
          <w:rFonts w:hint="eastAsia"/>
          <w:sz w:val="30"/>
          <w:szCs w:val="30"/>
        </w:rPr>
        <w:t>元。二、驳回蒋荫安</w:t>
      </w:r>
      <w:r>
        <w:rPr>
          <w:rFonts w:hint="eastAsia"/>
          <w:sz w:val="30"/>
          <w:szCs w:val="30"/>
        </w:rPr>
        <w:t>，鸿锦公司其他诉讼请求。焦红霞、永利公司如果未按本判决指定的期间履行给付金钱义务，应当依照《中华人民共和国民事诉讼法》第二百五十三条之规定，加倍支付迟延履行期间的债务利息。案件受理费</w:t>
      </w:r>
      <w:r>
        <w:rPr>
          <w:rFonts w:hint="eastAsia"/>
          <w:sz w:val="30"/>
          <w:szCs w:val="30"/>
        </w:rPr>
        <w:t>4300</w:t>
      </w:r>
      <w:r>
        <w:rPr>
          <w:rFonts w:hint="eastAsia"/>
          <w:sz w:val="30"/>
          <w:szCs w:val="30"/>
        </w:rPr>
        <w:t>元，由焦红霞、永利公司负担</w:t>
      </w:r>
      <w:r>
        <w:rPr>
          <w:rFonts w:hint="eastAsia"/>
          <w:sz w:val="30"/>
          <w:szCs w:val="30"/>
        </w:rPr>
        <w:t>2150</w:t>
      </w:r>
      <w:r>
        <w:rPr>
          <w:rFonts w:hint="eastAsia"/>
          <w:sz w:val="30"/>
          <w:szCs w:val="30"/>
        </w:rPr>
        <w:t>元，由鸿锦公司负担</w:t>
      </w:r>
      <w:r>
        <w:rPr>
          <w:rFonts w:hint="eastAsia"/>
          <w:sz w:val="30"/>
          <w:szCs w:val="30"/>
        </w:rPr>
        <w:t>2150</w:t>
      </w:r>
      <w:r>
        <w:rPr>
          <w:rFonts w:hint="eastAsia"/>
          <w:sz w:val="30"/>
          <w:szCs w:val="30"/>
        </w:rPr>
        <w:t>元。</w:t>
      </w:r>
    </w:p>
    <w:p w:rsidR="00000000" w:rsidRDefault="00A401B2">
      <w:pPr>
        <w:spacing w:line="500" w:lineRule="atLeast"/>
        <w:ind w:firstLine="600"/>
        <w:divId w:val="2130927428"/>
        <w:rPr>
          <w:rFonts w:hint="eastAsia"/>
          <w:sz w:val="30"/>
          <w:szCs w:val="30"/>
        </w:rPr>
      </w:pPr>
      <w:r>
        <w:rPr>
          <w:rFonts w:hint="eastAsia"/>
          <w:sz w:val="30"/>
          <w:szCs w:val="30"/>
        </w:rPr>
        <w:t>上诉人鸿锦公司和蒋荫安不服原审法院上述民事判决，向本院提起上诉称：一、一审认定事实错误：</w:t>
      </w:r>
      <w:r>
        <w:rPr>
          <w:rFonts w:hint="eastAsia"/>
          <w:sz w:val="30"/>
          <w:szCs w:val="30"/>
        </w:rPr>
        <w:t>1</w:t>
      </w:r>
      <w:r>
        <w:rPr>
          <w:rFonts w:hint="eastAsia"/>
          <w:sz w:val="30"/>
          <w:szCs w:val="30"/>
        </w:rPr>
        <w:t>、判决书中经审理查明中，一是对蒋荫安、李艳群、焦红霞三人的职责认定与事实不符，事实是焦红霞除了管理财务章外，全盘负责公司的采购、销售、开具增值税发票、月末汇总票据向会</w:t>
      </w:r>
      <w:r>
        <w:rPr>
          <w:rFonts w:hint="eastAsia"/>
          <w:sz w:val="30"/>
          <w:szCs w:val="30"/>
        </w:rPr>
        <w:t>计提供、审查公司现金往来账并定期盖章，行使公司经理的职责。焦红霞采取欺骗手段，使双方股东共收益</w:t>
      </w:r>
      <w:r>
        <w:rPr>
          <w:rFonts w:hint="eastAsia"/>
          <w:sz w:val="30"/>
          <w:szCs w:val="30"/>
        </w:rPr>
        <w:t>79.5</w:t>
      </w:r>
      <w:r>
        <w:rPr>
          <w:rFonts w:hint="eastAsia"/>
          <w:sz w:val="30"/>
          <w:szCs w:val="30"/>
        </w:rPr>
        <w:t>万元的事实存在。焦红霞要变更法人代表是</w:t>
      </w:r>
      <w:r>
        <w:rPr>
          <w:rFonts w:hint="eastAsia"/>
          <w:sz w:val="30"/>
          <w:szCs w:val="30"/>
        </w:rPr>
        <w:t>2010</w:t>
      </w:r>
      <w:r>
        <w:rPr>
          <w:rFonts w:hint="eastAsia"/>
          <w:sz w:val="30"/>
          <w:szCs w:val="30"/>
        </w:rPr>
        <w:t>年</w:t>
      </w:r>
      <w:r>
        <w:rPr>
          <w:rFonts w:hint="eastAsia"/>
          <w:sz w:val="30"/>
          <w:szCs w:val="30"/>
        </w:rPr>
        <w:t>7</w:t>
      </w:r>
      <w:r>
        <w:rPr>
          <w:rFonts w:hint="eastAsia"/>
          <w:sz w:val="30"/>
          <w:szCs w:val="30"/>
        </w:rPr>
        <w:t>月末，趁蒋荫安</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日住院手术之际，另立公司、实施侵权损害行为，而不是一审法院认为的</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月至</w:t>
      </w:r>
      <w:r>
        <w:rPr>
          <w:rFonts w:hint="eastAsia"/>
          <w:sz w:val="30"/>
          <w:szCs w:val="30"/>
        </w:rPr>
        <w:t>2011</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期间。二是焦红霞至今未与永利公司清算、仍在永利公司负责全面工作，参加同行业的各项活动。焦红霞从形式上退股，但实际仍是控股人及经营人。三是鸿锦公司增值税申报表及永利公司的增值税申报表、损益表显示的利润额等数据问题。报表反映鸿锦公</w:t>
      </w:r>
      <w:r>
        <w:rPr>
          <w:rFonts w:hint="eastAsia"/>
          <w:sz w:val="30"/>
          <w:szCs w:val="30"/>
        </w:rPr>
        <w:t>司双方经营期间有客户</w:t>
      </w:r>
      <w:r>
        <w:rPr>
          <w:rFonts w:hint="eastAsia"/>
          <w:sz w:val="30"/>
          <w:szCs w:val="30"/>
        </w:rPr>
        <w:t>48</w:t>
      </w:r>
      <w:r>
        <w:rPr>
          <w:rFonts w:hint="eastAsia"/>
          <w:sz w:val="30"/>
          <w:szCs w:val="30"/>
        </w:rPr>
        <w:t>家，报表利润与实际收益差距很大，主要原因是焦红霞将运输费含在货款中，又开具增值税发票，加大成本，减少利润，致使企业微利或亏损。永利公司报表中</w:t>
      </w:r>
      <w:r>
        <w:rPr>
          <w:rFonts w:hint="eastAsia"/>
          <w:sz w:val="30"/>
          <w:szCs w:val="30"/>
        </w:rPr>
        <w:t>2010</w:t>
      </w:r>
      <w:r>
        <w:rPr>
          <w:rFonts w:hint="eastAsia"/>
          <w:sz w:val="30"/>
          <w:szCs w:val="30"/>
        </w:rPr>
        <w:t>年</w:t>
      </w:r>
      <w:r>
        <w:rPr>
          <w:rFonts w:hint="eastAsia"/>
          <w:sz w:val="30"/>
          <w:szCs w:val="30"/>
        </w:rPr>
        <w:t>1</w:t>
      </w:r>
      <w:r>
        <w:rPr>
          <w:rFonts w:hint="eastAsia"/>
          <w:sz w:val="30"/>
          <w:szCs w:val="30"/>
        </w:rPr>
        <w:t>月经营状况是比较真实的，月销售额</w:t>
      </w:r>
      <w:r>
        <w:rPr>
          <w:rFonts w:hint="eastAsia"/>
          <w:sz w:val="30"/>
          <w:szCs w:val="30"/>
        </w:rPr>
        <w:t>475798.31</w:t>
      </w:r>
      <w:r>
        <w:rPr>
          <w:rFonts w:hint="eastAsia"/>
          <w:sz w:val="30"/>
          <w:szCs w:val="30"/>
        </w:rPr>
        <w:t>元，</w:t>
      </w:r>
      <w:r>
        <w:rPr>
          <w:rFonts w:hint="eastAsia"/>
          <w:sz w:val="30"/>
          <w:szCs w:val="30"/>
        </w:rPr>
        <w:t>1-3</w:t>
      </w:r>
      <w:r>
        <w:rPr>
          <w:rFonts w:hint="eastAsia"/>
          <w:sz w:val="30"/>
          <w:szCs w:val="30"/>
        </w:rPr>
        <w:t>月份销售额</w:t>
      </w:r>
      <w:r>
        <w:rPr>
          <w:rFonts w:hint="eastAsia"/>
          <w:sz w:val="30"/>
          <w:szCs w:val="30"/>
        </w:rPr>
        <w:t>1099630.17</w:t>
      </w:r>
      <w:r>
        <w:rPr>
          <w:rFonts w:hint="eastAsia"/>
          <w:sz w:val="30"/>
          <w:szCs w:val="30"/>
        </w:rPr>
        <w:t>元；而鸿锦公司的同期销售额</w:t>
      </w:r>
      <w:r>
        <w:rPr>
          <w:rFonts w:hint="eastAsia"/>
          <w:sz w:val="30"/>
          <w:szCs w:val="30"/>
        </w:rPr>
        <w:t>1</w:t>
      </w:r>
      <w:r>
        <w:rPr>
          <w:rFonts w:hint="eastAsia"/>
          <w:sz w:val="30"/>
          <w:szCs w:val="30"/>
        </w:rPr>
        <w:t>月份</w:t>
      </w:r>
      <w:r>
        <w:rPr>
          <w:rFonts w:hint="eastAsia"/>
          <w:sz w:val="30"/>
          <w:szCs w:val="30"/>
        </w:rPr>
        <w:t>243025.5</w:t>
      </w:r>
      <w:r>
        <w:rPr>
          <w:rFonts w:hint="eastAsia"/>
          <w:sz w:val="30"/>
          <w:szCs w:val="30"/>
        </w:rPr>
        <w:t>元，</w:t>
      </w:r>
      <w:r>
        <w:rPr>
          <w:rFonts w:hint="eastAsia"/>
          <w:sz w:val="30"/>
          <w:szCs w:val="30"/>
        </w:rPr>
        <w:t>1-3</w:t>
      </w:r>
      <w:r>
        <w:rPr>
          <w:rFonts w:hint="eastAsia"/>
          <w:sz w:val="30"/>
          <w:szCs w:val="30"/>
        </w:rPr>
        <w:t>月为</w:t>
      </w:r>
      <w:r>
        <w:rPr>
          <w:rFonts w:hint="eastAsia"/>
          <w:sz w:val="30"/>
          <w:szCs w:val="30"/>
        </w:rPr>
        <w:t>257711</w:t>
      </w:r>
      <w:r>
        <w:rPr>
          <w:rFonts w:hint="eastAsia"/>
          <w:sz w:val="30"/>
          <w:szCs w:val="30"/>
        </w:rPr>
        <w:t>元。永利公司此期间由侵害带来的销售额就是鸿锦公司因被侵害而降低的销售额。一审法院认定永利公司的利润数额与实际情况显然不符。四是一审法院认定永利公司只有</w:t>
      </w:r>
      <w:r>
        <w:rPr>
          <w:rFonts w:hint="eastAsia"/>
          <w:sz w:val="30"/>
          <w:szCs w:val="30"/>
        </w:rPr>
        <w:t>4</w:t>
      </w:r>
      <w:r>
        <w:rPr>
          <w:rFonts w:hint="eastAsia"/>
          <w:sz w:val="30"/>
          <w:szCs w:val="30"/>
        </w:rPr>
        <w:t>家客户与鸿锦公司客户</w:t>
      </w:r>
      <w:r>
        <w:rPr>
          <w:rFonts w:hint="eastAsia"/>
          <w:sz w:val="30"/>
          <w:szCs w:val="30"/>
        </w:rPr>
        <w:t>重合不符合实际，永利公司工商变更后的</w:t>
      </w:r>
      <w:r>
        <w:rPr>
          <w:rFonts w:hint="eastAsia"/>
          <w:sz w:val="30"/>
          <w:szCs w:val="30"/>
        </w:rPr>
        <w:t>64</w:t>
      </w:r>
      <w:r>
        <w:rPr>
          <w:rFonts w:hint="eastAsia"/>
          <w:sz w:val="30"/>
          <w:szCs w:val="30"/>
        </w:rPr>
        <w:t>家客户，与鸿锦公司原有的</w:t>
      </w:r>
      <w:r>
        <w:rPr>
          <w:rFonts w:hint="eastAsia"/>
          <w:sz w:val="30"/>
          <w:szCs w:val="30"/>
        </w:rPr>
        <w:t>48</w:t>
      </w:r>
      <w:r>
        <w:rPr>
          <w:rFonts w:hint="eastAsia"/>
          <w:sz w:val="30"/>
          <w:szCs w:val="30"/>
        </w:rPr>
        <w:t>家客户重合高达</w:t>
      </w:r>
      <w:r>
        <w:rPr>
          <w:rFonts w:hint="eastAsia"/>
          <w:sz w:val="30"/>
          <w:szCs w:val="30"/>
        </w:rPr>
        <w:t>39</w:t>
      </w:r>
      <w:r>
        <w:rPr>
          <w:rFonts w:hint="eastAsia"/>
          <w:sz w:val="30"/>
          <w:szCs w:val="30"/>
        </w:rPr>
        <w:t>家，也显示出永利公司对鸿锦公司造成的侵害是巨大的。五是一审法院关于审计过程的认定不完全符合事实。实际情况是鸿锦公司一直主张优先选择以永利公司对鸿锦公司造成的损失确定赔偿额。但未得到采纳，对两个公司的审计的提议，我方主张应先对永利公司进行审计，后审计鸿锦公司，一审法院提出的“无需审计”不符合实际。一审法院已知晓企业实际收益情况与纳税申报表收益情况可能存在不一致，却不等待或催促国税部门核查，草草判决。六是鸿锦公司提供</w:t>
      </w:r>
      <w:r>
        <w:rPr>
          <w:rFonts w:hint="eastAsia"/>
          <w:sz w:val="30"/>
          <w:szCs w:val="30"/>
        </w:rPr>
        <w:t>30</w:t>
      </w:r>
      <w:r>
        <w:rPr>
          <w:rFonts w:hint="eastAsia"/>
          <w:sz w:val="30"/>
          <w:szCs w:val="30"/>
        </w:rPr>
        <w:t>份证据</w:t>
      </w:r>
      <w:r>
        <w:rPr>
          <w:rFonts w:hint="eastAsia"/>
          <w:sz w:val="30"/>
          <w:szCs w:val="30"/>
        </w:rPr>
        <w:t>，一审有</w:t>
      </w:r>
      <w:r>
        <w:rPr>
          <w:rFonts w:hint="eastAsia"/>
          <w:sz w:val="30"/>
          <w:szCs w:val="30"/>
        </w:rPr>
        <w:t>5</w:t>
      </w:r>
      <w:r>
        <w:rPr>
          <w:rFonts w:hint="eastAsia"/>
          <w:sz w:val="30"/>
          <w:szCs w:val="30"/>
        </w:rPr>
        <w:t>份没有质证，</w:t>
      </w:r>
      <w:r>
        <w:rPr>
          <w:rFonts w:hint="eastAsia"/>
          <w:sz w:val="30"/>
          <w:szCs w:val="30"/>
        </w:rPr>
        <w:t>30</w:t>
      </w:r>
      <w:r>
        <w:rPr>
          <w:rFonts w:hint="eastAsia"/>
          <w:sz w:val="30"/>
          <w:szCs w:val="30"/>
        </w:rPr>
        <w:t>份证据在判决书中是否采纳未得到回应。</w:t>
      </w:r>
      <w:r>
        <w:rPr>
          <w:rFonts w:hint="eastAsia"/>
          <w:sz w:val="30"/>
          <w:szCs w:val="30"/>
        </w:rPr>
        <w:t>2</w:t>
      </w:r>
      <w:r>
        <w:rPr>
          <w:rFonts w:hint="eastAsia"/>
          <w:sz w:val="30"/>
          <w:szCs w:val="30"/>
        </w:rPr>
        <w:t>、一审判决书“本院认为”一节与事实不符。一审法院认为焦红霞仅是违反公司章程和法律规定是不全面的，实际上也违反了《反不正当竞争法》有关规定，侵害我方商业秘密，损害公司利益。永利公司股东、董事和法人代表形成一个共同连带的侵害关系，应承担连带责任，对此一审法院没有认定，助长了永利公司的侵权行为；一审法院认定“焦红霞的收入在永利公司退股时没有实际取得，永利公司应承担共同的赔偿责任”。说明焦红霞未撤资也就不需要清算，仍然是公司实际的掌控者。永利公司对鸿锦</w:t>
      </w:r>
      <w:r>
        <w:rPr>
          <w:rFonts w:hint="eastAsia"/>
          <w:sz w:val="30"/>
          <w:szCs w:val="30"/>
        </w:rPr>
        <w:t>公司的侵权行为具有连续性和持续性。近亲属之间的股权转让是为了逃避法律责任，且不能提供具体转让交易的证据，实际上焦红霞是实际控股人、经营者，其胞弟焦强只是顶明股东。一审法院仅是支持焦红霞是股东期间永利公司的利润，永利公司具体侵权造成的损失数额应按照鸿锦公司提供的证据认定，即永利公司在</w:t>
      </w:r>
      <w:r>
        <w:rPr>
          <w:rFonts w:hint="eastAsia"/>
          <w:sz w:val="30"/>
          <w:szCs w:val="30"/>
        </w:rPr>
        <w:t>2011</w:t>
      </w:r>
      <w:r>
        <w:rPr>
          <w:rFonts w:hint="eastAsia"/>
          <w:sz w:val="30"/>
          <w:szCs w:val="30"/>
        </w:rPr>
        <w:t>年</w:t>
      </w:r>
      <w:r>
        <w:rPr>
          <w:rFonts w:hint="eastAsia"/>
          <w:sz w:val="30"/>
          <w:szCs w:val="30"/>
        </w:rPr>
        <w:t>1</w:t>
      </w:r>
      <w:r>
        <w:rPr>
          <w:rFonts w:hint="eastAsia"/>
          <w:sz w:val="30"/>
          <w:szCs w:val="30"/>
        </w:rPr>
        <w:t>月份销售额达到</w:t>
      </w:r>
      <w:r>
        <w:rPr>
          <w:rFonts w:hint="eastAsia"/>
          <w:sz w:val="30"/>
          <w:szCs w:val="30"/>
        </w:rPr>
        <w:t>475798.31</w:t>
      </w:r>
      <w:r>
        <w:rPr>
          <w:rFonts w:hint="eastAsia"/>
          <w:sz w:val="30"/>
          <w:szCs w:val="30"/>
        </w:rPr>
        <w:t>元，双方经营时鸿锦公司同期销售额为</w:t>
      </w:r>
      <w:r>
        <w:rPr>
          <w:rFonts w:hint="eastAsia"/>
          <w:sz w:val="30"/>
          <w:szCs w:val="30"/>
        </w:rPr>
        <w:t>243025</w:t>
      </w:r>
      <w:r>
        <w:rPr>
          <w:rFonts w:hint="eastAsia"/>
          <w:sz w:val="30"/>
          <w:szCs w:val="30"/>
        </w:rPr>
        <w:t>元，这就是因果关系的证据。一审法院关于对焦红霞和永利公司侵权造成的损害，鸿锦公司未提供证据的问题不符合事实。一审采取不切实际的税务报表数据进</w:t>
      </w:r>
      <w:r>
        <w:rPr>
          <w:rFonts w:hint="eastAsia"/>
          <w:sz w:val="30"/>
          <w:szCs w:val="30"/>
        </w:rPr>
        <w:t>行计算违背客观事实。关于对客户名单无法认定采取保密措施的认定不符合事实。一审法院认定李艳群、蒋荫安两人说法不一致是歪曲事实，原因是有关采购、销售的信息主要由焦红霞掌控，客户信息是企业的生命，焦红霞理应遵守法定的保密责任和义务，采取保密措施。法院对鸿锦公司提出的永利公司亏损还长期坚持侵权经营的原因不予查对，有不作为和违法之嫌。关于对鸿锦公司主张焦红霞和永利公司不得经营与其相同的业务及焦红霞应从鸿锦公司退股清算不予合并审理的问题，焦红霞所谓退股及永利公司欺骗工商部门取得执照，不能抵销其违反《公司法》和《反不正当</w:t>
      </w:r>
      <w:r>
        <w:rPr>
          <w:rFonts w:hint="eastAsia"/>
          <w:sz w:val="30"/>
          <w:szCs w:val="30"/>
        </w:rPr>
        <w:t>竞争法》的规定，其应承担相应的法律责任。焦红霞在鸿锦公司经营期间的未尽事宜的赔偿责任，理应属于本案范围，应当合并审理。二、程序违法。</w:t>
      </w:r>
      <w:r>
        <w:rPr>
          <w:rFonts w:hint="eastAsia"/>
          <w:sz w:val="30"/>
          <w:szCs w:val="30"/>
        </w:rPr>
        <w:t>1</w:t>
      </w:r>
      <w:r>
        <w:rPr>
          <w:rFonts w:hint="eastAsia"/>
          <w:sz w:val="30"/>
          <w:szCs w:val="30"/>
        </w:rPr>
        <w:t>、对永利公司从成立至今的经营收入、实际收益、运输发票额度、股东焦红霞退股撤资情况的证据未调，怠于取证违法。</w:t>
      </w:r>
      <w:r>
        <w:rPr>
          <w:rFonts w:hint="eastAsia"/>
          <w:sz w:val="30"/>
          <w:szCs w:val="30"/>
        </w:rPr>
        <w:t>2</w:t>
      </w:r>
      <w:r>
        <w:rPr>
          <w:rFonts w:hint="eastAsia"/>
          <w:sz w:val="30"/>
          <w:szCs w:val="30"/>
        </w:rPr>
        <w:t>、对鸿锦公司提供的</w:t>
      </w:r>
      <w:r>
        <w:rPr>
          <w:rFonts w:hint="eastAsia"/>
          <w:sz w:val="30"/>
          <w:szCs w:val="30"/>
        </w:rPr>
        <w:t>30</w:t>
      </w:r>
      <w:r>
        <w:rPr>
          <w:rFonts w:hint="eastAsia"/>
          <w:sz w:val="30"/>
          <w:szCs w:val="30"/>
        </w:rPr>
        <w:t>个证据均未签收，</w:t>
      </w:r>
      <w:r>
        <w:rPr>
          <w:rFonts w:hint="eastAsia"/>
          <w:sz w:val="30"/>
          <w:szCs w:val="30"/>
        </w:rPr>
        <w:t>25</w:t>
      </w:r>
      <w:r>
        <w:rPr>
          <w:rFonts w:hint="eastAsia"/>
          <w:sz w:val="30"/>
          <w:szCs w:val="30"/>
        </w:rPr>
        <w:t>个质证，</w:t>
      </w:r>
      <w:r>
        <w:rPr>
          <w:rFonts w:hint="eastAsia"/>
          <w:sz w:val="30"/>
          <w:szCs w:val="30"/>
        </w:rPr>
        <w:t>5</w:t>
      </w:r>
      <w:r>
        <w:rPr>
          <w:rFonts w:hint="eastAsia"/>
          <w:sz w:val="30"/>
          <w:szCs w:val="30"/>
        </w:rPr>
        <w:t>个未质证，违反证据规则的规定。一审中提出申请千山区人民法院回避，未得到回应，违反民事诉讼法的规定。三、适用法律有误。</w:t>
      </w:r>
      <w:r>
        <w:rPr>
          <w:rFonts w:hint="eastAsia"/>
          <w:sz w:val="30"/>
          <w:szCs w:val="30"/>
        </w:rPr>
        <w:t>1</w:t>
      </w:r>
      <w:r>
        <w:rPr>
          <w:rFonts w:hint="eastAsia"/>
          <w:sz w:val="30"/>
          <w:szCs w:val="30"/>
        </w:rPr>
        <w:t>、一审法院适用《公司法》第四十七条、五十条、五十一条、五十四条，没有针对性和实用性。</w:t>
      </w:r>
      <w:r>
        <w:rPr>
          <w:rFonts w:hint="eastAsia"/>
          <w:sz w:val="30"/>
          <w:szCs w:val="30"/>
        </w:rPr>
        <w:t>2</w:t>
      </w:r>
      <w:r>
        <w:rPr>
          <w:rFonts w:hint="eastAsia"/>
          <w:sz w:val="30"/>
          <w:szCs w:val="30"/>
        </w:rPr>
        <w:t>、仅适用《公司</w:t>
      </w:r>
      <w:r>
        <w:rPr>
          <w:rFonts w:hint="eastAsia"/>
          <w:sz w:val="30"/>
          <w:szCs w:val="30"/>
        </w:rPr>
        <w:t>法》第一百四十九条（五）项，还应适用该条（四）、（七）、（八）项。</w:t>
      </w:r>
      <w:r>
        <w:rPr>
          <w:rFonts w:hint="eastAsia"/>
          <w:sz w:val="30"/>
          <w:szCs w:val="30"/>
        </w:rPr>
        <w:t>3</w:t>
      </w:r>
      <w:r>
        <w:rPr>
          <w:rFonts w:hint="eastAsia"/>
          <w:sz w:val="30"/>
          <w:szCs w:val="30"/>
        </w:rPr>
        <w:t>、一审判决适用《反不正当竞争法》第十条第五款商业秘密的定义来衡量定性鸿锦公司的信息不是商业秘密与本案事实不符。</w:t>
      </w:r>
      <w:r>
        <w:rPr>
          <w:rFonts w:hint="eastAsia"/>
          <w:sz w:val="30"/>
          <w:szCs w:val="30"/>
        </w:rPr>
        <w:t>4</w:t>
      </w:r>
      <w:r>
        <w:rPr>
          <w:rFonts w:hint="eastAsia"/>
          <w:sz w:val="30"/>
          <w:szCs w:val="30"/>
        </w:rPr>
        <w:t>、对于鸿锦公司要求焦红霞和永利公司承担律师费、诉讼费、调查费等问题，应适用《反不正当竞争法》和《商标法》，予以赔偿。</w:t>
      </w:r>
      <w:r>
        <w:rPr>
          <w:rFonts w:hint="eastAsia"/>
          <w:sz w:val="30"/>
          <w:szCs w:val="30"/>
        </w:rPr>
        <w:t>5</w:t>
      </w:r>
      <w:r>
        <w:rPr>
          <w:rFonts w:hint="eastAsia"/>
          <w:sz w:val="30"/>
          <w:szCs w:val="30"/>
        </w:rPr>
        <w:t>、一审适用《诉讼费用交纳办法》第二十九条没有事实依据。综上，请二审法院撤销一审判决，判令焦红霞和永利公司赔偿鸿锦公司经济损失</w:t>
      </w:r>
      <w:r>
        <w:rPr>
          <w:rFonts w:hint="eastAsia"/>
          <w:sz w:val="30"/>
          <w:szCs w:val="30"/>
        </w:rPr>
        <w:t>100</w:t>
      </w:r>
      <w:r>
        <w:rPr>
          <w:rFonts w:hint="eastAsia"/>
          <w:sz w:val="30"/>
          <w:szCs w:val="30"/>
        </w:rPr>
        <w:t>万元，支付蒋荫安应得利润</w:t>
      </w:r>
      <w:r>
        <w:rPr>
          <w:rFonts w:hint="eastAsia"/>
          <w:sz w:val="30"/>
          <w:szCs w:val="30"/>
        </w:rPr>
        <w:t>50</w:t>
      </w:r>
      <w:r>
        <w:rPr>
          <w:rFonts w:hint="eastAsia"/>
          <w:sz w:val="30"/>
          <w:szCs w:val="30"/>
        </w:rPr>
        <w:t>万元；判令焦红霞和永利公司停止对鸿锦公司的侵害行为，至本</w:t>
      </w:r>
      <w:r>
        <w:rPr>
          <w:rFonts w:hint="eastAsia"/>
          <w:sz w:val="30"/>
          <w:szCs w:val="30"/>
        </w:rPr>
        <w:t>案所指商业秘密为公众知悉时止，并在本案审理开庭后采取先于执行；判令焦红霞和永利公司不得经营与鸿锦公司相同的经营业务，同时判令焦红霞从鸿锦公司退股、清算；判令焦红霞和永利公司承担全部律师费、诉讼费及相关调查费。</w:t>
      </w:r>
    </w:p>
    <w:p w:rsidR="00000000" w:rsidRDefault="00A401B2">
      <w:pPr>
        <w:spacing w:line="500" w:lineRule="atLeast"/>
        <w:ind w:firstLine="600"/>
        <w:divId w:val="1258058901"/>
        <w:rPr>
          <w:rFonts w:hint="eastAsia"/>
          <w:sz w:val="30"/>
          <w:szCs w:val="30"/>
        </w:rPr>
      </w:pPr>
      <w:r>
        <w:rPr>
          <w:rFonts w:hint="eastAsia"/>
          <w:sz w:val="30"/>
          <w:szCs w:val="30"/>
        </w:rPr>
        <w:t>被上诉人焦红霞未作书面答辩，庭上辩称：一审法院判决认定事实清楚，适用法律正确。</w:t>
      </w:r>
    </w:p>
    <w:p w:rsidR="00000000" w:rsidRDefault="00A401B2">
      <w:pPr>
        <w:spacing w:line="500" w:lineRule="atLeast"/>
        <w:ind w:firstLine="600"/>
        <w:divId w:val="874854623"/>
        <w:rPr>
          <w:rFonts w:hint="eastAsia"/>
          <w:sz w:val="30"/>
          <w:szCs w:val="30"/>
        </w:rPr>
      </w:pPr>
      <w:r>
        <w:rPr>
          <w:rFonts w:hint="eastAsia"/>
          <w:sz w:val="30"/>
          <w:szCs w:val="30"/>
        </w:rPr>
        <w:t>被上诉人永利公司未作书面答辩，庭上辩称：答辩意见与焦红霞相同。</w:t>
      </w:r>
    </w:p>
    <w:p w:rsidR="00000000" w:rsidRDefault="00A401B2">
      <w:pPr>
        <w:spacing w:line="500" w:lineRule="atLeast"/>
        <w:ind w:firstLine="600"/>
        <w:divId w:val="1322000929"/>
        <w:rPr>
          <w:rFonts w:hint="eastAsia"/>
          <w:sz w:val="30"/>
          <w:szCs w:val="30"/>
        </w:rPr>
      </w:pPr>
      <w:r>
        <w:rPr>
          <w:rFonts w:hint="eastAsia"/>
          <w:sz w:val="30"/>
          <w:szCs w:val="30"/>
        </w:rPr>
        <w:t>本院二审法院查明的事实与原审法院查明的事实基本一致。</w:t>
      </w:r>
    </w:p>
    <w:p w:rsidR="00000000" w:rsidRDefault="00A401B2">
      <w:pPr>
        <w:spacing w:line="500" w:lineRule="atLeast"/>
        <w:ind w:firstLine="600"/>
        <w:divId w:val="1268079250"/>
        <w:rPr>
          <w:rFonts w:hint="eastAsia"/>
          <w:sz w:val="30"/>
          <w:szCs w:val="30"/>
        </w:rPr>
      </w:pPr>
      <w:r>
        <w:rPr>
          <w:rFonts w:hint="eastAsia"/>
          <w:sz w:val="30"/>
          <w:szCs w:val="30"/>
        </w:rPr>
        <w:t>另查明，永利公司从</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月成立至今的增值税纳税申报表和损益表显示：永利公司从成立至今的净利润额</w:t>
      </w:r>
      <w:r>
        <w:rPr>
          <w:rFonts w:hint="eastAsia"/>
          <w:sz w:val="30"/>
          <w:szCs w:val="30"/>
        </w:rPr>
        <w:t>2</w:t>
      </w:r>
      <w:r>
        <w:rPr>
          <w:rFonts w:hint="eastAsia"/>
          <w:sz w:val="30"/>
          <w:szCs w:val="30"/>
        </w:rPr>
        <w:t>010</w:t>
      </w:r>
      <w:r>
        <w:rPr>
          <w:rFonts w:hint="eastAsia"/>
          <w:sz w:val="30"/>
          <w:szCs w:val="30"/>
        </w:rPr>
        <w:t>年为</w:t>
      </w:r>
      <w:r>
        <w:rPr>
          <w:rFonts w:hint="eastAsia"/>
          <w:sz w:val="30"/>
          <w:szCs w:val="30"/>
        </w:rPr>
        <w:t>-8829.58</w:t>
      </w:r>
      <w:r>
        <w:rPr>
          <w:rFonts w:hint="eastAsia"/>
          <w:sz w:val="30"/>
          <w:szCs w:val="30"/>
        </w:rPr>
        <w:t>、</w:t>
      </w:r>
      <w:r>
        <w:rPr>
          <w:rFonts w:hint="eastAsia"/>
          <w:sz w:val="30"/>
          <w:szCs w:val="30"/>
        </w:rPr>
        <w:t>2011</w:t>
      </w:r>
      <w:r>
        <w:rPr>
          <w:rFonts w:hint="eastAsia"/>
          <w:sz w:val="30"/>
          <w:szCs w:val="30"/>
        </w:rPr>
        <w:t>年为</w:t>
      </w:r>
      <w:r>
        <w:rPr>
          <w:rFonts w:hint="eastAsia"/>
          <w:sz w:val="30"/>
          <w:szCs w:val="30"/>
        </w:rPr>
        <w:t>-23209.56</w:t>
      </w:r>
      <w:r>
        <w:rPr>
          <w:rFonts w:hint="eastAsia"/>
          <w:sz w:val="30"/>
          <w:szCs w:val="30"/>
        </w:rPr>
        <w:t>元、</w:t>
      </w:r>
      <w:r>
        <w:rPr>
          <w:rFonts w:hint="eastAsia"/>
          <w:sz w:val="30"/>
          <w:szCs w:val="30"/>
        </w:rPr>
        <w:t>2012</w:t>
      </w:r>
      <w:r>
        <w:rPr>
          <w:rFonts w:hint="eastAsia"/>
          <w:sz w:val="30"/>
          <w:szCs w:val="30"/>
        </w:rPr>
        <w:t>年为</w:t>
      </w:r>
      <w:r>
        <w:rPr>
          <w:rFonts w:hint="eastAsia"/>
          <w:sz w:val="30"/>
          <w:szCs w:val="30"/>
        </w:rPr>
        <w:t>-6722.8</w:t>
      </w:r>
      <w:r>
        <w:rPr>
          <w:rFonts w:hint="eastAsia"/>
          <w:sz w:val="30"/>
          <w:szCs w:val="30"/>
        </w:rPr>
        <w:t>元、</w:t>
      </w:r>
      <w:r>
        <w:rPr>
          <w:rFonts w:hint="eastAsia"/>
          <w:sz w:val="30"/>
          <w:szCs w:val="30"/>
        </w:rPr>
        <w:t>2013</w:t>
      </w:r>
      <w:r>
        <w:rPr>
          <w:rFonts w:hint="eastAsia"/>
          <w:sz w:val="30"/>
          <w:szCs w:val="30"/>
        </w:rPr>
        <w:t>年为</w:t>
      </w:r>
      <w:r>
        <w:rPr>
          <w:rFonts w:hint="eastAsia"/>
          <w:sz w:val="30"/>
          <w:szCs w:val="30"/>
        </w:rPr>
        <w:t>8895.59</w:t>
      </w:r>
      <w:r>
        <w:rPr>
          <w:rFonts w:hint="eastAsia"/>
          <w:sz w:val="30"/>
          <w:szCs w:val="30"/>
        </w:rPr>
        <w:t>元、</w:t>
      </w:r>
      <w:r>
        <w:rPr>
          <w:rFonts w:hint="eastAsia"/>
          <w:sz w:val="30"/>
          <w:szCs w:val="30"/>
        </w:rPr>
        <w:t>2014</w:t>
      </w:r>
      <w:r>
        <w:rPr>
          <w:rFonts w:hint="eastAsia"/>
          <w:sz w:val="30"/>
          <w:szCs w:val="30"/>
        </w:rPr>
        <w:t>年</w:t>
      </w:r>
      <w:r>
        <w:rPr>
          <w:rFonts w:hint="eastAsia"/>
          <w:sz w:val="30"/>
          <w:szCs w:val="30"/>
        </w:rPr>
        <w:t>1-4</w:t>
      </w:r>
      <w:r>
        <w:rPr>
          <w:rFonts w:hint="eastAsia"/>
          <w:sz w:val="30"/>
          <w:szCs w:val="30"/>
        </w:rPr>
        <w:t>年为</w:t>
      </w:r>
      <w:r>
        <w:rPr>
          <w:rFonts w:hint="eastAsia"/>
          <w:sz w:val="30"/>
          <w:szCs w:val="30"/>
        </w:rPr>
        <w:t>15163.68</w:t>
      </w:r>
      <w:r>
        <w:rPr>
          <w:rFonts w:hint="eastAsia"/>
          <w:sz w:val="30"/>
          <w:szCs w:val="30"/>
        </w:rPr>
        <w:t>元；而销售额分别为</w:t>
      </w:r>
      <w:r>
        <w:rPr>
          <w:rFonts w:hint="eastAsia"/>
          <w:sz w:val="30"/>
          <w:szCs w:val="30"/>
        </w:rPr>
        <w:t>2011</w:t>
      </w:r>
      <w:r>
        <w:rPr>
          <w:rFonts w:hint="eastAsia"/>
          <w:sz w:val="30"/>
          <w:szCs w:val="30"/>
        </w:rPr>
        <w:t>年</w:t>
      </w:r>
      <w:r>
        <w:rPr>
          <w:rFonts w:hint="eastAsia"/>
          <w:sz w:val="30"/>
          <w:szCs w:val="30"/>
        </w:rPr>
        <w:t>874</w:t>
      </w:r>
      <w:r>
        <w:rPr>
          <w:rFonts w:hint="eastAsia"/>
          <w:sz w:val="30"/>
          <w:szCs w:val="30"/>
        </w:rPr>
        <w:t>万元、</w:t>
      </w:r>
      <w:r>
        <w:rPr>
          <w:rFonts w:hint="eastAsia"/>
          <w:sz w:val="30"/>
          <w:szCs w:val="30"/>
        </w:rPr>
        <w:t>2012</w:t>
      </w:r>
      <w:r>
        <w:rPr>
          <w:rFonts w:hint="eastAsia"/>
          <w:sz w:val="30"/>
          <w:szCs w:val="30"/>
        </w:rPr>
        <w:t>年</w:t>
      </w:r>
      <w:r>
        <w:rPr>
          <w:rFonts w:hint="eastAsia"/>
          <w:sz w:val="30"/>
          <w:szCs w:val="30"/>
        </w:rPr>
        <w:t>936</w:t>
      </w:r>
      <w:r>
        <w:rPr>
          <w:rFonts w:hint="eastAsia"/>
          <w:sz w:val="30"/>
          <w:szCs w:val="30"/>
        </w:rPr>
        <w:t>万元、</w:t>
      </w:r>
      <w:r>
        <w:rPr>
          <w:rFonts w:hint="eastAsia"/>
          <w:sz w:val="30"/>
          <w:szCs w:val="30"/>
        </w:rPr>
        <w:t>2013</w:t>
      </w:r>
      <w:r>
        <w:rPr>
          <w:rFonts w:hint="eastAsia"/>
          <w:sz w:val="30"/>
          <w:szCs w:val="30"/>
        </w:rPr>
        <w:t>年</w:t>
      </w:r>
      <w:r>
        <w:rPr>
          <w:rFonts w:hint="eastAsia"/>
          <w:sz w:val="30"/>
          <w:szCs w:val="30"/>
        </w:rPr>
        <w:t>937</w:t>
      </w:r>
      <w:r>
        <w:rPr>
          <w:rFonts w:hint="eastAsia"/>
          <w:sz w:val="30"/>
          <w:szCs w:val="30"/>
        </w:rPr>
        <w:t>万元、</w:t>
      </w:r>
      <w:r>
        <w:rPr>
          <w:rFonts w:hint="eastAsia"/>
          <w:sz w:val="30"/>
          <w:szCs w:val="30"/>
        </w:rPr>
        <w:t>2014</w:t>
      </w:r>
      <w:r>
        <w:rPr>
          <w:rFonts w:hint="eastAsia"/>
          <w:sz w:val="30"/>
          <w:szCs w:val="30"/>
        </w:rPr>
        <w:t>年</w:t>
      </w:r>
      <w:r>
        <w:rPr>
          <w:rFonts w:hint="eastAsia"/>
          <w:sz w:val="30"/>
          <w:szCs w:val="30"/>
        </w:rPr>
        <w:t>1-4</w:t>
      </w:r>
      <w:r>
        <w:rPr>
          <w:rFonts w:hint="eastAsia"/>
          <w:sz w:val="30"/>
          <w:szCs w:val="30"/>
        </w:rPr>
        <w:t>月</w:t>
      </w:r>
      <w:r>
        <w:rPr>
          <w:rFonts w:hint="eastAsia"/>
          <w:sz w:val="30"/>
          <w:szCs w:val="30"/>
        </w:rPr>
        <w:t>188</w:t>
      </w:r>
      <w:r>
        <w:rPr>
          <w:rFonts w:hint="eastAsia"/>
          <w:sz w:val="30"/>
          <w:szCs w:val="30"/>
        </w:rPr>
        <w:t>万元。</w:t>
      </w:r>
    </w:p>
    <w:p w:rsidR="00000000" w:rsidRDefault="00A401B2">
      <w:pPr>
        <w:spacing w:line="500" w:lineRule="atLeast"/>
        <w:ind w:firstLine="600"/>
        <w:divId w:val="941719527"/>
        <w:rPr>
          <w:rFonts w:hint="eastAsia"/>
          <w:sz w:val="30"/>
          <w:szCs w:val="30"/>
        </w:rPr>
      </w:pPr>
      <w:r>
        <w:rPr>
          <w:rFonts w:hint="eastAsia"/>
          <w:sz w:val="30"/>
          <w:szCs w:val="30"/>
        </w:rPr>
        <w:t>本院二审中已向双方当事人释明，只有经审计才能确定永利公司的利润，才能确定焦红霞在永利公司的收入。鸿锦公司和蒋荫安认为对永利公司的利润，无需审计，其不主张审计，如法院认为必须审计，也表示同意，但不同意预交审计费，在向其释明如不预交审计费用，</w:t>
      </w:r>
      <w:r>
        <w:rPr>
          <w:rFonts w:hint="eastAsia"/>
          <w:sz w:val="30"/>
          <w:szCs w:val="30"/>
        </w:rPr>
        <w:t>则视为不同意审计后，其对法院释明内容不予接受。焦红霞也不同意预交审计费。</w:t>
      </w:r>
    </w:p>
    <w:p w:rsidR="00000000" w:rsidRDefault="00A401B2">
      <w:pPr>
        <w:spacing w:line="500" w:lineRule="atLeast"/>
        <w:ind w:firstLine="600"/>
        <w:divId w:val="20521006"/>
        <w:rPr>
          <w:rFonts w:hint="eastAsia"/>
          <w:sz w:val="30"/>
          <w:szCs w:val="30"/>
        </w:rPr>
      </w:pPr>
      <w:r>
        <w:rPr>
          <w:rFonts w:hint="eastAsia"/>
          <w:sz w:val="30"/>
          <w:szCs w:val="30"/>
        </w:rPr>
        <w:t>本院二审期间，鸿锦公司和蒋荫安提供：</w:t>
      </w:r>
      <w:r>
        <w:rPr>
          <w:rFonts w:hint="eastAsia"/>
          <w:sz w:val="30"/>
          <w:szCs w:val="30"/>
        </w:rPr>
        <w:t>1</w:t>
      </w:r>
      <w:r>
        <w:rPr>
          <w:rFonts w:hint="eastAsia"/>
          <w:sz w:val="30"/>
          <w:szCs w:val="30"/>
        </w:rPr>
        <w:t>、双方股东分货物情况的记载和分货时李艳华的书面证词，用以证明焦红霞和蒋荫安在未对公司清算时，两人分货的事实。</w:t>
      </w:r>
      <w:r>
        <w:rPr>
          <w:rFonts w:hint="eastAsia"/>
          <w:sz w:val="30"/>
          <w:szCs w:val="30"/>
        </w:rPr>
        <w:t>2</w:t>
      </w:r>
      <w:r>
        <w:rPr>
          <w:rFonts w:hint="eastAsia"/>
          <w:sz w:val="30"/>
          <w:szCs w:val="30"/>
        </w:rPr>
        <w:t>、录音记录、焦红霞参加购销会活动照片、牌匾照片，用以证明焦红霞仍负责永利公司采购销售、参加行业销售交流会及永利公司门市牌子上联系电话仍是焦红霞的手机号，证明焦红霞参与永利公司经营。</w:t>
      </w:r>
      <w:r>
        <w:rPr>
          <w:rFonts w:hint="eastAsia"/>
          <w:sz w:val="30"/>
          <w:szCs w:val="30"/>
        </w:rPr>
        <w:t>3</w:t>
      </w:r>
      <w:r>
        <w:rPr>
          <w:rFonts w:hint="eastAsia"/>
          <w:sz w:val="30"/>
          <w:szCs w:val="30"/>
        </w:rPr>
        <w:t>、</w:t>
      </w:r>
      <w:r>
        <w:rPr>
          <w:rFonts w:hint="eastAsia"/>
          <w:sz w:val="30"/>
          <w:szCs w:val="30"/>
        </w:rPr>
        <w:t>2011</w:t>
      </w:r>
      <w:r>
        <w:rPr>
          <w:rFonts w:hint="eastAsia"/>
          <w:sz w:val="30"/>
          <w:szCs w:val="30"/>
        </w:rPr>
        <w:t>年支付运费转账支票两张，用以证明永利公司以另行增加运费的方式增加成本。</w:t>
      </w:r>
    </w:p>
    <w:p w:rsidR="00000000" w:rsidRDefault="00A401B2">
      <w:pPr>
        <w:spacing w:line="500" w:lineRule="atLeast"/>
        <w:ind w:firstLine="600"/>
        <w:divId w:val="273758488"/>
        <w:rPr>
          <w:rFonts w:hint="eastAsia"/>
          <w:sz w:val="30"/>
          <w:szCs w:val="30"/>
        </w:rPr>
      </w:pPr>
      <w:r>
        <w:rPr>
          <w:rFonts w:hint="eastAsia"/>
          <w:sz w:val="30"/>
          <w:szCs w:val="30"/>
        </w:rPr>
        <w:t>对于证据</w:t>
      </w:r>
      <w:r>
        <w:rPr>
          <w:rFonts w:hint="eastAsia"/>
          <w:sz w:val="30"/>
          <w:szCs w:val="30"/>
        </w:rPr>
        <w:t>1</w:t>
      </w:r>
      <w:r>
        <w:rPr>
          <w:rFonts w:hint="eastAsia"/>
          <w:sz w:val="30"/>
          <w:szCs w:val="30"/>
        </w:rPr>
        <w:t>，因焦红霞承认双</w:t>
      </w:r>
      <w:r>
        <w:rPr>
          <w:rFonts w:hint="eastAsia"/>
          <w:sz w:val="30"/>
          <w:szCs w:val="30"/>
        </w:rPr>
        <w:t>方分货，故对该证据予以采信。对于证据</w:t>
      </w:r>
      <w:r>
        <w:rPr>
          <w:rFonts w:hint="eastAsia"/>
          <w:sz w:val="30"/>
          <w:szCs w:val="30"/>
        </w:rPr>
        <w:t>2</w:t>
      </w:r>
      <w:r>
        <w:rPr>
          <w:rFonts w:hint="eastAsia"/>
          <w:sz w:val="30"/>
          <w:szCs w:val="30"/>
        </w:rPr>
        <w:t>，焦红霞和永利公司认为录音无法核实真实性，参加会议不等于代表永利公司，牌匾上有电话号不能证明焦红霞在永利公司处理业务。但焦红霞和永利公司未能提供反驳证据，结合本案其他证据能够证明焦红霞在永利公司变更法定代表人后仍参与永利公司的经营，对于证据</w:t>
      </w:r>
      <w:r>
        <w:rPr>
          <w:rFonts w:hint="eastAsia"/>
          <w:sz w:val="30"/>
          <w:szCs w:val="30"/>
        </w:rPr>
        <w:t>2</w:t>
      </w:r>
      <w:r>
        <w:rPr>
          <w:rFonts w:hint="eastAsia"/>
          <w:sz w:val="30"/>
          <w:szCs w:val="30"/>
        </w:rPr>
        <w:t>本院予以采信。对于证据</w:t>
      </w:r>
      <w:r>
        <w:rPr>
          <w:rFonts w:hint="eastAsia"/>
          <w:sz w:val="30"/>
          <w:szCs w:val="30"/>
        </w:rPr>
        <w:t>3</w:t>
      </w:r>
      <w:r>
        <w:rPr>
          <w:rFonts w:hint="eastAsia"/>
          <w:sz w:val="30"/>
          <w:szCs w:val="30"/>
        </w:rPr>
        <w:t>，可说明公司利润与实际情况不符，该证据存在一定合理性，故认可对于公司利润与实际情况是否相符需经审计确认。</w:t>
      </w:r>
    </w:p>
    <w:p w:rsidR="00000000" w:rsidRDefault="00A401B2">
      <w:pPr>
        <w:spacing w:line="500" w:lineRule="atLeast"/>
        <w:ind w:firstLine="600"/>
        <w:divId w:val="1726100305"/>
        <w:rPr>
          <w:rFonts w:hint="eastAsia"/>
          <w:sz w:val="30"/>
          <w:szCs w:val="30"/>
        </w:rPr>
      </w:pPr>
      <w:r>
        <w:rPr>
          <w:rFonts w:hint="eastAsia"/>
          <w:sz w:val="30"/>
          <w:szCs w:val="30"/>
        </w:rPr>
        <w:t>对于上诉人提出的一审中未质证的所谓证据</w:t>
      </w:r>
      <w:r>
        <w:rPr>
          <w:rFonts w:hint="eastAsia"/>
          <w:sz w:val="30"/>
          <w:szCs w:val="30"/>
        </w:rPr>
        <w:t>1</w:t>
      </w:r>
      <w:r>
        <w:rPr>
          <w:rFonts w:hint="eastAsia"/>
          <w:sz w:val="30"/>
          <w:szCs w:val="30"/>
        </w:rPr>
        <w:t>即</w:t>
      </w:r>
      <w:r>
        <w:rPr>
          <w:rFonts w:hint="eastAsia"/>
          <w:sz w:val="30"/>
          <w:szCs w:val="30"/>
        </w:rPr>
        <w:t>2009</w:t>
      </w:r>
      <w:r>
        <w:rPr>
          <w:rFonts w:hint="eastAsia"/>
          <w:sz w:val="30"/>
          <w:szCs w:val="30"/>
        </w:rPr>
        <w:t>年—</w:t>
      </w:r>
      <w:r>
        <w:rPr>
          <w:rFonts w:hint="eastAsia"/>
          <w:sz w:val="30"/>
          <w:szCs w:val="30"/>
        </w:rPr>
        <w:t>2011</w:t>
      </w:r>
      <w:r>
        <w:rPr>
          <w:rFonts w:hint="eastAsia"/>
          <w:sz w:val="30"/>
          <w:szCs w:val="30"/>
        </w:rPr>
        <w:t>年双方经营相关</w:t>
      </w:r>
      <w:r>
        <w:rPr>
          <w:rFonts w:hint="eastAsia"/>
          <w:sz w:val="30"/>
          <w:szCs w:val="30"/>
        </w:rPr>
        <w:t>19</w:t>
      </w:r>
      <w:r>
        <w:rPr>
          <w:rFonts w:hint="eastAsia"/>
          <w:sz w:val="30"/>
          <w:szCs w:val="30"/>
        </w:rPr>
        <w:t>家客户情况，用以证明两</w:t>
      </w:r>
      <w:r>
        <w:rPr>
          <w:rFonts w:hint="eastAsia"/>
          <w:sz w:val="30"/>
          <w:szCs w:val="30"/>
        </w:rPr>
        <w:t>公司经营期间存在客户重合问题，因客户重合客观存在，对该证据本院予以采信；证据</w:t>
      </w:r>
      <w:r>
        <w:rPr>
          <w:rFonts w:hint="eastAsia"/>
          <w:sz w:val="30"/>
          <w:szCs w:val="30"/>
        </w:rPr>
        <w:t>2</w:t>
      </w:r>
      <w:r>
        <w:rPr>
          <w:rFonts w:hint="eastAsia"/>
          <w:sz w:val="30"/>
          <w:szCs w:val="30"/>
        </w:rPr>
        <w:t>即关于赔偿计算方法的选择和证据</w:t>
      </w:r>
      <w:r>
        <w:rPr>
          <w:rFonts w:hint="eastAsia"/>
          <w:sz w:val="30"/>
          <w:szCs w:val="30"/>
        </w:rPr>
        <w:t>3</w:t>
      </w:r>
      <w:r>
        <w:rPr>
          <w:rFonts w:hint="eastAsia"/>
          <w:sz w:val="30"/>
          <w:szCs w:val="30"/>
        </w:rPr>
        <w:t>即关于重审庭审中被起诉人虚假问题的几点说明，因均系鸿锦公司和蒋荫安的观点，不属于本案证据，不应作为证据使用；证据</w:t>
      </w:r>
      <w:r>
        <w:rPr>
          <w:rFonts w:hint="eastAsia"/>
          <w:sz w:val="30"/>
          <w:szCs w:val="30"/>
        </w:rPr>
        <w:t>4</w:t>
      </w:r>
      <w:r>
        <w:rPr>
          <w:rFonts w:hint="eastAsia"/>
          <w:sz w:val="30"/>
          <w:szCs w:val="30"/>
        </w:rPr>
        <w:t>即鸿锦公司经营期间的付款发票，用以证明利润与实际不符，和证据</w:t>
      </w:r>
      <w:r>
        <w:rPr>
          <w:rFonts w:hint="eastAsia"/>
          <w:sz w:val="30"/>
          <w:szCs w:val="30"/>
        </w:rPr>
        <w:t>5</w:t>
      </w:r>
      <w:r>
        <w:rPr>
          <w:rFonts w:hint="eastAsia"/>
          <w:sz w:val="30"/>
          <w:szCs w:val="30"/>
        </w:rPr>
        <w:t>即永利公司一票制采购部分单位录音情况，用以证明增加成本及利润和实际不符，因二证据均可说明公司利润与实际情况不符，故二证据均存在一定合理性，故认可对于公司利润与实际情况是否相符需经审计确认。</w:t>
      </w:r>
    </w:p>
    <w:p w:rsidR="00000000" w:rsidRDefault="00A401B2">
      <w:pPr>
        <w:spacing w:line="500" w:lineRule="atLeast"/>
        <w:ind w:firstLine="600"/>
        <w:divId w:val="984775444"/>
        <w:rPr>
          <w:rFonts w:hint="eastAsia"/>
          <w:sz w:val="30"/>
          <w:szCs w:val="30"/>
        </w:rPr>
      </w:pPr>
      <w:r>
        <w:rPr>
          <w:rFonts w:hint="eastAsia"/>
          <w:sz w:val="30"/>
          <w:szCs w:val="30"/>
        </w:rPr>
        <w:t>本院二审认为，公司及股东的合法利益受</w:t>
      </w:r>
      <w:r>
        <w:rPr>
          <w:rFonts w:hint="eastAsia"/>
          <w:sz w:val="30"/>
          <w:szCs w:val="30"/>
        </w:rPr>
        <w:t>法律保护。蒋荫安与焦红霞共同出资依法成立鸿锦公司，公司及股东的经营活动、合法权益均应受到法律的保护和约束。依据《公司法》第二百一十七条“本法下列用语的含义：（一）高级管理人员，是指公司的经理、副经理、财务负责人。上市公司董事会秘书和公司章程规定的其他人员”的规定，尽管蒋荫安为鸿锦公司的执行董事，焦红霞担任监事，但实际上焦红霞在公司负责采购、销售、经营及催收货款等企业核心工作，承担了公司高级管理人员的职责，故焦红霞属公司高级管理人员。其未经鸿锦公司同意，于</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21</w:t>
      </w:r>
      <w:r>
        <w:rPr>
          <w:rFonts w:hint="eastAsia"/>
          <w:sz w:val="30"/>
          <w:szCs w:val="30"/>
        </w:rPr>
        <w:t>日作为发起人成立永利公司，并担任法</w:t>
      </w:r>
      <w:r>
        <w:rPr>
          <w:rFonts w:hint="eastAsia"/>
          <w:sz w:val="30"/>
          <w:szCs w:val="30"/>
        </w:rPr>
        <w:t>定代表人执行董事兼经理，与鸿锦公司经营同类业务的情形。符合《公司法》关于竞业禁止及任职的有关规定。尽管焦红霞在</w:t>
      </w:r>
      <w:r>
        <w:rPr>
          <w:rFonts w:hint="eastAsia"/>
          <w:sz w:val="30"/>
          <w:szCs w:val="30"/>
        </w:rPr>
        <w:t>2011</w:t>
      </w:r>
      <w:r>
        <w:rPr>
          <w:rFonts w:hint="eastAsia"/>
          <w:sz w:val="30"/>
          <w:szCs w:val="30"/>
        </w:rPr>
        <w:t>年</w:t>
      </w:r>
      <w:r>
        <w:rPr>
          <w:rFonts w:hint="eastAsia"/>
          <w:sz w:val="30"/>
          <w:szCs w:val="30"/>
        </w:rPr>
        <w:t>2</w:t>
      </w:r>
      <w:r>
        <w:rPr>
          <w:rFonts w:hint="eastAsia"/>
          <w:sz w:val="30"/>
          <w:szCs w:val="30"/>
        </w:rPr>
        <w:t>月</w:t>
      </w:r>
      <w:r>
        <w:rPr>
          <w:rFonts w:hint="eastAsia"/>
          <w:sz w:val="30"/>
          <w:szCs w:val="30"/>
        </w:rPr>
        <w:t>23</w:t>
      </w:r>
      <w:r>
        <w:rPr>
          <w:rFonts w:hint="eastAsia"/>
          <w:sz w:val="30"/>
          <w:szCs w:val="30"/>
        </w:rPr>
        <w:t>日以协议约定，将自己持有的全部股权转让给焦强，并经鞍山市工商行政管理局变更永利公司法定代表人为焦强，但永利公司及焦红霞在数次庭审中，均未能提供充分有效的证据，证明焦红霞收到了退股撤资款</w:t>
      </w:r>
      <w:r>
        <w:rPr>
          <w:rFonts w:hint="eastAsia"/>
          <w:sz w:val="30"/>
          <w:szCs w:val="30"/>
        </w:rPr>
        <w:t>90</w:t>
      </w:r>
      <w:r>
        <w:rPr>
          <w:rFonts w:hint="eastAsia"/>
          <w:sz w:val="30"/>
          <w:szCs w:val="30"/>
        </w:rPr>
        <w:t>万元，且永利公司也承认焦红霞在工商登记变更后，仍然一直负责永利公司的债务清理，没有离开公司。此行为从实质上仍然符合竞业禁止情形。从鸿锦公司提供的录音和照片证据也显示，焦红霞一直在永利公司经营与其所</w:t>
      </w:r>
      <w:r>
        <w:rPr>
          <w:rFonts w:hint="eastAsia"/>
          <w:sz w:val="30"/>
          <w:szCs w:val="30"/>
        </w:rPr>
        <w:t>任职的鸿锦公司同类的业务，其对鸿锦公司利益的侵害持续至今。依据《公司法》第一百四十九条“董事、高级管理人员不得有下列行为：（五）未经股东会或者股东大会同意，利用职务便利为自己或者他人谋取属于公司的商业机会，自营或者为他人经营与所任职公司同类的业务。董事、高级管理人员违反前款规定所得的收入应当归公司所有”的规定，焦红霞在担任鸿锦公司高级管理人员期间违反竞业禁止的法定义务，应承担相应的法律责任。因该条款并未规定公司承担责任，而永利公司是经工商部门核准的法人单位，其在经营许可范围内经营，并未违反法律规定，二上诉人</w:t>
      </w:r>
      <w:r>
        <w:rPr>
          <w:rFonts w:hint="eastAsia"/>
          <w:sz w:val="30"/>
          <w:szCs w:val="30"/>
        </w:rPr>
        <w:t>要求永利公司承担共同赔偿责任没有法律依据，故永利公司不应承担赔偿责任。</w:t>
      </w:r>
    </w:p>
    <w:p w:rsidR="00000000" w:rsidRDefault="00A401B2">
      <w:pPr>
        <w:spacing w:line="500" w:lineRule="atLeast"/>
        <w:ind w:firstLine="600"/>
        <w:divId w:val="1782720647"/>
        <w:rPr>
          <w:rFonts w:hint="eastAsia"/>
          <w:sz w:val="30"/>
          <w:szCs w:val="30"/>
        </w:rPr>
      </w:pPr>
      <w:r>
        <w:rPr>
          <w:rFonts w:hint="eastAsia"/>
          <w:sz w:val="30"/>
          <w:szCs w:val="30"/>
        </w:rPr>
        <w:t>关于焦红霞是否应承担将其从永利公司所得收入返还鸿锦公司责任一节。本院二审认为，依据《公司法》第一百四十九条第二款“董事、高级管理人员违反前款规定所得的收入应当归公司所有”的规定，焦红霞应将其出现竞业禁止行为期间在永利公司的收入返还给鸿锦公司。虽然一审法院也注意到永利公司实际收益与纳税申报表显示的收益可能存在不一致的情况，因故未能予以审计，也虽曾向鞍山市国税稽查局出函，建议对两公司的实际利润情况进行核查，但未待出具核查结果，即以永利公司在</w:t>
      </w:r>
      <w:r>
        <w:rPr>
          <w:rFonts w:hint="eastAsia"/>
          <w:sz w:val="30"/>
          <w:szCs w:val="30"/>
        </w:rPr>
        <w:t>税务机关申报表上的利润数额作为赔偿鸿锦公司损失为依据。从报表看，永利公司作为以营利为目的的企业法人从成立至今的净利润额为负值，而几年的销售额为</w:t>
      </w:r>
      <w:r>
        <w:rPr>
          <w:rFonts w:hint="eastAsia"/>
          <w:sz w:val="30"/>
          <w:szCs w:val="30"/>
        </w:rPr>
        <w:t>2935</w:t>
      </w:r>
      <w:r>
        <w:rPr>
          <w:rFonts w:hint="eastAsia"/>
          <w:sz w:val="30"/>
          <w:szCs w:val="30"/>
        </w:rPr>
        <w:t>万元，对于一个由两个自然人组成的主要靠低买高卖获取利润的销售型企业，如此高的销售额，又连年亏损，却继续经营，说明该企业实际收益情况与纳税申报表显示的收益情况不符，故报表显示的利润数额不能作为永利公司的利润，也不宜作为确定焦红霞在永利公司的收入。对于鸿锦公司和蒋荫安提出的计算方法，焦红霞和永利公司亦不认可。鉴于上述情况，本院二审中已向双方当事人释明，只有经审计才</w:t>
      </w:r>
      <w:r>
        <w:rPr>
          <w:rFonts w:hint="eastAsia"/>
          <w:sz w:val="30"/>
          <w:szCs w:val="30"/>
        </w:rPr>
        <w:t>能确定永利公司的利润，才能确定焦红霞在永利公司的收入。鉴于双方当事人均不预交审计费的情况，承办人认为，现无法确定焦红霞在永利公司的实际收入，应待鞍山市国税稽查局对永利公司的实际利润核查出结果或鸿锦公司及蒋荫安能够提供确切证据证明焦红霞在永利公司的具体收入情况下，可再行提起诉讼解决。</w:t>
      </w:r>
    </w:p>
    <w:p w:rsidR="00000000" w:rsidRDefault="00A401B2">
      <w:pPr>
        <w:spacing w:line="500" w:lineRule="atLeast"/>
        <w:ind w:firstLine="600"/>
        <w:divId w:val="1750731609"/>
        <w:rPr>
          <w:rFonts w:hint="eastAsia"/>
          <w:sz w:val="30"/>
          <w:szCs w:val="30"/>
        </w:rPr>
      </w:pPr>
      <w:r>
        <w:rPr>
          <w:rFonts w:hint="eastAsia"/>
          <w:sz w:val="30"/>
          <w:szCs w:val="30"/>
        </w:rPr>
        <w:t>关于蒋荫安主张其作为鸿锦公司股东，有权获得焦红霞应赔偿鸿锦公司款项的</w:t>
      </w:r>
      <w:r>
        <w:rPr>
          <w:rFonts w:hint="eastAsia"/>
          <w:sz w:val="30"/>
          <w:szCs w:val="30"/>
        </w:rPr>
        <w:t>50%</w:t>
      </w:r>
      <w:r>
        <w:rPr>
          <w:rFonts w:hint="eastAsia"/>
          <w:sz w:val="30"/>
          <w:szCs w:val="30"/>
        </w:rPr>
        <w:t>一节。因焦红霞竞业禁止行为损害的是鸿锦公司的利益，鸿锦公司作为独立核算的法人单位，具有独立的法律人格。鸿锦公司在取得赔偿款项后如何分配是其公司内部的决策事</w:t>
      </w:r>
      <w:r>
        <w:rPr>
          <w:rFonts w:hint="eastAsia"/>
          <w:sz w:val="30"/>
          <w:szCs w:val="30"/>
        </w:rPr>
        <w:t>宜，属蒋荫安与鸿锦公司之间就公司利润分配而产生的另一法律关系，并非本案审理范围，故蒋荫安的该项主张，缺乏事实及法律依据，不予支持。</w:t>
      </w:r>
    </w:p>
    <w:p w:rsidR="00000000" w:rsidRDefault="00A401B2">
      <w:pPr>
        <w:spacing w:line="500" w:lineRule="atLeast"/>
        <w:ind w:firstLine="600"/>
        <w:divId w:val="1925675931"/>
        <w:rPr>
          <w:rFonts w:hint="eastAsia"/>
          <w:sz w:val="30"/>
          <w:szCs w:val="30"/>
        </w:rPr>
      </w:pPr>
      <w:r>
        <w:rPr>
          <w:rFonts w:hint="eastAsia"/>
          <w:sz w:val="30"/>
          <w:szCs w:val="30"/>
        </w:rPr>
        <w:t>关于鸿锦公司主张因永利公司擅自使用鸿锦公司销售客户信息，侵害鸿锦公司商业秘密至今，要求永利公司赔偿，并判令停止对鸿锦公司的侵害行为至本案所指商业秘密为公众知悉时为止，并在本案审理开庭后应采取先予执行一节。经查，鸿锦公司认为其所述的商业秘密，是指在蒋荫安、焦红霞共同经营鸿锦公司期间，曾在鸿锦公司购买货物的客户名称，及相关附属的采购价格等信息构成的客户名单。本院二审认为，依据《反不</w:t>
      </w:r>
      <w:r>
        <w:rPr>
          <w:rFonts w:hint="eastAsia"/>
          <w:sz w:val="30"/>
          <w:szCs w:val="30"/>
        </w:rPr>
        <w:t>正当竞争法》第十条“本条所称的商业秘密，是指不为公众所知悉、能为权利人带来经济利益、具有实用性并经权利人采取保密措施的技术信息和经营信息”的规定，商业秘密必须同时具备价值性、秘密性和保密性。客户名单在商业经营中虽然能够给企业带来商业利益，具备价值性，但具有秘密性的客户名单，不能单纯是客户名称、联系方式的列举，而应该包括客户的需求类型、需求习惯、经营规律、对商品价格的承受能力等客户信息的综合载体；如该客户名单上所承载的信息能够被其他不特定的人通过正常交往途径或一般媒介即可获得，则该客户名单不具有秘密性。由于行</w:t>
      </w:r>
      <w:r>
        <w:rPr>
          <w:rFonts w:hint="eastAsia"/>
          <w:sz w:val="30"/>
          <w:szCs w:val="30"/>
        </w:rPr>
        <w:t>业竞争激烈，客户为了获得更优惠的价格和服务，往往会主动与其他企业联系，对比质量、价格，这些都客观上决定了客户名称和价格等信息是处于公知状态的，完全不需要通过侵权手段就可以合法获取，而焦红霞的客户名单仅仅记载客户名称、联系方式及相应价格，因此不具有秘密性，且焦红霞在与蒋荫安成立鸿锦公司之前，就在鞍山市俱进耐火材料公司工作七年，对耐火材料市场比较了解，对于该行业的客户信息已有所了解和掌握。因此鸿锦公司的采购和销售企业客户名单不属于法律意义上的商业秘密。依据《关于禁止侵犯商业秘密行为的若干规定》中所称采取保密措施</w:t>
      </w:r>
      <w:r>
        <w:rPr>
          <w:rFonts w:hint="eastAsia"/>
          <w:sz w:val="30"/>
          <w:szCs w:val="30"/>
        </w:rPr>
        <w:t>，“包括订立保密协议，建立保密制度及采取其他合理的保密措施”的规定，鸿锦公司和蒋荫安未能举证证明鸿锦公司针对焦红霞持有的客户信息制定了相关保密制度或与公司员工签订了保密协议，明确禁止员工泄漏客户信息、以及采取其他保护客户信息的技术手段，仅以焦红霞将客户信息锁在办公抽屉内即视为采取保密措施，缺乏事实和法律依据，该客户信息也不具备保密性，故对鸿锦公司和蒋荫安该项主张，不予支持。</w:t>
      </w:r>
    </w:p>
    <w:p w:rsidR="00000000" w:rsidRDefault="00A401B2">
      <w:pPr>
        <w:spacing w:line="500" w:lineRule="atLeast"/>
        <w:ind w:firstLine="600"/>
        <w:divId w:val="440731918"/>
        <w:rPr>
          <w:rFonts w:hint="eastAsia"/>
          <w:sz w:val="30"/>
          <w:szCs w:val="30"/>
        </w:rPr>
      </w:pPr>
      <w:r>
        <w:rPr>
          <w:rFonts w:hint="eastAsia"/>
          <w:sz w:val="30"/>
          <w:szCs w:val="30"/>
        </w:rPr>
        <w:t>关于鸿锦公司和蒋荫安主张判令焦红霞和永利公司不得经营与其相同的经营业务，同时判令焦红霞从鸿锦公司退股、清算一节。本院二审认为，永利公司</w:t>
      </w:r>
      <w:r>
        <w:rPr>
          <w:rFonts w:hint="eastAsia"/>
          <w:sz w:val="30"/>
          <w:szCs w:val="30"/>
        </w:rPr>
        <w:t>作为合法存续的法人单位，对外经营与鸿锦公司相同或相近的业务范围，是经过工商管理部门核准的合法经营行为，故鸿锦公司和蒋荫安主张永利公司不得经营与其相同的经营业务，缺乏事实及法律依据，本院不予支持。焦红霞在永利公司变更工商登记后仍然一直负责永利公司的债务清理，实际并没有离开永利公司，一直在经营与其所任职的鸿锦公司的同类业务，故焦红霞应在与鸿锦公司未进行退股清算前，不得经营与鸿锦公司同类业务。关于鸿锦公司和蒋荫安主张同时判令焦红霞从鸿锦公司退股、清算一节，因本案为控股股东、实际控制人、董事、高级管理人员损害公司利</w:t>
      </w:r>
      <w:r>
        <w:rPr>
          <w:rFonts w:hint="eastAsia"/>
          <w:sz w:val="30"/>
          <w:szCs w:val="30"/>
        </w:rPr>
        <w:t>益赔偿纠纷，与股东清算纠纷并非同一法律关系，故对二上诉人的此项主张不予合并审理。</w:t>
      </w:r>
    </w:p>
    <w:p w:rsidR="00000000" w:rsidRDefault="00A401B2">
      <w:pPr>
        <w:spacing w:line="500" w:lineRule="atLeast"/>
        <w:ind w:firstLine="600"/>
        <w:divId w:val="1449005649"/>
        <w:rPr>
          <w:rFonts w:hint="eastAsia"/>
          <w:sz w:val="30"/>
          <w:szCs w:val="30"/>
        </w:rPr>
      </w:pPr>
      <w:r>
        <w:rPr>
          <w:rFonts w:hint="eastAsia"/>
          <w:sz w:val="30"/>
          <w:szCs w:val="30"/>
        </w:rPr>
        <w:t>关于鸿锦公司和蒋荫安主张判令焦红霞和永利公司承担律师费、诉讼费、调查费等一节。本院二审认为，《中华人民共和国商标法》第五十六条、《最高人民法院关于审理商标民事纠纷案件适用法律若干问题的解释》第十七条，是关于侵犯商标专用权的赔偿数额的规范，因本案并非侵犯商标专用权案件，故此两项法律规定不适用于本案，鸿锦公司和蒋荫安的此项主张没有法律依据，不予支持。依据《诉讼费用交纳办法》第二十九条“诉讼费由败诉方承担，胜诉方自愿承担的除外。部分</w:t>
      </w:r>
      <w:r>
        <w:rPr>
          <w:rFonts w:hint="eastAsia"/>
          <w:sz w:val="30"/>
          <w:szCs w:val="30"/>
        </w:rPr>
        <w:t>胜诉、部分败诉的，人民法院根据案件的具体情况决定当事人各自负担的诉讼费用数额”的规定，本案诉讼费应由双方各承担</w:t>
      </w:r>
      <w:r>
        <w:rPr>
          <w:rFonts w:hint="eastAsia"/>
          <w:sz w:val="30"/>
          <w:szCs w:val="30"/>
        </w:rPr>
        <w:t>50%</w:t>
      </w:r>
      <w:r>
        <w:rPr>
          <w:rFonts w:hint="eastAsia"/>
          <w:sz w:val="30"/>
          <w:szCs w:val="30"/>
        </w:rPr>
        <w:t>。</w:t>
      </w:r>
    </w:p>
    <w:p w:rsidR="00000000" w:rsidRDefault="00A401B2">
      <w:pPr>
        <w:spacing w:line="500" w:lineRule="atLeast"/>
        <w:ind w:firstLine="600"/>
        <w:divId w:val="889153337"/>
        <w:rPr>
          <w:rFonts w:hint="eastAsia"/>
          <w:sz w:val="30"/>
          <w:szCs w:val="30"/>
        </w:rPr>
      </w:pPr>
      <w:r>
        <w:rPr>
          <w:rFonts w:hint="eastAsia"/>
          <w:sz w:val="30"/>
          <w:szCs w:val="30"/>
        </w:rPr>
        <w:t>综上，依照《中华人民共和国民事诉讼法》第一百七十条第一款第（二）项、第一百七十五条之规定，判决如下：一、维持鞍山市千山区人民法院（</w:t>
      </w:r>
      <w:r>
        <w:rPr>
          <w:rFonts w:hint="eastAsia"/>
          <w:sz w:val="30"/>
          <w:szCs w:val="30"/>
        </w:rPr>
        <w:t>2013</w:t>
      </w:r>
      <w:r>
        <w:rPr>
          <w:rFonts w:hint="eastAsia"/>
          <w:sz w:val="30"/>
          <w:szCs w:val="30"/>
        </w:rPr>
        <w:t>）鞍千民三初字第</w:t>
      </w:r>
      <w:r>
        <w:rPr>
          <w:rFonts w:hint="eastAsia"/>
          <w:sz w:val="30"/>
          <w:szCs w:val="30"/>
        </w:rPr>
        <w:t>1160</w:t>
      </w:r>
      <w:r>
        <w:rPr>
          <w:rFonts w:hint="eastAsia"/>
          <w:sz w:val="30"/>
          <w:szCs w:val="30"/>
        </w:rPr>
        <w:t>号民事判决第二项；二、撤销鞍山市千山区人民法院（</w:t>
      </w:r>
      <w:r>
        <w:rPr>
          <w:rFonts w:hint="eastAsia"/>
          <w:sz w:val="30"/>
          <w:szCs w:val="30"/>
        </w:rPr>
        <w:t>2013</w:t>
      </w:r>
      <w:r>
        <w:rPr>
          <w:rFonts w:hint="eastAsia"/>
          <w:sz w:val="30"/>
          <w:szCs w:val="30"/>
        </w:rPr>
        <w:t>）鞍千民三初字第</w:t>
      </w:r>
      <w:r>
        <w:rPr>
          <w:rFonts w:hint="eastAsia"/>
          <w:sz w:val="30"/>
          <w:szCs w:val="30"/>
        </w:rPr>
        <w:t>1160</w:t>
      </w:r>
      <w:r>
        <w:rPr>
          <w:rFonts w:hint="eastAsia"/>
          <w:sz w:val="30"/>
          <w:szCs w:val="30"/>
        </w:rPr>
        <w:t>号民事判决第一项；三、焦红霞在与鞍山市鸿锦耐火化工材料有限公司未进行退股清算前，不得经营与鞍山市鸿锦耐火化工材料有限公司同类业务。一审案件受理费</w:t>
      </w:r>
      <w:r>
        <w:rPr>
          <w:rFonts w:hint="eastAsia"/>
          <w:sz w:val="30"/>
          <w:szCs w:val="30"/>
        </w:rPr>
        <w:t>430</w:t>
      </w:r>
      <w:r>
        <w:rPr>
          <w:rFonts w:hint="eastAsia"/>
          <w:sz w:val="30"/>
          <w:szCs w:val="30"/>
        </w:rPr>
        <w:t>0</w:t>
      </w:r>
      <w:r>
        <w:rPr>
          <w:rFonts w:hint="eastAsia"/>
          <w:sz w:val="30"/>
          <w:szCs w:val="30"/>
        </w:rPr>
        <w:t>元，二审案件受理费</w:t>
      </w:r>
      <w:r>
        <w:rPr>
          <w:rFonts w:hint="eastAsia"/>
          <w:sz w:val="30"/>
          <w:szCs w:val="30"/>
        </w:rPr>
        <w:t>4300</w:t>
      </w:r>
      <w:r>
        <w:rPr>
          <w:rFonts w:hint="eastAsia"/>
          <w:sz w:val="30"/>
          <w:szCs w:val="30"/>
        </w:rPr>
        <w:t>元，共计</w:t>
      </w:r>
      <w:r>
        <w:rPr>
          <w:rFonts w:hint="eastAsia"/>
          <w:sz w:val="30"/>
          <w:szCs w:val="30"/>
        </w:rPr>
        <w:t>8600</w:t>
      </w:r>
      <w:r>
        <w:rPr>
          <w:rFonts w:hint="eastAsia"/>
          <w:sz w:val="30"/>
          <w:szCs w:val="30"/>
        </w:rPr>
        <w:t>元，由鸿锦公司和蒋荫安负担</w:t>
      </w:r>
      <w:r>
        <w:rPr>
          <w:rFonts w:hint="eastAsia"/>
          <w:sz w:val="30"/>
          <w:szCs w:val="30"/>
        </w:rPr>
        <w:t>4300</w:t>
      </w:r>
      <w:r>
        <w:rPr>
          <w:rFonts w:hint="eastAsia"/>
          <w:sz w:val="30"/>
          <w:szCs w:val="30"/>
        </w:rPr>
        <w:t>元，焦红霞负担</w:t>
      </w:r>
      <w:r>
        <w:rPr>
          <w:rFonts w:hint="eastAsia"/>
          <w:sz w:val="30"/>
          <w:szCs w:val="30"/>
        </w:rPr>
        <w:t>4300</w:t>
      </w:r>
      <w:r>
        <w:rPr>
          <w:rFonts w:hint="eastAsia"/>
          <w:sz w:val="30"/>
          <w:szCs w:val="30"/>
        </w:rPr>
        <w:t>元。</w:t>
      </w:r>
    </w:p>
    <w:p w:rsidR="00000000" w:rsidRDefault="00A401B2">
      <w:pPr>
        <w:spacing w:line="500" w:lineRule="atLeast"/>
        <w:ind w:firstLine="600"/>
        <w:divId w:val="311983335"/>
        <w:rPr>
          <w:rFonts w:hint="eastAsia"/>
          <w:sz w:val="30"/>
          <w:szCs w:val="30"/>
        </w:rPr>
      </w:pPr>
      <w:r>
        <w:rPr>
          <w:rFonts w:hint="eastAsia"/>
          <w:sz w:val="30"/>
          <w:szCs w:val="30"/>
        </w:rPr>
        <w:t>再审申请人鸿锦公司和蒋荫安申请再审称：</w:t>
      </w:r>
      <w:r>
        <w:rPr>
          <w:rFonts w:hint="eastAsia"/>
          <w:sz w:val="30"/>
          <w:szCs w:val="30"/>
        </w:rPr>
        <w:t>1</w:t>
      </w:r>
      <w:r>
        <w:rPr>
          <w:rFonts w:hint="eastAsia"/>
          <w:sz w:val="30"/>
          <w:szCs w:val="30"/>
        </w:rPr>
        <w:t>、请求再审法院撤销原一、二审民事判决；</w:t>
      </w:r>
      <w:r>
        <w:rPr>
          <w:rFonts w:hint="eastAsia"/>
          <w:sz w:val="30"/>
          <w:szCs w:val="30"/>
        </w:rPr>
        <w:t>2</w:t>
      </w:r>
      <w:r>
        <w:rPr>
          <w:rFonts w:hint="eastAsia"/>
          <w:sz w:val="30"/>
          <w:szCs w:val="30"/>
        </w:rPr>
        <w:t>、判令二被申请人赔偿鸿锦公司经济损失</w:t>
      </w:r>
      <w:r>
        <w:rPr>
          <w:rFonts w:hint="eastAsia"/>
          <w:sz w:val="30"/>
          <w:szCs w:val="30"/>
        </w:rPr>
        <w:t>100</w:t>
      </w:r>
      <w:r>
        <w:rPr>
          <w:rFonts w:hint="eastAsia"/>
          <w:sz w:val="30"/>
          <w:szCs w:val="30"/>
        </w:rPr>
        <w:t>万元；</w:t>
      </w:r>
      <w:r>
        <w:rPr>
          <w:rFonts w:hint="eastAsia"/>
          <w:sz w:val="30"/>
          <w:szCs w:val="30"/>
        </w:rPr>
        <w:t>3</w:t>
      </w:r>
      <w:r>
        <w:rPr>
          <w:rFonts w:hint="eastAsia"/>
          <w:sz w:val="30"/>
          <w:szCs w:val="30"/>
        </w:rPr>
        <w:t>、判令二被申请人停止对二再审申请人的侵害行为至本案所指商业秘密为公众所知悉时为止。并在本案再审开庭后立即采取措施先予执行；</w:t>
      </w:r>
      <w:r>
        <w:rPr>
          <w:rFonts w:hint="eastAsia"/>
          <w:sz w:val="30"/>
          <w:szCs w:val="30"/>
        </w:rPr>
        <w:t>4</w:t>
      </w:r>
      <w:r>
        <w:rPr>
          <w:rFonts w:hint="eastAsia"/>
          <w:sz w:val="30"/>
          <w:szCs w:val="30"/>
        </w:rPr>
        <w:t>、判令二被申请人不得经营与申请再审人相同的经营业务，同时判令被申请人焦红霞从鸿锦公司退股清算。</w:t>
      </w:r>
      <w:r>
        <w:rPr>
          <w:rFonts w:hint="eastAsia"/>
          <w:sz w:val="30"/>
          <w:szCs w:val="30"/>
        </w:rPr>
        <w:t>5</w:t>
      </w:r>
      <w:r>
        <w:rPr>
          <w:rFonts w:hint="eastAsia"/>
          <w:sz w:val="30"/>
          <w:szCs w:val="30"/>
        </w:rPr>
        <w:t>、判令由二被申请人承担原一、二审全部诉讼费</w:t>
      </w:r>
      <w:r>
        <w:rPr>
          <w:rFonts w:hint="eastAsia"/>
          <w:sz w:val="30"/>
          <w:szCs w:val="30"/>
        </w:rPr>
        <w:t>8600</w:t>
      </w:r>
      <w:r>
        <w:rPr>
          <w:rFonts w:hint="eastAsia"/>
          <w:sz w:val="30"/>
          <w:szCs w:val="30"/>
        </w:rPr>
        <w:t>元、律</w:t>
      </w:r>
      <w:r>
        <w:rPr>
          <w:rFonts w:hint="eastAsia"/>
          <w:sz w:val="30"/>
          <w:szCs w:val="30"/>
        </w:rPr>
        <w:t>师费</w:t>
      </w:r>
      <w:r>
        <w:rPr>
          <w:rFonts w:hint="eastAsia"/>
          <w:sz w:val="30"/>
          <w:szCs w:val="30"/>
        </w:rPr>
        <w:t>37000</w:t>
      </w:r>
      <w:r>
        <w:rPr>
          <w:rFonts w:hint="eastAsia"/>
          <w:sz w:val="30"/>
          <w:szCs w:val="30"/>
        </w:rPr>
        <w:t>元、材料复印打印费用</w:t>
      </w:r>
      <w:r>
        <w:rPr>
          <w:rFonts w:hint="eastAsia"/>
          <w:sz w:val="30"/>
          <w:szCs w:val="30"/>
        </w:rPr>
        <w:t>3000</w:t>
      </w:r>
      <w:r>
        <w:rPr>
          <w:rFonts w:hint="eastAsia"/>
          <w:sz w:val="30"/>
          <w:szCs w:val="30"/>
        </w:rPr>
        <w:t>元。理由是：</w:t>
      </w:r>
      <w:r>
        <w:rPr>
          <w:rFonts w:hint="eastAsia"/>
          <w:sz w:val="30"/>
          <w:szCs w:val="30"/>
        </w:rPr>
        <w:t>1</w:t>
      </w:r>
      <w:r>
        <w:rPr>
          <w:rFonts w:hint="eastAsia"/>
          <w:sz w:val="30"/>
          <w:szCs w:val="30"/>
        </w:rPr>
        <w:t>、原一、二审法院认定事实不清，适用法律错误；</w:t>
      </w:r>
      <w:r>
        <w:rPr>
          <w:rFonts w:hint="eastAsia"/>
          <w:sz w:val="30"/>
          <w:szCs w:val="30"/>
        </w:rPr>
        <w:t>2</w:t>
      </w:r>
      <w:r>
        <w:rPr>
          <w:rFonts w:hint="eastAsia"/>
          <w:sz w:val="30"/>
          <w:szCs w:val="30"/>
        </w:rPr>
        <w:t>、本案赔偿数额无需进行审计，应依照申请人提出的方法计算，判定被申请人赔偿再审申请人损失</w:t>
      </w:r>
      <w:r>
        <w:rPr>
          <w:rFonts w:hint="eastAsia"/>
          <w:sz w:val="30"/>
          <w:szCs w:val="30"/>
        </w:rPr>
        <w:t>100</w:t>
      </w:r>
      <w:r>
        <w:rPr>
          <w:rFonts w:hint="eastAsia"/>
          <w:sz w:val="30"/>
          <w:szCs w:val="30"/>
        </w:rPr>
        <w:t>万元；</w:t>
      </w:r>
      <w:r>
        <w:rPr>
          <w:rFonts w:hint="eastAsia"/>
          <w:sz w:val="30"/>
          <w:szCs w:val="30"/>
        </w:rPr>
        <w:t>3</w:t>
      </w:r>
      <w:r>
        <w:rPr>
          <w:rFonts w:hint="eastAsia"/>
          <w:sz w:val="30"/>
          <w:szCs w:val="30"/>
        </w:rPr>
        <w:t>、二审法院认定再审申请人的客户信息不属于商业秘密不符合事实和法律的规定；</w:t>
      </w:r>
      <w:r>
        <w:rPr>
          <w:rFonts w:hint="eastAsia"/>
          <w:sz w:val="30"/>
          <w:szCs w:val="30"/>
        </w:rPr>
        <w:t>4</w:t>
      </w:r>
      <w:r>
        <w:rPr>
          <w:rFonts w:hint="eastAsia"/>
          <w:sz w:val="30"/>
          <w:szCs w:val="30"/>
        </w:rPr>
        <w:t>、二被申请人的侵权行为是连带产生的，应承担连带赔偿责任，再审申请人要求判令被申请人焦红霞从鸿锦公司退股清算与本案属同一法律关系，应当合并审理；</w:t>
      </w:r>
      <w:r>
        <w:rPr>
          <w:rFonts w:hint="eastAsia"/>
          <w:sz w:val="30"/>
          <w:szCs w:val="30"/>
        </w:rPr>
        <w:t>5</w:t>
      </w:r>
      <w:r>
        <w:rPr>
          <w:rFonts w:hint="eastAsia"/>
          <w:sz w:val="30"/>
          <w:szCs w:val="30"/>
        </w:rPr>
        <w:t>、二审法院判决本案诉讼费用双方各承担一半与事实不符，应相应减少申请再审人对一审诉讼费用的承担</w:t>
      </w:r>
      <w:r>
        <w:rPr>
          <w:rFonts w:hint="eastAsia"/>
          <w:sz w:val="30"/>
          <w:szCs w:val="30"/>
        </w:rPr>
        <w:t>。</w:t>
      </w:r>
    </w:p>
    <w:p w:rsidR="00000000" w:rsidRDefault="00A401B2">
      <w:pPr>
        <w:spacing w:line="500" w:lineRule="atLeast"/>
        <w:ind w:firstLine="600"/>
        <w:divId w:val="1492795524"/>
        <w:rPr>
          <w:rFonts w:hint="eastAsia"/>
          <w:sz w:val="30"/>
          <w:szCs w:val="30"/>
        </w:rPr>
      </w:pPr>
      <w:r>
        <w:rPr>
          <w:rFonts w:hint="eastAsia"/>
          <w:sz w:val="30"/>
          <w:szCs w:val="30"/>
        </w:rPr>
        <w:t>被申请人焦红霞答辩称：</w:t>
      </w:r>
      <w:r>
        <w:rPr>
          <w:rFonts w:hint="eastAsia"/>
          <w:sz w:val="30"/>
          <w:szCs w:val="30"/>
        </w:rPr>
        <w:t>1</w:t>
      </w:r>
      <w:r>
        <w:rPr>
          <w:rFonts w:hint="eastAsia"/>
          <w:sz w:val="30"/>
          <w:szCs w:val="30"/>
        </w:rPr>
        <w:t>、根据工商登记记载，焦红霞担任鸿锦公司监事，成立其他有限责任公司并不违法，亦没有给再审申请人造成任何损失；</w:t>
      </w:r>
      <w:r>
        <w:rPr>
          <w:rFonts w:hint="eastAsia"/>
          <w:sz w:val="30"/>
          <w:szCs w:val="30"/>
        </w:rPr>
        <w:t>2</w:t>
      </w:r>
      <w:r>
        <w:rPr>
          <w:rFonts w:hint="eastAsia"/>
          <w:sz w:val="30"/>
          <w:szCs w:val="30"/>
        </w:rPr>
        <w:t>、焦红霞个人多年的从业经验和技能不属于某一个公司，更不涉及商业秘密；</w:t>
      </w:r>
      <w:r>
        <w:rPr>
          <w:rFonts w:hint="eastAsia"/>
          <w:sz w:val="30"/>
          <w:szCs w:val="30"/>
        </w:rPr>
        <w:t>3</w:t>
      </w:r>
      <w:r>
        <w:rPr>
          <w:rFonts w:hint="eastAsia"/>
          <w:sz w:val="30"/>
          <w:szCs w:val="30"/>
        </w:rPr>
        <w:t>、鸿锦公司客户名单不属于商业秘密，焦红霞从未侵犯过鸿锦公司的权利；</w:t>
      </w:r>
      <w:r>
        <w:rPr>
          <w:rFonts w:hint="eastAsia"/>
          <w:sz w:val="30"/>
          <w:szCs w:val="30"/>
        </w:rPr>
        <w:t>4</w:t>
      </w:r>
      <w:r>
        <w:rPr>
          <w:rFonts w:hint="eastAsia"/>
          <w:sz w:val="30"/>
          <w:szCs w:val="30"/>
        </w:rPr>
        <w:t>、再审申请人所提经济损失没有证据证明，且与焦红霞无关；</w:t>
      </w:r>
      <w:r>
        <w:rPr>
          <w:rFonts w:hint="eastAsia"/>
          <w:sz w:val="30"/>
          <w:szCs w:val="30"/>
        </w:rPr>
        <w:t>5</w:t>
      </w:r>
      <w:r>
        <w:rPr>
          <w:rFonts w:hint="eastAsia"/>
          <w:sz w:val="30"/>
          <w:szCs w:val="30"/>
        </w:rPr>
        <w:t>、作为鸿锦公司的股东，蒋荫安与焦红霞就终止合作进行过沟通，并实际分割了公司的现金及库存，焦红霞提走分得的库存余货不违法，也没有侵犯再审申请人的权利；</w:t>
      </w:r>
      <w:r>
        <w:rPr>
          <w:rFonts w:hint="eastAsia"/>
          <w:sz w:val="30"/>
          <w:szCs w:val="30"/>
        </w:rPr>
        <w:t>6</w:t>
      </w:r>
      <w:r>
        <w:rPr>
          <w:rFonts w:hint="eastAsia"/>
          <w:sz w:val="30"/>
          <w:szCs w:val="30"/>
        </w:rPr>
        <w:t>、再审申请人要求被申请人承担其律</w:t>
      </w:r>
      <w:r>
        <w:rPr>
          <w:rFonts w:hint="eastAsia"/>
          <w:sz w:val="30"/>
          <w:szCs w:val="30"/>
        </w:rPr>
        <w:t>师费用不应支持。综上，原审判决认定事实清楚，适用法律正确，再审申请人的再审申请没有事实及法律依据，请求再审法院驳回其再审请求，维持原判。</w:t>
      </w:r>
    </w:p>
    <w:p w:rsidR="00000000" w:rsidRDefault="00A401B2">
      <w:pPr>
        <w:spacing w:line="500" w:lineRule="atLeast"/>
        <w:ind w:firstLine="600"/>
        <w:divId w:val="736513771"/>
        <w:rPr>
          <w:rFonts w:hint="eastAsia"/>
          <w:sz w:val="30"/>
          <w:szCs w:val="30"/>
        </w:rPr>
      </w:pPr>
      <w:r>
        <w:rPr>
          <w:rFonts w:hint="eastAsia"/>
          <w:sz w:val="30"/>
          <w:szCs w:val="30"/>
        </w:rPr>
        <w:t>被申请人永利公司答辩称，原审判决认定事实清楚，适用法律正确，请求再审法院维持原判。</w:t>
      </w:r>
    </w:p>
    <w:p w:rsidR="00000000" w:rsidRDefault="00A401B2">
      <w:pPr>
        <w:spacing w:line="500" w:lineRule="atLeast"/>
        <w:ind w:firstLine="600"/>
        <w:divId w:val="889069507"/>
        <w:rPr>
          <w:rFonts w:hint="eastAsia"/>
          <w:sz w:val="30"/>
          <w:szCs w:val="30"/>
        </w:rPr>
      </w:pPr>
      <w:r>
        <w:rPr>
          <w:rFonts w:hint="eastAsia"/>
          <w:sz w:val="30"/>
          <w:szCs w:val="30"/>
        </w:rPr>
        <w:t>本院再审查明的事实与本院二审查明事实基本一致。</w:t>
      </w:r>
    </w:p>
    <w:p w:rsidR="00000000" w:rsidRDefault="00A401B2">
      <w:pPr>
        <w:spacing w:line="500" w:lineRule="atLeast"/>
        <w:ind w:firstLine="600"/>
        <w:divId w:val="59329747"/>
        <w:rPr>
          <w:rFonts w:hint="eastAsia"/>
          <w:sz w:val="30"/>
          <w:szCs w:val="30"/>
        </w:rPr>
      </w:pPr>
      <w:r>
        <w:rPr>
          <w:rFonts w:hint="eastAsia"/>
          <w:sz w:val="30"/>
          <w:szCs w:val="30"/>
        </w:rPr>
        <w:t>本院再审认为，公司及股东的经营活动、合法权益均应受到法律的保护和约束。依据《公司法》第二百一十七条“本法下列用语的含义：（一）高级管理人员，是指公司的经理、副经理、财务负责人。上市公司董事会秘书和公司章程规定的其他人员”和第一百四十九条“董事</w:t>
      </w:r>
      <w:r>
        <w:rPr>
          <w:rFonts w:hint="eastAsia"/>
          <w:sz w:val="30"/>
          <w:szCs w:val="30"/>
        </w:rPr>
        <w:t>、高级管理人员不得有下列行为：（五）未经股东会或者股东大会同意，利用职务便利为自己或者他人谋取属于公司的商业机会，自营或者为他人经营与所任职公司同类的业务。董事、高级管理人员违反前款规定所得的收入应当归公司所有”的规定，被申请人焦红霞虽然在工商登记记载担任鸿锦公司的监事，但其实际负责公司的采购、销售、经营及催收货款等工作，应属高级管理人员；其在担任鸿锦公司高级管理人员期间未经鸿锦公司同意，作为发起人成立经营同类业务的永利公司，并担任法定代表人执行董事兼经理，违反了竞业禁止的法定义务，应承担相应的法律责任。本</w:t>
      </w:r>
      <w:r>
        <w:rPr>
          <w:rFonts w:hint="eastAsia"/>
          <w:sz w:val="30"/>
          <w:szCs w:val="30"/>
        </w:rPr>
        <w:t>院二审判决认定事实清楚，适用法律正确，应予维持。</w:t>
      </w:r>
    </w:p>
    <w:p w:rsidR="00000000" w:rsidRDefault="00A401B2">
      <w:pPr>
        <w:spacing w:line="500" w:lineRule="atLeast"/>
        <w:ind w:firstLine="600"/>
        <w:divId w:val="1238128098"/>
        <w:rPr>
          <w:rFonts w:hint="eastAsia"/>
          <w:sz w:val="30"/>
          <w:szCs w:val="30"/>
        </w:rPr>
      </w:pPr>
      <w:r>
        <w:rPr>
          <w:rFonts w:hint="eastAsia"/>
          <w:sz w:val="30"/>
          <w:szCs w:val="30"/>
        </w:rPr>
        <w:t>关于再审申请人鸿锦公司和蒋荫安所提本案赔偿数额无需进行审计，应依照申请人提出的方法计算，判定被申请人赔偿再审申请人损失</w:t>
      </w:r>
      <w:r>
        <w:rPr>
          <w:rFonts w:hint="eastAsia"/>
          <w:sz w:val="30"/>
          <w:szCs w:val="30"/>
        </w:rPr>
        <w:t>100</w:t>
      </w:r>
      <w:r>
        <w:rPr>
          <w:rFonts w:hint="eastAsia"/>
          <w:sz w:val="30"/>
          <w:szCs w:val="30"/>
        </w:rPr>
        <w:t>万元；二被申请人的侵权行为是连带产生的，应承担连带赔偿责任的再审主张。经审，依据《公司法》第一百四十九条第二款的规定，焦红霞应将其出现竞业禁止行为期间在永利公司的收入返还给鸿锦公司，鉴于双方当事人对于焦红霞在永利公司的收入存在较大争议，又不能提供相应证据予以证明，且本院二审和再审期间双方均明确表示不申请对永利公司的利润进行审计。故本院二</w:t>
      </w:r>
      <w:r>
        <w:rPr>
          <w:rFonts w:hint="eastAsia"/>
          <w:sz w:val="30"/>
          <w:szCs w:val="30"/>
        </w:rPr>
        <w:t>审认为，现无法确定焦红霞在永利公司的实际收入，应待鞍山市国税稽查局对永利公司的实际利润核查出结果或鸿锦公司及蒋荫安能够提供确切证据证明焦红霞在永利公司的具体收入情况下，可再行提起诉讼解决，并无不当。依据《公司法》的上述条款中并未规定公司承担责任，永利公司是经工商部门核准的法人单位，其在经营许可范围内经营，并未违反法律规定，再审申请人要求永利公司承担共同赔偿责任于法无据，故本院不予支持。</w:t>
      </w:r>
    </w:p>
    <w:p w:rsidR="00000000" w:rsidRDefault="00A401B2">
      <w:pPr>
        <w:spacing w:line="500" w:lineRule="atLeast"/>
        <w:ind w:firstLine="600"/>
        <w:divId w:val="1650404278"/>
        <w:rPr>
          <w:rFonts w:hint="eastAsia"/>
          <w:sz w:val="30"/>
          <w:szCs w:val="30"/>
        </w:rPr>
      </w:pPr>
      <w:r>
        <w:rPr>
          <w:rFonts w:hint="eastAsia"/>
          <w:sz w:val="30"/>
          <w:szCs w:val="30"/>
        </w:rPr>
        <w:t>关于再审申请人所提二被申请人侵犯鸿锦公司商业秘密，应判令其停止对再审申请人的侵害行为至本案所指商业秘密为公众所知悉时为止，</w:t>
      </w:r>
      <w:r>
        <w:rPr>
          <w:rFonts w:hint="eastAsia"/>
          <w:sz w:val="30"/>
          <w:szCs w:val="30"/>
        </w:rPr>
        <w:t>并在本案再审开庭后立即采取措施先予执行的再审主张。经查，再审申请人所述的商业秘密，是指在蒋荫安、焦红霞共同经营鸿锦公司期间，曾在鸿锦公司购买货物的客户名称，及相关附属的采购价格等信息构成的客户名单。本院再审认为，依据《反不正当竞争法》第十条“本条所称的商业秘密，是指不为公众所知悉、能为权利人带来经济利益、具有实用性并经权利人采取保密措施的技术信息和经营信息”的规定，商业秘密必须同时具备价值性、秘密性和保密性。在市场经济条件下，企业客户名称和产品价格等信息是处于公知状态的，无需通过侵权手段即可合法获取，焦红霞</w:t>
      </w:r>
      <w:r>
        <w:rPr>
          <w:rFonts w:hint="eastAsia"/>
          <w:sz w:val="30"/>
          <w:szCs w:val="30"/>
        </w:rPr>
        <w:t>于鸿锦公司成立之前已在耐火材料领域从业多年，对该行业市场的客户信息均有所了解和掌握。且鸿锦公司客户名单上所承载的信息能够被其他不特定的人通过正常交往途径或一般媒介获得，因此该客户名单不具有秘密性，不属于法律意义上的商业秘密。再审申请人未能举证证明鸿锦公司针对其客户信息依据《关于禁止侵犯商业秘密行为的若干规定》中所称采取保密措施，“包括订立保密协议，建立保密制度及采取其他合理的保密措施”的规定，制定了相关保密制度或与公司员工签订了保密协议，明确禁止员工泄漏客户信息、以及采取其他保护客户信息的技术手段，该客户信</w:t>
      </w:r>
      <w:r>
        <w:rPr>
          <w:rFonts w:hint="eastAsia"/>
          <w:sz w:val="30"/>
          <w:szCs w:val="30"/>
        </w:rPr>
        <w:t>息不具备保密性。故再审申请人的上述主张缺乏事实和法律依据，本院不予支持。</w:t>
      </w:r>
    </w:p>
    <w:p w:rsidR="00000000" w:rsidRDefault="00A401B2">
      <w:pPr>
        <w:spacing w:line="500" w:lineRule="atLeast"/>
        <w:ind w:firstLine="600"/>
        <w:divId w:val="1910575915"/>
        <w:rPr>
          <w:rFonts w:hint="eastAsia"/>
          <w:sz w:val="30"/>
          <w:szCs w:val="30"/>
        </w:rPr>
      </w:pPr>
      <w:r>
        <w:rPr>
          <w:rFonts w:hint="eastAsia"/>
          <w:sz w:val="30"/>
          <w:szCs w:val="30"/>
        </w:rPr>
        <w:t>关于再审申请人所提应判令二被申请人不得经营与其相同的经营业务，同时判令焦红霞从鸿锦公司退股、清算的再审主张。经审，被申请人焦红霞在转让永利公司股份并变更工商登记后仍负责该公司的债务清理，在与鸿锦公司未进行退股清算前经营与其所任职鸿锦公司的同类业务，符合《公司法》关于竞业禁止及任职的有关规定，再审申请人此点再审主张，本院予以支持。永利公司作为经过工商管理部门核准登记的法人单位，其对外经营与鸿锦公司相同或相近的业务范围并不违反法律规定，故</w:t>
      </w:r>
      <w:r>
        <w:rPr>
          <w:rFonts w:hint="eastAsia"/>
          <w:sz w:val="30"/>
          <w:szCs w:val="30"/>
        </w:rPr>
        <w:t>再审申请人主张永利公司不得经营与其相同业务，于法无据，本院不予支持。因股东清算纠纷与本案控股股东、实际控制人、董事、高级管理人员损害公司利益赔偿纠纷并非同一法律关系，故对再审申请人所提对焦红霞从鸿锦公司退股、清算予以合并审理的再审主张，本院不予支持。</w:t>
      </w:r>
    </w:p>
    <w:p w:rsidR="00000000" w:rsidRDefault="00A401B2">
      <w:pPr>
        <w:spacing w:line="500" w:lineRule="atLeast"/>
        <w:ind w:firstLine="600"/>
        <w:divId w:val="1855076388"/>
        <w:rPr>
          <w:rFonts w:hint="eastAsia"/>
          <w:sz w:val="30"/>
          <w:szCs w:val="30"/>
        </w:rPr>
      </w:pPr>
      <w:r>
        <w:rPr>
          <w:rFonts w:hint="eastAsia"/>
          <w:sz w:val="30"/>
          <w:szCs w:val="30"/>
        </w:rPr>
        <w:t>关于再审申请人所提判令二被申请人全部承担律师费、诉讼费、材料复印打印费的再审主张。经查，再审申请人所提《中华人民共和国商标法》第五十六条、《最高人民法院关于审理商标民事纠纷案件适用法律若干问题的解释》第十七条，两项法律规定不适用于本案，故对其此项再审主张不予支</w:t>
      </w:r>
      <w:r>
        <w:rPr>
          <w:rFonts w:hint="eastAsia"/>
          <w:sz w:val="30"/>
          <w:szCs w:val="30"/>
        </w:rPr>
        <w:t>持。</w:t>
      </w:r>
    </w:p>
    <w:p w:rsidR="00000000" w:rsidRDefault="00A401B2">
      <w:pPr>
        <w:spacing w:line="500" w:lineRule="atLeast"/>
        <w:ind w:firstLine="600"/>
        <w:divId w:val="1549995479"/>
        <w:rPr>
          <w:rFonts w:hint="eastAsia"/>
          <w:sz w:val="30"/>
          <w:szCs w:val="30"/>
        </w:rPr>
      </w:pPr>
      <w:r>
        <w:rPr>
          <w:rFonts w:hint="eastAsia"/>
          <w:sz w:val="30"/>
          <w:szCs w:val="30"/>
        </w:rPr>
        <w:t>综上，依照《中华人民共和国民事诉讼法》第一百七十条第一款第一项、第二百零七条之规定，判决如下：</w:t>
      </w:r>
    </w:p>
    <w:p w:rsidR="00000000" w:rsidRDefault="00A401B2">
      <w:pPr>
        <w:spacing w:line="500" w:lineRule="atLeast"/>
        <w:ind w:firstLine="600"/>
        <w:divId w:val="256257362"/>
        <w:rPr>
          <w:rFonts w:hint="eastAsia"/>
          <w:sz w:val="30"/>
          <w:szCs w:val="30"/>
        </w:rPr>
      </w:pPr>
      <w:r>
        <w:rPr>
          <w:rFonts w:hint="eastAsia"/>
          <w:sz w:val="30"/>
          <w:szCs w:val="30"/>
        </w:rPr>
        <w:t>维持本院（</w:t>
      </w:r>
      <w:r>
        <w:rPr>
          <w:rFonts w:hint="eastAsia"/>
          <w:sz w:val="30"/>
          <w:szCs w:val="30"/>
        </w:rPr>
        <w:t>2014</w:t>
      </w:r>
      <w:r>
        <w:rPr>
          <w:rFonts w:hint="eastAsia"/>
          <w:sz w:val="30"/>
          <w:szCs w:val="30"/>
        </w:rPr>
        <w:t>）鞍民三终字第</w:t>
      </w:r>
      <w:r>
        <w:rPr>
          <w:rFonts w:hint="eastAsia"/>
          <w:sz w:val="30"/>
          <w:szCs w:val="30"/>
        </w:rPr>
        <w:t>98</w:t>
      </w:r>
      <w:r>
        <w:rPr>
          <w:rFonts w:hint="eastAsia"/>
          <w:sz w:val="30"/>
          <w:szCs w:val="30"/>
        </w:rPr>
        <w:t>号民事判决。</w:t>
      </w:r>
    </w:p>
    <w:p w:rsidR="00000000" w:rsidRDefault="00A401B2">
      <w:pPr>
        <w:spacing w:line="500" w:lineRule="atLeast"/>
        <w:ind w:firstLine="600"/>
        <w:divId w:val="713233440"/>
        <w:rPr>
          <w:rFonts w:hint="eastAsia"/>
          <w:sz w:val="30"/>
          <w:szCs w:val="30"/>
        </w:rPr>
      </w:pPr>
      <w:r>
        <w:rPr>
          <w:rFonts w:hint="eastAsia"/>
          <w:sz w:val="30"/>
          <w:szCs w:val="30"/>
        </w:rPr>
        <w:t>本判决为终审判决。</w:t>
      </w:r>
    </w:p>
    <w:p w:rsidR="00000000" w:rsidRDefault="00A401B2">
      <w:pPr>
        <w:spacing w:line="500" w:lineRule="atLeast"/>
        <w:jc w:val="right"/>
        <w:divId w:val="311256791"/>
        <w:rPr>
          <w:rFonts w:hint="eastAsia"/>
          <w:sz w:val="30"/>
          <w:szCs w:val="30"/>
        </w:rPr>
      </w:pPr>
      <w:r>
        <w:rPr>
          <w:rFonts w:hint="eastAsia"/>
          <w:sz w:val="30"/>
          <w:szCs w:val="30"/>
        </w:rPr>
        <w:t>审判长　张　宇</w:t>
      </w:r>
    </w:p>
    <w:p w:rsidR="00000000" w:rsidRDefault="00A401B2">
      <w:pPr>
        <w:spacing w:line="500" w:lineRule="atLeast"/>
        <w:jc w:val="right"/>
        <w:divId w:val="1723097191"/>
        <w:rPr>
          <w:rFonts w:hint="eastAsia"/>
          <w:sz w:val="30"/>
          <w:szCs w:val="30"/>
        </w:rPr>
      </w:pPr>
      <w:r>
        <w:rPr>
          <w:rFonts w:hint="eastAsia"/>
          <w:sz w:val="30"/>
          <w:szCs w:val="30"/>
        </w:rPr>
        <w:t>审判员　李红兵</w:t>
      </w:r>
    </w:p>
    <w:p w:rsidR="00000000" w:rsidRDefault="00A401B2">
      <w:pPr>
        <w:spacing w:line="500" w:lineRule="atLeast"/>
        <w:jc w:val="right"/>
        <w:divId w:val="1729456913"/>
        <w:rPr>
          <w:rFonts w:hint="eastAsia"/>
          <w:sz w:val="30"/>
          <w:szCs w:val="30"/>
        </w:rPr>
      </w:pPr>
      <w:r>
        <w:rPr>
          <w:rFonts w:hint="eastAsia"/>
          <w:sz w:val="30"/>
          <w:szCs w:val="30"/>
        </w:rPr>
        <w:t>审判员　周建新</w:t>
      </w:r>
    </w:p>
    <w:p w:rsidR="00000000" w:rsidRDefault="00A401B2">
      <w:pPr>
        <w:spacing w:line="500" w:lineRule="atLeast"/>
        <w:jc w:val="right"/>
        <w:divId w:val="71660426"/>
        <w:rPr>
          <w:rFonts w:hint="eastAsia"/>
          <w:sz w:val="30"/>
          <w:szCs w:val="30"/>
        </w:rPr>
      </w:pPr>
      <w:r>
        <w:rPr>
          <w:rFonts w:hint="eastAsia"/>
          <w:sz w:val="30"/>
          <w:szCs w:val="30"/>
        </w:rPr>
        <w:t>二〇一五年七月十六日</w:t>
      </w:r>
    </w:p>
    <w:p w:rsidR="00000000" w:rsidRDefault="00A401B2">
      <w:pPr>
        <w:spacing w:line="500" w:lineRule="atLeast"/>
        <w:jc w:val="right"/>
        <w:divId w:val="421415285"/>
        <w:rPr>
          <w:rFonts w:hint="eastAsia"/>
          <w:sz w:val="30"/>
          <w:szCs w:val="30"/>
        </w:rPr>
      </w:pPr>
      <w:r>
        <w:rPr>
          <w:rFonts w:hint="eastAsia"/>
          <w:sz w:val="30"/>
          <w:szCs w:val="30"/>
        </w:rPr>
        <w:t>书记员　贾开萍</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1B2" w:rsidRDefault="00A401B2" w:rsidP="00A401B2">
      <w:r>
        <w:separator/>
      </w:r>
    </w:p>
  </w:endnote>
  <w:endnote w:type="continuationSeparator" w:id="0">
    <w:p w:rsidR="00A401B2" w:rsidRDefault="00A401B2" w:rsidP="00A40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1B2" w:rsidRDefault="00A401B2" w:rsidP="00A401B2">
      <w:r>
        <w:separator/>
      </w:r>
    </w:p>
  </w:footnote>
  <w:footnote w:type="continuationSeparator" w:id="0">
    <w:p w:rsidR="00A401B2" w:rsidRDefault="00A401B2" w:rsidP="00A401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401B2"/>
    <w:rsid w:val="00A40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401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01B2"/>
    <w:rPr>
      <w:rFonts w:ascii="宋体" w:eastAsia="宋体" w:hAnsi="宋体" w:cs="宋体"/>
      <w:sz w:val="18"/>
      <w:szCs w:val="18"/>
    </w:rPr>
  </w:style>
  <w:style w:type="paragraph" w:styleId="a5">
    <w:name w:val="footer"/>
    <w:basedOn w:val="a"/>
    <w:link w:val="a6"/>
    <w:uiPriority w:val="99"/>
    <w:unhideWhenUsed/>
    <w:rsid w:val="00A401B2"/>
    <w:pPr>
      <w:tabs>
        <w:tab w:val="center" w:pos="4153"/>
        <w:tab w:val="right" w:pos="8306"/>
      </w:tabs>
      <w:snapToGrid w:val="0"/>
    </w:pPr>
    <w:rPr>
      <w:sz w:val="18"/>
      <w:szCs w:val="18"/>
    </w:rPr>
  </w:style>
  <w:style w:type="character" w:customStyle="1" w:styleId="a6">
    <w:name w:val="页脚 字符"/>
    <w:basedOn w:val="a0"/>
    <w:link w:val="a5"/>
    <w:uiPriority w:val="99"/>
    <w:rsid w:val="00A401B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1006">
      <w:marLeft w:val="0"/>
      <w:marRight w:val="0"/>
      <w:marTop w:val="10"/>
      <w:marBottom w:val="10"/>
      <w:divBdr>
        <w:top w:val="none" w:sz="0" w:space="0" w:color="auto"/>
        <w:left w:val="none" w:sz="0" w:space="0" w:color="auto"/>
        <w:bottom w:val="none" w:sz="0" w:space="0" w:color="auto"/>
        <w:right w:val="none" w:sz="0" w:space="0" w:color="auto"/>
      </w:divBdr>
    </w:div>
    <w:div w:id="36242444">
      <w:marLeft w:val="0"/>
      <w:marRight w:val="0"/>
      <w:marTop w:val="10"/>
      <w:marBottom w:val="10"/>
      <w:divBdr>
        <w:top w:val="none" w:sz="0" w:space="0" w:color="auto"/>
        <w:left w:val="none" w:sz="0" w:space="0" w:color="auto"/>
        <w:bottom w:val="none" w:sz="0" w:space="0" w:color="auto"/>
        <w:right w:val="none" w:sz="0" w:space="0" w:color="auto"/>
      </w:divBdr>
    </w:div>
    <w:div w:id="59329747">
      <w:marLeft w:val="0"/>
      <w:marRight w:val="0"/>
      <w:marTop w:val="10"/>
      <w:marBottom w:val="10"/>
      <w:divBdr>
        <w:top w:val="none" w:sz="0" w:space="0" w:color="auto"/>
        <w:left w:val="none" w:sz="0" w:space="0" w:color="auto"/>
        <w:bottom w:val="none" w:sz="0" w:space="0" w:color="auto"/>
        <w:right w:val="none" w:sz="0" w:space="0" w:color="auto"/>
      </w:divBdr>
    </w:div>
    <w:div w:id="71660426">
      <w:marLeft w:val="0"/>
      <w:marRight w:val="720"/>
      <w:marTop w:val="10"/>
      <w:marBottom w:val="10"/>
      <w:divBdr>
        <w:top w:val="none" w:sz="0" w:space="0" w:color="auto"/>
        <w:left w:val="none" w:sz="0" w:space="0" w:color="auto"/>
        <w:bottom w:val="none" w:sz="0" w:space="0" w:color="auto"/>
        <w:right w:val="none" w:sz="0" w:space="0" w:color="auto"/>
      </w:divBdr>
    </w:div>
    <w:div w:id="256257362">
      <w:marLeft w:val="0"/>
      <w:marRight w:val="0"/>
      <w:marTop w:val="10"/>
      <w:marBottom w:val="10"/>
      <w:divBdr>
        <w:top w:val="none" w:sz="0" w:space="0" w:color="auto"/>
        <w:left w:val="none" w:sz="0" w:space="0" w:color="auto"/>
        <w:bottom w:val="none" w:sz="0" w:space="0" w:color="auto"/>
        <w:right w:val="none" w:sz="0" w:space="0" w:color="auto"/>
      </w:divBdr>
    </w:div>
    <w:div w:id="273758488">
      <w:marLeft w:val="0"/>
      <w:marRight w:val="0"/>
      <w:marTop w:val="10"/>
      <w:marBottom w:val="10"/>
      <w:divBdr>
        <w:top w:val="none" w:sz="0" w:space="0" w:color="auto"/>
        <w:left w:val="none" w:sz="0" w:space="0" w:color="auto"/>
        <w:bottom w:val="none" w:sz="0" w:space="0" w:color="auto"/>
        <w:right w:val="none" w:sz="0" w:space="0" w:color="auto"/>
      </w:divBdr>
    </w:div>
    <w:div w:id="311256791">
      <w:marLeft w:val="0"/>
      <w:marRight w:val="720"/>
      <w:marTop w:val="10"/>
      <w:marBottom w:val="10"/>
      <w:divBdr>
        <w:top w:val="none" w:sz="0" w:space="0" w:color="auto"/>
        <w:left w:val="none" w:sz="0" w:space="0" w:color="auto"/>
        <w:bottom w:val="none" w:sz="0" w:space="0" w:color="auto"/>
        <w:right w:val="none" w:sz="0" w:space="0" w:color="auto"/>
      </w:divBdr>
    </w:div>
    <w:div w:id="311983335">
      <w:marLeft w:val="0"/>
      <w:marRight w:val="0"/>
      <w:marTop w:val="10"/>
      <w:marBottom w:val="10"/>
      <w:divBdr>
        <w:top w:val="none" w:sz="0" w:space="0" w:color="auto"/>
        <w:left w:val="none" w:sz="0" w:space="0" w:color="auto"/>
        <w:bottom w:val="none" w:sz="0" w:space="0" w:color="auto"/>
        <w:right w:val="none" w:sz="0" w:space="0" w:color="auto"/>
      </w:divBdr>
    </w:div>
    <w:div w:id="388891736">
      <w:marLeft w:val="0"/>
      <w:marRight w:val="0"/>
      <w:marTop w:val="10"/>
      <w:marBottom w:val="10"/>
      <w:divBdr>
        <w:top w:val="none" w:sz="0" w:space="0" w:color="auto"/>
        <w:left w:val="none" w:sz="0" w:space="0" w:color="auto"/>
        <w:bottom w:val="none" w:sz="0" w:space="0" w:color="auto"/>
        <w:right w:val="none" w:sz="0" w:space="0" w:color="auto"/>
      </w:divBdr>
    </w:div>
    <w:div w:id="410928352">
      <w:marLeft w:val="0"/>
      <w:marRight w:val="0"/>
      <w:marTop w:val="10"/>
      <w:marBottom w:val="10"/>
      <w:divBdr>
        <w:top w:val="none" w:sz="0" w:space="0" w:color="auto"/>
        <w:left w:val="none" w:sz="0" w:space="0" w:color="auto"/>
        <w:bottom w:val="none" w:sz="0" w:space="0" w:color="auto"/>
        <w:right w:val="none" w:sz="0" w:space="0" w:color="auto"/>
      </w:divBdr>
    </w:div>
    <w:div w:id="421415285">
      <w:marLeft w:val="0"/>
      <w:marRight w:val="720"/>
      <w:marTop w:val="10"/>
      <w:marBottom w:val="10"/>
      <w:divBdr>
        <w:top w:val="none" w:sz="0" w:space="0" w:color="auto"/>
        <w:left w:val="none" w:sz="0" w:space="0" w:color="auto"/>
        <w:bottom w:val="none" w:sz="0" w:space="0" w:color="auto"/>
        <w:right w:val="none" w:sz="0" w:space="0" w:color="auto"/>
      </w:divBdr>
    </w:div>
    <w:div w:id="440731918">
      <w:marLeft w:val="0"/>
      <w:marRight w:val="0"/>
      <w:marTop w:val="10"/>
      <w:marBottom w:val="10"/>
      <w:divBdr>
        <w:top w:val="none" w:sz="0" w:space="0" w:color="auto"/>
        <w:left w:val="none" w:sz="0" w:space="0" w:color="auto"/>
        <w:bottom w:val="none" w:sz="0" w:space="0" w:color="auto"/>
        <w:right w:val="none" w:sz="0" w:space="0" w:color="auto"/>
      </w:divBdr>
    </w:div>
    <w:div w:id="594021223">
      <w:marLeft w:val="0"/>
      <w:marRight w:val="0"/>
      <w:marTop w:val="10"/>
      <w:marBottom w:val="10"/>
      <w:divBdr>
        <w:top w:val="none" w:sz="0" w:space="0" w:color="auto"/>
        <w:left w:val="none" w:sz="0" w:space="0" w:color="auto"/>
        <w:bottom w:val="none" w:sz="0" w:space="0" w:color="auto"/>
        <w:right w:val="none" w:sz="0" w:space="0" w:color="auto"/>
      </w:divBdr>
    </w:div>
    <w:div w:id="601110417">
      <w:marLeft w:val="0"/>
      <w:marRight w:val="0"/>
      <w:marTop w:val="10"/>
      <w:marBottom w:val="10"/>
      <w:divBdr>
        <w:top w:val="none" w:sz="0" w:space="0" w:color="auto"/>
        <w:left w:val="none" w:sz="0" w:space="0" w:color="auto"/>
        <w:bottom w:val="none" w:sz="0" w:space="0" w:color="auto"/>
        <w:right w:val="none" w:sz="0" w:space="0" w:color="auto"/>
      </w:divBdr>
    </w:div>
    <w:div w:id="612635452">
      <w:marLeft w:val="0"/>
      <w:marRight w:val="0"/>
      <w:marTop w:val="10"/>
      <w:marBottom w:val="10"/>
      <w:divBdr>
        <w:top w:val="none" w:sz="0" w:space="0" w:color="auto"/>
        <w:left w:val="none" w:sz="0" w:space="0" w:color="auto"/>
        <w:bottom w:val="none" w:sz="0" w:space="0" w:color="auto"/>
        <w:right w:val="none" w:sz="0" w:space="0" w:color="auto"/>
      </w:divBdr>
    </w:div>
    <w:div w:id="668026058">
      <w:marLeft w:val="0"/>
      <w:marRight w:val="0"/>
      <w:marTop w:val="10"/>
      <w:marBottom w:val="10"/>
      <w:divBdr>
        <w:top w:val="none" w:sz="0" w:space="0" w:color="auto"/>
        <w:left w:val="none" w:sz="0" w:space="0" w:color="auto"/>
        <w:bottom w:val="none" w:sz="0" w:space="0" w:color="auto"/>
        <w:right w:val="none" w:sz="0" w:space="0" w:color="auto"/>
      </w:divBdr>
    </w:div>
    <w:div w:id="669914716">
      <w:marLeft w:val="0"/>
      <w:marRight w:val="0"/>
      <w:marTop w:val="10"/>
      <w:marBottom w:val="10"/>
      <w:divBdr>
        <w:top w:val="none" w:sz="0" w:space="0" w:color="auto"/>
        <w:left w:val="none" w:sz="0" w:space="0" w:color="auto"/>
        <w:bottom w:val="none" w:sz="0" w:space="0" w:color="auto"/>
        <w:right w:val="none" w:sz="0" w:space="0" w:color="auto"/>
      </w:divBdr>
    </w:div>
    <w:div w:id="688988140">
      <w:marLeft w:val="0"/>
      <w:marRight w:val="0"/>
      <w:marTop w:val="10"/>
      <w:marBottom w:val="10"/>
      <w:divBdr>
        <w:top w:val="none" w:sz="0" w:space="0" w:color="auto"/>
        <w:left w:val="none" w:sz="0" w:space="0" w:color="auto"/>
        <w:bottom w:val="none" w:sz="0" w:space="0" w:color="auto"/>
        <w:right w:val="none" w:sz="0" w:space="0" w:color="auto"/>
      </w:divBdr>
    </w:div>
    <w:div w:id="713233440">
      <w:marLeft w:val="0"/>
      <w:marRight w:val="0"/>
      <w:marTop w:val="10"/>
      <w:marBottom w:val="10"/>
      <w:divBdr>
        <w:top w:val="none" w:sz="0" w:space="0" w:color="auto"/>
        <w:left w:val="none" w:sz="0" w:space="0" w:color="auto"/>
        <w:bottom w:val="none" w:sz="0" w:space="0" w:color="auto"/>
        <w:right w:val="none" w:sz="0" w:space="0" w:color="auto"/>
      </w:divBdr>
    </w:div>
    <w:div w:id="736513771">
      <w:marLeft w:val="0"/>
      <w:marRight w:val="0"/>
      <w:marTop w:val="10"/>
      <w:marBottom w:val="10"/>
      <w:divBdr>
        <w:top w:val="none" w:sz="0" w:space="0" w:color="auto"/>
        <w:left w:val="none" w:sz="0" w:space="0" w:color="auto"/>
        <w:bottom w:val="none" w:sz="0" w:space="0" w:color="auto"/>
        <w:right w:val="none" w:sz="0" w:space="0" w:color="auto"/>
      </w:divBdr>
    </w:div>
    <w:div w:id="742996585">
      <w:marLeft w:val="0"/>
      <w:marRight w:val="0"/>
      <w:marTop w:val="10"/>
      <w:marBottom w:val="10"/>
      <w:divBdr>
        <w:top w:val="none" w:sz="0" w:space="0" w:color="auto"/>
        <w:left w:val="none" w:sz="0" w:space="0" w:color="auto"/>
        <w:bottom w:val="none" w:sz="0" w:space="0" w:color="auto"/>
        <w:right w:val="none" w:sz="0" w:space="0" w:color="auto"/>
      </w:divBdr>
    </w:div>
    <w:div w:id="833378604">
      <w:marLeft w:val="0"/>
      <w:marRight w:val="0"/>
      <w:marTop w:val="10"/>
      <w:marBottom w:val="10"/>
      <w:divBdr>
        <w:top w:val="none" w:sz="0" w:space="0" w:color="auto"/>
        <w:left w:val="none" w:sz="0" w:space="0" w:color="auto"/>
        <w:bottom w:val="none" w:sz="0" w:space="0" w:color="auto"/>
        <w:right w:val="none" w:sz="0" w:space="0" w:color="auto"/>
      </w:divBdr>
    </w:div>
    <w:div w:id="874854623">
      <w:marLeft w:val="0"/>
      <w:marRight w:val="0"/>
      <w:marTop w:val="10"/>
      <w:marBottom w:val="10"/>
      <w:divBdr>
        <w:top w:val="none" w:sz="0" w:space="0" w:color="auto"/>
        <w:left w:val="none" w:sz="0" w:space="0" w:color="auto"/>
        <w:bottom w:val="none" w:sz="0" w:space="0" w:color="auto"/>
        <w:right w:val="none" w:sz="0" w:space="0" w:color="auto"/>
      </w:divBdr>
    </w:div>
    <w:div w:id="889069507">
      <w:marLeft w:val="0"/>
      <w:marRight w:val="0"/>
      <w:marTop w:val="10"/>
      <w:marBottom w:val="10"/>
      <w:divBdr>
        <w:top w:val="none" w:sz="0" w:space="0" w:color="auto"/>
        <w:left w:val="none" w:sz="0" w:space="0" w:color="auto"/>
        <w:bottom w:val="none" w:sz="0" w:space="0" w:color="auto"/>
        <w:right w:val="none" w:sz="0" w:space="0" w:color="auto"/>
      </w:divBdr>
    </w:div>
    <w:div w:id="889153337">
      <w:marLeft w:val="0"/>
      <w:marRight w:val="0"/>
      <w:marTop w:val="10"/>
      <w:marBottom w:val="10"/>
      <w:divBdr>
        <w:top w:val="none" w:sz="0" w:space="0" w:color="auto"/>
        <w:left w:val="none" w:sz="0" w:space="0" w:color="auto"/>
        <w:bottom w:val="none" w:sz="0" w:space="0" w:color="auto"/>
        <w:right w:val="none" w:sz="0" w:space="0" w:color="auto"/>
      </w:divBdr>
    </w:div>
    <w:div w:id="941719527">
      <w:marLeft w:val="0"/>
      <w:marRight w:val="0"/>
      <w:marTop w:val="10"/>
      <w:marBottom w:val="10"/>
      <w:divBdr>
        <w:top w:val="none" w:sz="0" w:space="0" w:color="auto"/>
        <w:left w:val="none" w:sz="0" w:space="0" w:color="auto"/>
        <w:bottom w:val="none" w:sz="0" w:space="0" w:color="auto"/>
        <w:right w:val="none" w:sz="0" w:space="0" w:color="auto"/>
      </w:divBdr>
    </w:div>
    <w:div w:id="984775444">
      <w:marLeft w:val="0"/>
      <w:marRight w:val="0"/>
      <w:marTop w:val="10"/>
      <w:marBottom w:val="10"/>
      <w:divBdr>
        <w:top w:val="none" w:sz="0" w:space="0" w:color="auto"/>
        <w:left w:val="none" w:sz="0" w:space="0" w:color="auto"/>
        <w:bottom w:val="none" w:sz="0" w:space="0" w:color="auto"/>
        <w:right w:val="none" w:sz="0" w:space="0" w:color="auto"/>
      </w:divBdr>
    </w:div>
    <w:div w:id="1102920841">
      <w:marLeft w:val="0"/>
      <w:marRight w:val="0"/>
      <w:marTop w:val="10"/>
      <w:marBottom w:val="10"/>
      <w:divBdr>
        <w:top w:val="none" w:sz="0" w:space="0" w:color="auto"/>
        <w:left w:val="none" w:sz="0" w:space="0" w:color="auto"/>
        <w:bottom w:val="none" w:sz="0" w:space="0" w:color="auto"/>
        <w:right w:val="none" w:sz="0" w:space="0" w:color="auto"/>
      </w:divBdr>
    </w:div>
    <w:div w:id="1238128098">
      <w:marLeft w:val="0"/>
      <w:marRight w:val="0"/>
      <w:marTop w:val="10"/>
      <w:marBottom w:val="10"/>
      <w:divBdr>
        <w:top w:val="none" w:sz="0" w:space="0" w:color="auto"/>
        <w:left w:val="none" w:sz="0" w:space="0" w:color="auto"/>
        <w:bottom w:val="none" w:sz="0" w:space="0" w:color="auto"/>
        <w:right w:val="none" w:sz="0" w:space="0" w:color="auto"/>
      </w:divBdr>
    </w:div>
    <w:div w:id="1258058901">
      <w:marLeft w:val="0"/>
      <w:marRight w:val="0"/>
      <w:marTop w:val="10"/>
      <w:marBottom w:val="10"/>
      <w:divBdr>
        <w:top w:val="none" w:sz="0" w:space="0" w:color="auto"/>
        <w:left w:val="none" w:sz="0" w:space="0" w:color="auto"/>
        <w:bottom w:val="none" w:sz="0" w:space="0" w:color="auto"/>
        <w:right w:val="none" w:sz="0" w:space="0" w:color="auto"/>
      </w:divBdr>
    </w:div>
    <w:div w:id="1268079250">
      <w:marLeft w:val="0"/>
      <w:marRight w:val="0"/>
      <w:marTop w:val="10"/>
      <w:marBottom w:val="10"/>
      <w:divBdr>
        <w:top w:val="none" w:sz="0" w:space="0" w:color="auto"/>
        <w:left w:val="none" w:sz="0" w:space="0" w:color="auto"/>
        <w:bottom w:val="none" w:sz="0" w:space="0" w:color="auto"/>
        <w:right w:val="none" w:sz="0" w:space="0" w:color="auto"/>
      </w:divBdr>
    </w:div>
    <w:div w:id="1322000929">
      <w:marLeft w:val="0"/>
      <w:marRight w:val="0"/>
      <w:marTop w:val="10"/>
      <w:marBottom w:val="10"/>
      <w:divBdr>
        <w:top w:val="none" w:sz="0" w:space="0" w:color="auto"/>
        <w:left w:val="none" w:sz="0" w:space="0" w:color="auto"/>
        <w:bottom w:val="none" w:sz="0" w:space="0" w:color="auto"/>
        <w:right w:val="none" w:sz="0" w:space="0" w:color="auto"/>
      </w:divBdr>
    </w:div>
    <w:div w:id="1403334066">
      <w:marLeft w:val="0"/>
      <w:marRight w:val="0"/>
      <w:marTop w:val="10"/>
      <w:marBottom w:val="10"/>
      <w:divBdr>
        <w:top w:val="none" w:sz="0" w:space="0" w:color="auto"/>
        <w:left w:val="none" w:sz="0" w:space="0" w:color="auto"/>
        <w:bottom w:val="none" w:sz="0" w:space="0" w:color="auto"/>
        <w:right w:val="none" w:sz="0" w:space="0" w:color="auto"/>
      </w:divBdr>
    </w:div>
    <w:div w:id="1408303648">
      <w:marLeft w:val="0"/>
      <w:marRight w:val="0"/>
      <w:marTop w:val="10"/>
      <w:marBottom w:val="10"/>
      <w:divBdr>
        <w:top w:val="none" w:sz="0" w:space="0" w:color="auto"/>
        <w:left w:val="none" w:sz="0" w:space="0" w:color="auto"/>
        <w:bottom w:val="none" w:sz="0" w:space="0" w:color="auto"/>
        <w:right w:val="none" w:sz="0" w:space="0" w:color="auto"/>
      </w:divBdr>
    </w:div>
    <w:div w:id="1447768397">
      <w:marLeft w:val="0"/>
      <w:marRight w:val="0"/>
      <w:marTop w:val="10"/>
      <w:marBottom w:val="10"/>
      <w:divBdr>
        <w:top w:val="none" w:sz="0" w:space="0" w:color="auto"/>
        <w:left w:val="none" w:sz="0" w:space="0" w:color="auto"/>
        <w:bottom w:val="none" w:sz="0" w:space="0" w:color="auto"/>
        <w:right w:val="none" w:sz="0" w:space="0" w:color="auto"/>
      </w:divBdr>
    </w:div>
    <w:div w:id="1449005649">
      <w:marLeft w:val="0"/>
      <w:marRight w:val="0"/>
      <w:marTop w:val="10"/>
      <w:marBottom w:val="10"/>
      <w:divBdr>
        <w:top w:val="none" w:sz="0" w:space="0" w:color="auto"/>
        <w:left w:val="none" w:sz="0" w:space="0" w:color="auto"/>
        <w:bottom w:val="none" w:sz="0" w:space="0" w:color="auto"/>
        <w:right w:val="none" w:sz="0" w:space="0" w:color="auto"/>
      </w:divBdr>
    </w:div>
    <w:div w:id="1463381407">
      <w:marLeft w:val="0"/>
      <w:marRight w:val="0"/>
      <w:marTop w:val="10"/>
      <w:marBottom w:val="10"/>
      <w:divBdr>
        <w:top w:val="none" w:sz="0" w:space="0" w:color="auto"/>
        <w:left w:val="none" w:sz="0" w:space="0" w:color="auto"/>
        <w:bottom w:val="none" w:sz="0" w:space="0" w:color="auto"/>
        <w:right w:val="none" w:sz="0" w:space="0" w:color="auto"/>
      </w:divBdr>
    </w:div>
    <w:div w:id="1492795524">
      <w:marLeft w:val="0"/>
      <w:marRight w:val="0"/>
      <w:marTop w:val="10"/>
      <w:marBottom w:val="10"/>
      <w:divBdr>
        <w:top w:val="none" w:sz="0" w:space="0" w:color="auto"/>
        <w:left w:val="none" w:sz="0" w:space="0" w:color="auto"/>
        <w:bottom w:val="none" w:sz="0" w:space="0" w:color="auto"/>
        <w:right w:val="none" w:sz="0" w:space="0" w:color="auto"/>
      </w:divBdr>
    </w:div>
    <w:div w:id="1508445617">
      <w:marLeft w:val="0"/>
      <w:marRight w:val="0"/>
      <w:marTop w:val="10"/>
      <w:marBottom w:val="10"/>
      <w:divBdr>
        <w:top w:val="none" w:sz="0" w:space="0" w:color="auto"/>
        <w:left w:val="none" w:sz="0" w:space="0" w:color="auto"/>
        <w:bottom w:val="none" w:sz="0" w:space="0" w:color="auto"/>
        <w:right w:val="none" w:sz="0" w:space="0" w:color="auto"/>
      </w:divBdr>
    </w:div>
    <w:div w:id="1547185057">
      <w:marLeft w:val="0"/>
      <w:marRight w:val="0"/>
      <w:marTop w:val="10"/>
      <w:marBottom w:val="10"/>
      <w:divBdr>
        <w:top w:val="none" w:sz="0" w:space="0" w:color="auto"/>
        <w:left w:val="none" w:sz="0" w:space="0" w:color="auto"/>
        <w:bottom w:val="none" w:sz="0" w:space="0" w:color="auto"/>
        <w:right w:val="none" w:sz="0" w:space="0" w:color="auto"/>
      </w:divBdr>
    </w:div>
    <w:div w:id="1549995479">
      <w:marLeft w:val="0"/>
      <w:marRight w:val="0"/>
      <w:marTop w:val="10"/>
      <w:marBottom w:val="10"/>
      <w:divBdr>
        <w:top w:val="none" w:sz="0" w:space="0" w:color="auto"/>
        <w:left w:val="none" w:sz="0" w:space="0" w:color="auto"/>
        <w:bottom w:val="none" w:sz="0" w:space="0" w:color="auto"/>
        <w:right w:val="none" w:sz="0" w:space="0" w:color="auto"/>
      </w:divBdr>
    </w:div>
    <w:div w:id="1631009548">
      <w:marLeft w:val="0"/>
      <w:marRight w:val="0"/>
      <w:marTop w:val="10"/>
      <w:marBottom w:val="10"/>
      <w:divBdr>
        <w:top w:val="none" w:sz="0" w:space="0" w:color="auto"/>
        <w:left w:val="none" w:sz="0" w:space="0" w:color="auto"/>
        <w:bottom w:val="none" w:sz="0" w:space="0" w:color="auto"/>
        <w:right w:val="none" w:sz="0" w:space="0" w:color="auto"/>
      </w:divBdr>
    </w:div>
    <w:div w:id="1650404278">
      <w:marLeft w:val="0"/>
      <w:marRight w:val="0"/>
      <w:marTop w:val="10"/>
      <w:marBottom w:val="10"/>
      <w:divBdr>
        <w:top w:val="none" w:sz="0" w:space="0" w:color="auto"/>
        <w:left w:val="none" w:sz="0" w:space="0" w:color="auto"/>
        <w:bottom w:val="none" w:sz="0" w:space="0" w:color="auto"/>
        <w:right w:val="none" w:sz="0" w:space="0" w:color="auto"/>
      </w:divBdr>
    </w:div>
    <w:div w:id="1709136877">
      <w:marLeft w:val="0"/>
      <w:marRight w:val="0"/>
      <w:marTop w:val="10"/>
      <w:marBottom w:val="10"/>
      <w:divBdr>
        <w:top w:val="none" w:sz="0" w:space="0" w:color="auto"/>
        <w:left w:val="none" w:sz="0" w:space="0" w:color="auto"/>
        <w:bottom w:val="none" w:sz="0" w:space="0" w:color="auto"/>
        <w:right w:val="none" w:sz="0" w:space="0" w:color="auto"/>
      </w:divBdr>
    </w:div>
    <w:div w:id="1723097191">
      <w:marLeft w:val="0"/>
      <w:marRight w:val="720"/>
      <w:marTop w:val="10"/>
      <w:marBottom w:val="10"/>
      <w:divBdr>
        <w:top w:val="none" w:sz="0" w:space="0" w:color="auto"/>
        <w:left w:val="none" w:sz="0" w:space="0" w:color="auto"/>
        <w:bottom w:val="none" w:sz="0" w:space="0" w:color="auto"/>
        <w:right w:val="none" w:sz="0" w:space="0" w:color="auto"/>
      </w:divBdr>
    </w:div>
    <w:div w:id="1726100305">
      <w:marLeft w:val="0"/>
      <w:marRight w:val="0"/>
      <w:marTop w:val="10"/>
      <w:marBottom w:val="10"/>
      <w:divBdr>
        <w:top w:val="none" w:sz="0" w:space="0" w:color="auto"/>
        <w:left w:val="none" w:sz="0" w:space="0" w:color="auto"/>
        <w:bottom w:val="none" w:sz="0" w:space="0" w:color="auto"/>
        <w:right w:val="none" w:sz="0" w:space="0" w:color="auto"/>
      </w:divBdr>
    </w:div>
    <w:div w:id="1729456913">
      <w:marLeft w:val="0"/>
      <w:marRight w:val="720"/>
      <w:marTop w:val="10"/>
      <w:marBottom w:val="10"/>
      <w:divBdr>
        <w:top w:val="none" w:sz="0" w:space="0" w:color="auto"/>
        <w:left w:val="none" w:sz="0" w:space="0" w:color="auto"/>
        <w:bottom w:val="none" w:sz="0" w:space="0" w:color="auto"/>
        <w:right w:val="none" w:sz="0" w:space="0" w:color="auto"/>
      </w:divBdr>
    </w:div>
    <w:div w:id="1750731609">
      <w:marLeft w:val="0"/>
      <w:marRight w:val="0"/>
      <w:marTop w:val="10"/>
      <w:marBottom w:val="10"/>
      <w:divBdr>
        <w:top w:val="none" w:sz="0" w:space="0" w:color="auto"/>
        <w:left w:val="none" w:sz="0" w:space="0" w:color="auto"/>
        <w:bottom w:val="none" w:sz="0" w:space="0" w:color="auto"/>
        <w:right w:val="none" w:sz="0" w:space="0" w:color="auto"/>
      </w:divBdr>
    </w:div>
    <w:div w:id="1757895240">
      <w:marLeft w:val="0"/>
      <w:marRight w:val="0"/>
      <w:marTop w:val="10"/>
      <w:marBottom w:val="10"/>
      <w:divBdr>
        <w:top w:val="none" w:sz="0" w:space="0" w:color="auto"/>
        <w:left w:val="none" w:sz="0" w:space="0" w:color="auto"/>
        <w:bottom w:val="none" w:sz="0" w:space="0" w:color="auto"/>
        <w:right w:val="none" w:sz="0" w:space="0" w:color="auto"/>
      </w:divBdr>
    </w:div>
    <w:div w:id="1776359917">
      <w:marLeft w:val="0"/>
      <w:marRight w:val="0"/>
      <w:marTop w:val="10"/>
      <w:marBottom w:val="10"/>
      <w:divBdr>
        <w:top w:val="none" w:sz="0" w:space="0" w:color="auto"/>
        <w:left w:val="none" w:sz="0" w:space="0" w:color="auto"/>
        <w:bottom w:val="none" w:sz="0" w:space="0" w:color="auto"/>
        <w:right w:val="none" w:sz="0" w:space="0" w:color="auto"/>
      </w:divBdr>
    </w:div>
    <w:div w:id="1782720647">
      <w:marLeft w:val="0"/>
      <w:marRight w:val="0"/>
      <w:marTop w:val="10"/>
      <w:marBottom w:val="10"/>
      <w:divBdr>
        <w:top w:val="none" w:sz="0" w:space="0" w:color="auto"/>
        <w:left w:val="none" w:sz="0" w:space="0" w:color="auto"/>
        <w:bottom w:val="none" w:sz="0" w:space="0" w:color="auto"/>
        <w:right w:val="none" w:sz="0" w:space="0" w:color="auto"/>
      </w:divBdr>
    </w:div>
    <w:div w:id="1852134783">
      <w:marLeft w:val="0"/>
      <w:marRight w:val="0"/>
      <w:marTop w:val="10"/>
      <w:marBottom w:val="10"/>
      <w:divBdr>
        <w:top w:val="none" w:sz="0" w:space="0" w:color="auto"/>
        <w:left w:val="none" w:sz="0" w:space="0" w:color="auto"/>
        <w:bottom w:val="none" w:sz="0" w:space="0" w:color="auto"/>
        <w:right w:val="none" w:sz="0" w:space="0" w:color="auto"/>
      </w:divBdr>
    </w:div>
    <w:div w:id="1855076388">
      <w:marLeft w:val="0"/>
      <w:marRight w:val="0"/>
      <w:marTop w:val="10"/>
      <w:marBottom w:val="10"/>
      <w:divBdr>
        <w:top w:val="none" w:sz="0" w:space="0" w:color="auto"/>
        <w:left w:val="none" w:sz="0" w:space="0" w:color="auto"/>
        <w:bottom w:val="none" w:sz="0" w:space="0" w:color="auto"/>
        <w:right w:val="none" w:sz="0" w:space="0" w:color="auto"/>
      </w:divBdr>
    </w:div>
    <w:div w:id="1910575915">
      <w:marLeft w:val="0"/>
      <w:marRight w:val="0"/>
      <w:marTop w:val="10"/>
      <w:marBottom w:val="10"/>
      <w:divBdr>
        <w:top w:val="none" w:sz="0" w:space="0" w:color="auto"/>
        <w:left w:val="none" w:sz="0" w:space="0" w:color="auto"/>
        <w:bottom w:val="none" w:sz="0" w:space="0" w:color="auto"/>
        <w:right w:val="none" w:sz="0" w:space="0" w:color="auto"/>
      </w:divBdr>
    </w:div>
    <w:div w:id="1916010951">
      <w:marLeft w:val="0"/>
      <w:marRight w:val="0"/>
      <w:marTop w:val="10"/>
      <w:marBottom w:val="10"/>
      <w:divBdr>
        <w:top w:val="none" w:sz="0" w:space="0" w:color="auto"/>
        <w:left w:val="none" w:sz="0" w:space="0" w:color="auto"/>
        <w:bottom w:val="none" w:sz="0" w:space="0" w:color="auto"/>
        <w:right w:val="none" w:sz="0" w:space="0" w:color="auto"/>
      </w:divBdr>
    </w:div>
    <w:div w:id="1925675931">
      <w:marLeft w:val="0"/>
      <w:marRight w:val="0"/>
      <w:marTop w:val="10"/>
      <w:marBottom w:val="10"/>
      <w:divBdr>
        <w:top w:val="none" w:sz="0" w:space="0" w:color="auto"/>
        <w:left w:val="none" w:sz="0" w:space="0" w:color="auto"/>
        <w:bottom w:val="none" w:sz="0" w:space="0" w:color="auto"/>
        <w:right w:val="none" w:sz="0" w:space="0" w:color="auto"/>
      </w:divBdr>
    </w:div>
    <w:div w:id="1958022962">
      <w:marLeft w:val="0"/>
      <w:marRight w:val="0"/>
      <w:marTop w:val="10"/>
      <w:marBottom w:val="10"/>
      <w:divBdr>
        <w:top w:val="none" w:sz="0" w:space="0" w:color="auto"/>
        <w:left w:val="none" w:sz="0" w:space="0" w:color="auto"/>
        <w:bottom w:val="none" w:sz="0" w:space="0" w:color="auto"/>
        <w:right w:val="none" w:sz="0" w:space="0" w:color="auto"/>
      </w:divBdr>
    </w:div>
    <w:div w:id="2035113523">
      <w:marLeft w:val="0"/>
      <w:marRight w:val="0"/>
      <w:marTop w:val="10"/>
      <w:marBottom w:val="10"/>
      <w:divBdr>
        <w:top w:val="none" w:sz="0" w:space="0" w:color="auto"/>
        <w:left w:val="none" w:sz="0" w:space="0" w:color="auto"/>
        <w:bottom w:val="none" w:sz="0" w:space="0" w:color="auto"/>
        <w:right w:val="none" w:sz="0" w:space="0" w:color="auto"/>
      </w:divBdr>
    </w:div>
    <w:div w:id="2053773268">
      <w:marLeft w:val="0"/>
      <w:marRight w:val="0"/>
      <w:marTop w:val="10"/>
      <w:marBottom w:val="10"/>
      <w:divBdr>
        <w:top w:val="none" w:sz="0" w:space="0" w:color="auto"/>
        <w:left w:val="none" w:sz="0" w:space="0" w:color="auto"/>
        <w:bottom w:val="none" w:sz="0" w:space="0" w:color="auto"/>
        <w:right w:val="none" w:sz="0" w:space="0" w:color="auto"/>
      </w:divBdr>
    </w:div>
    <w:div w:id="2130927428">
      <w:marLeft w:val="0"/>
      <w:marRight w:val="0"/>
      <w:marTop w:val="10"/>
      <w:marBottom w:val="10"/>
      <w:divBdr>
        <w:top w:val="none" w:sz="0" w:space="0" w:color="auto"/>
        <w:left w:val="none" w:sz="0" w:space="0" w:color="auto"/>
        <w:bottom w:val="none" w:sz="0" w:space="0" w:color="auto"/>
        <w:right w:val="none" w:sz="0" w:space="0" w:color="auto"/>
      </w:divBdr>
    </w:div>
    <w:div w:id="213197509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2683</Words>
  <Characters>15295</Characters>
  <Application>Microsoft Office Word</Application>
  <DocSecurity>0</DocSecurity>
  <Lines>127</Lines>
  <Paragraphs>35</Paragraphs>
  <ScaleCrop>false</ScaleCrop>
  <Company/>
  <LinksUpToDate>false</LinksUpToDate>
  <CharactersWithSpaces>17943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