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A0037">
      <w:pPr>
        <w:spacing w:line="500" w:lineRule="atLeast"/>
        <w:jc w:val="center"/>
        <w:divId w:val="215555104"/>
        <w:rPr>
          <w:rFonts w:ascii="黑体" w:eastAsia="黑体" w:hAnsi="黑体"/>
          <w:sz w:val="36"/>
          <w:szCs w:val="36"/>
        </w:rPr>
      </w:pPr>
      <w:bookmarkStart w:id="0" w:name="_GoBack"/>
      <w:bookmarkEnd w:id="0"/>
      <w:r>
        <w:rPr>
          <w:rFonts w:ascii="黑体" w:eastAsia="黑体" w:hAnsi="黑体" w:hint="eastAsia"/>
          <w:sz w:val="36"/>
          <w:szCs w:val="36"/>
        </w:rPr>
        <w:t>山东省济南市中级人民法院</w:t>
      </w:r>
    </w:p>
    <w:p w:rsidR="00000000" w:rsidRDefault="00EA0037">
      <w:pPr>
        <w:spacing w:line="500" w:lineRule="atLeast"/>
        <w:jc w:val="center"/>
        <w:divId w:val="3478039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A0037">
      <w:pPr>
        <w:spacing w:line="500" w:lineRule="atLeast"/>
        <w:jc w:val="right"/>
        <w:divId w:val="1831408094"/>
        <w:rPr>
          <w:rFonts w:hint="eastAsia"/>
          <w:sz w:val="30"/>
          <w:szCs w:val="30"/>
        </w:rPr>
      </w:pPr>
      <w:r>
        <w:rPr>
          <w:rFonts w:hint="eastAsia"/>
          <w:sz w:val="30"/>
          <w:szCs w:val="30"/>
        </w:rPr>
        <w:t>(2020)</w:t>
      </w:r>
      <w:r>
        <w:rPr>
          <w:rFonts w:hint="eastAsia"/>
          <w:sz w:val="30"/>
          <w:szCs w:val="30"/>
        </w:rPr>
        <w:t>鲁</w:t>
      </w:r>
      <w:r>
        <w:rPr>
          <w:rFonts w:hint="eastAsia"/>
          <w:sz w:val="30"/>
          <w:szCs w:val="30"/>
        </w:rPr>
        <w:t>01</w:t>
      </w:r>
      <w:r>
        <w:rPr>
          <w:rFonts w:hint="eastAsia"/>
          <w:sz w:val="30"/>
          <w:szCs w:val="30"/>
        </w:rPr>
        <w:t>民终</w:t>
      </w:r>
      <w:r>
        <w:rPr>
          <w:rFonts w:hint="eastAsia"/>
          <w:sz w:val="30"/>
          <w:szCs w:val="30"/>
        </w:rPr>
        <w:t>1477</w:t>
      </w:r>
      <w:r>
        <w:rPr>
          <w:rFonts w:hint="eastAsia"/>
          <w:sz w:val="30"/>
          <w:szCs w:val="30"/>
        </w:rPr>
        <w:t>号</w:t>
      </w:r>
    </w:p>
    <w:p w:rsidR="00000000" w:rsidRDefault="00EA0037">
      <w:pPr>
        <w:spacing w:line="500" w:lineRule="atLeast"/>
        <w:ind w:firstLine="600"/>
        <w:divId w:val="1943486869"/>
        <w:rPr>
          <w:rFonts w:hint="eastAsia"/>
          <w:sz w:val="30"/>
          <w:szCs w:val="30"/>
        </w:rPr>
      </w:pPr>
      <w:r>
        <w:rPr>
          <w:rFonts w:hint="eastAsia"/>
          <w:sz w:val="30"/>
          <w:szCs w:val="30"/>
        </w:rPr>
        <w:t>上诉人（原审原告）：山东亿海兰特通信科技有限公司，住所地济南市。</w:t>
      </w:r>
    </w:p>
    <w:p w:rsidR="00000000" w:rsidRDefault="00EA0037">
      <w:pPr>
        <w:spacing w:line="500" w:lineRule="atLeast"/>
        <w:ind w:firstLine="600"/>
        <w:divId w:val="251474832"/>
        <w:rPr>
          <w:rFonts w:hint="eastAsia"/>
          <w:sz w:val="30"/>
          <w:szCs w:val="30"/>
        </w:rPr>
      </w:pPr>
      <w:r>
        <w:rPr>
          <w:rFonts w:hint="eastAsia"/>
          <w:sz w:val="30"/>
          <w:szCs w:val="30"/>
        </w:rPr>
        <w:t>法定代表人：任爱敏，总经理。</w:t>
      </w:r>
    </w:p>
    <w:p w:rsidR="00000000" w:rsidRDefault="00EA0037">
      <w:pPr>
        <w:spacing w:line="500" w:lineRule="atLeast"/>
        <w:ind w:firstLine="600"/>
        <w:divId w:val="921917634"/>
        <w:rPr>
          <w:rFonts w:hint="eastAsia"/>
          <w:sz w:val="30"/>
          <w:szCs w:val="30"/>
        </w:rPr>
      </w:pPr>
      <w:r>
        <w:rPr>
          <w:rFonts w:hint="eastAsia"/>
          <w:sz w:val="30"/>
          <w:szCs w:val="30"/>
        </w:rPr>
        <w:t>委托诉讼代理人：李建成，山东睿扬律师事务所律师。</w:t>
      </w:r>
    </w:p>
    <w:p w:rsidR="00000000" w:rsidRDefault="00EA0037">
      <w:pPr>
        <w:spacing w:line="500" w:lineRule="atLeast"/>
        <w:ind w:firstLine="600"/>
        <w:divId w:val="989753708"/>
        <w:rPr>
          <w:rFonts w:hint="eastAsia"/>
          <w:sz w:val="30"/>
          <w:szCs w:val="30"/>
        </w:rPr>
      </w:pPr>
      <w:r>
        <w:rPr>
          <w:rFonts w:hint="eastAsia"/>
          <w:sz w:val="30"/>
          <w:szCs w:val="30"/>
        </w:rPr>
        <w:t>委托诉讼代理人：许杰，山东睿扬律师事务所实习律师。</w:t>
      </w:r>
    </w:p>
    <w:p w:rsidR="00000000" w:rsidRDefault="00EA0037">
      <w:pPr>
        <w:spacing w:line="500" w:lineRule="atLeast"/>
        <w:ind w:firstLine="600"/>
        <w:divId w:val="1415929655"/>
        <w:rPr>
          <w:rFonts w:hint="eastAsia"/>
          <w:sz w:val="30"/>
          <w:szCs w:val="30"/>
        </w:rPr>
      </w:pPr>
      <w:r>
        <w:rPr>
          <w:rFonts w:hint="eastAsia"/>
          <w:sz w:val="30"/>
          <w:szCs w:val="30"/>
        </w:rPr>
        <w:t>被上诉人（原审被告）：张毓栋，男，</w:t>
      </w:r>
      <w:r>
        <w:rPr>
          <w:rFonts w:hint="eastAsia"/>
          <w:sz w:val="30"/>
          <w:szCs w:val="30"/>
        </w:rPr>
        <w:t>1982</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日出生，汉族，住山东省济南市。</w:t>
      </w:r>
    </w:p>
    <w:p w:rsidR="00000000" w:rsidRDefault="00EA0037">
      <w:pPr>
        <w:spacing w:line="500" w:lineRule="atLeast"/>
        <w:ind w:firstLine="600"/>
        <w:divId w:val="1720058136"/>
        <w:rPr>
          <w:rFonts w:hint="eastAsia"/>
          <w:sz w:val="30"/>
          <w:szCs w:val="30"/>
        </w:rPr>
      </w:pPr>
      <w:r>
        <w:rPr>
          <w:rFonts w:hint="eastAsia"/>
          <w:sz w:val="30"/>
          <w:szCs w:val="30"/>
        </w:rPr>
        <w:t>委托诉讼代理人：程守法，山东众成清泰（济南）律师事务所律师。</w:t>
      </w:r>
    </w:p>
    <w:p w:rsidR="00000000" w:rsidRDefault="00EA0037">
      <w:pPr>
        <w:spacing w:line="500" w:lineRule="atLeast"/>
        <w:ind w:firstLine="600"/>
        <w:divId w:val="2064332066"/>
        <w:rPr>
          <w:rFonts w:hint="eastAsia"/>
          <w:sz w:val="30"/>
          <w:szCs w:val="30"/>
        </w:rPr>
      </w:pPr>
      <w:r>
        <w:rPr>
          <w:rFonts w:hint="eastAsia"/>
          <w:sz w:val="30"/>
          <w:szCs w:val="30"/>
        </w:rPr>
        <w:t>委托诉讼代理人：景雷，山东众成清泰（济南）律师事务所实习律师。</w:t>
      </w:r>
    </w:p>
    <w:p w:rsidR="00000000" w:rsidRDefault="00EA0037">
      <w:pPr>
        <w:spacing w:line="500" w:lineRule="atLeast"/>
        <w:ind w:firstLine="600"/>
        <w:divId w:val="2027245209"/>
        <w:rPr>
          <w:rFonts w:hint="eastAsia"/>
          <w:sz w:val="30"/>
          <w:szCs w:val="30"/>
        </w:rPr>
      </w:pPr>
      <w:r>
        <w:rPr>
          <w:rFonts w:hint="eastAsia"/>
          <w:sz w:val="30"/>
          <w:szCs w:val="30"/>
        </w:rPr>
        <w:t>原审第三人：山东蚂数信息科技有限公司，住所地山东省济南市。</w:t>
      </w:r>
    </w:p>
    <w:p w:rsidR="00000000" w:rsidRDefault="00EA0037">
      <w:pPr>
        <w:spacing w:line="500" w:lineRule="atLeast"/>
        <w:ind w:firstLine="600"/>
        <w:divId w:val="1695114908"/>
        <w:rPr>
          <w:rFonts w:hint="eastAsia"/>
          <w:sz w:val="30"/>
          <w:szCs w:val="30"/>
        </w:rPr>
      </w:pPr>
      <w:r>
        <w:rPr>
          <w:rFonts w:hint="eastAsia"/>
          <w:sz w:val="30"/>
          <w:szCs w:val="30"/>
        </w:rPr>
        <w:t>法定代表人：范向阳，总经理。</w:t>
      </w:r>
    </w:p>
    <w:p w:rsidR="00000000" w:rsidRDefault="00EA0037">
      <w:pPr>
        <w:spacing w:line="500" w:lineRule="atLeast"/>
        <w:ind w:firstLine="600"/>
        <w:divId w:val="336276208"/>
        <w:rPr>
          <w:rFonts w:hint="eastAsia"/>
          <w:sz w:val="30"/>
          <w:szCs w:val="30"/>
        </w:rPr>
      </w:pPr>
      <w:r>
        <w:rPr>
          <w:rFonts w:hint="eastAsia"/>
          <w:sz w:val="30"/>
          <w:szCs w:val="30"/>
        </w:rPr>
        <w:t>委托诉讼代理人：程守法，山东众成清泰（济南）律师事务所律师。</w:t>
      </w:r>
    </w:p>
    <w:p w:rsidR="00000000" w:rsidRDefault="00EA0037">
      <w:pPr>
        <w:spacing w:line="500" w:lineRule="atLeast"/>
        <w:ind w:firstLine="600"/>
        <w:divId w:val="1463768291"/>
        <w:rPr>
          <w:rFonts w:hint="eastAsia"/>
          <w:sz w:val="30"/>
          <w:szCs w:val="30"/>
        </w:rPr>
      </w:pPr>
      <w:r>
        <w:rPr>
          <w:rFonts w:hint="eastAsia"/>
          <w:sz w:val="30"/>
          <w:szCs w:val="30"/>
        </w:rPr>
        <w:t>委托诉讼代理人：景雷，山东众成清泰（济南）律师事务所实习律师。</w:t>
      </w:r>
    </w:p>
    <w:p w:rsidR="00000000" w:rsidRDefault="00EA0037">
      <w:pPr>
        <w:spacing w:line="500" w:lineRule="atLeast"/>
        <w:ind w:firstLine="600"/>
        <w:divId w:val="936399503"/>
        <w:rPr>
          <w:rFonts w:hint="eastAsia"/>
          <w:sz w:val="30"/>
          <w:szCs w:val="30"/>
        </w:rPr>
      </w:pPr>
      <w:r>
        <w:rPr>
          <w:rFonts w:hint="eastAsia"/>
          <w:sz w:val="30"/>
          <w:szCs w:val="30"/>
        </w:rPr>
        <w:t>上诉人山东亿海兰特通信科技有限公司（以下简称亿海兰特公司）因与被上诉人张毓栋、原审第三人山东蚂数信息科技有限公司（以下简称蚂数公司）损害公司利益责任纠纷一案，不服济南高新技术产业开发区人民法院</w:t>
      </w:r>
      <w:r>
        <w:rPr>
          <w:rFonts w:hint="eastAsia"/>
          <w:sz w:val="30"/>
          <w:szCs w:val="30"/>
        </w:rPr>
        <w:t>(2019)</w:t>
      </w:r>
      <w:r>
        <w:rPr>
          <w:rFonts w:hint="eastAsia"/>
          <w:sz w:val="30"/>
          <w:szCs w:val="30"/>
        </w:rPr>
        <w:t>鲁</w:t>
      </w:r>
      <w:r>
        <w:rPr>
          <w:rFonts w:hint="eastAsia"/>
          <w:sz w:val="30"/>
          <w:szCs w:val="30"/>
        </w:rPr>
        <w:t>0191</w:t>
      </w:r>
      <w:r>
        <w:rPr>
          <w:rFonts w:hint="eastAsia"/>
          <w:sz w:val="30"/>
          <w:szCs w:val="30"/>
        </w:rPr>
        <w:t>民初</w:t>
      </w:r>
      <w:r>
        <w:rPr>
          <w:rFonts w:hint="eastAsia"/>
          <w:sz w:val="30"/>
          <w:szCs w:val="30"/>
        </w:rPr>
        <w:t>4947</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日立案后，依法进行</w:t>
      </w:r>
      <w:r>
        <w:rPr>
          <w:rFonts w:hint="eastAsia"/>
          <w:sz w:val="30"/>
          <w:szCs w:val="30"/>
        </w:rPr>
        <w:t>了审理，现已审理终结。</w:t>
      </w:r>
    </w:p>
    <w:p w:rsidR="00000000" w:rsidRDefault="00EA0037">
      <w:pPr>
        <w:spacing w:line="500" w:lineRule="atLeast"/>
        <w:ind w:firstLine="600"/>
        <w:divId w:val="1604069148"/>
        <w:rPr>
          <w:rFonts w:hint="eastAsia"/>
          <w:sz w:val="30"/>
          <w:szCs w:val="30"/>
        </w:rPr>
      </w:pPr>
      <w:r>
        <w:rPr>
          <w:rFonts w:hint="eastAsia"/>
          <w:sz w:val="30"/>
          <w:szCs w:val="30"/>
        </w:rPr>
        <w:lastRenderedPageBreak/>
        <w:t>亿海兰特公司上诉请求：一、撤销济南高新技术产业开发区人民法院（</w:t>
      </w:r>
      <w:r>
        <w:rPr>
          <w:rFonts w:hint="eastAsia"/>
          <w:sz w:val="30"/>
          <w:szCs w:val="30"/>
        </w:rPr>
        <w:t>2019</w:t>
      </w:r>
      <w:r>
        <w:rPr>
          <w:rFonts w:hint="eastAsia"/>
          <w:sz w:val="30"/>
          <w:szCs w:val="30"/>
        </w:rPr>
        <w:t>）鲁</w:t>
      </w:r>
      <w:r>
        <w:rPr>
          <w:rFonts w:hint="eastAsia"/>
          <w:sz w:val="30"/>
          <w:szCs w:val="30"/>
        </w:rPr>
        <w:t>0191</w:t>
      </w:r>
      <w:r>
        <w:rPr>
          <w:rFonts w:hint="eastAsia"/>
          <w:sz w:val="30"/>
          <w:szCs w:val="30"/>
        </w:rPr>
        <w:t>民初</w:t>
      </w:r>
      <w:r>
        <w:rPr>
          <w:rFonts w:hint="eastAsia"/>
          <w:sz w:val="30"/>
          <w:szCs w:val="30"/>
        </w:rPr>
        <w:t>4947</w:t>
      </w:r>
      <w:r>
        <w:rPr>
          <w:rFonts w:hint="eastAsia"/>
          <w:sz w:val="30"/>
          <w:szCs w:val="30"/>
        </w:rPr>
        <w:t>号民事判决，依法改判支持上诉人一审的全部诉讼请求；二、一、二审诉讼费用由被上诉人承担。事实和理由：一、一审判决认定张毓栋不属于亿海兰特公司高管错误。首先，从公司实际经营情况看，亿海兰特公司作为一家员工人数较少、从事软件销售的公司，最主要的业务范围就是软件销售，销售部门作为公司最为重要的一个部门，部门工作开展的好坏直接关系到公司的生死存亡。张毓栋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日期间</w:t>
      </w:r>
      <w:r>
        <w:rPr>
          <w:rFonts w:hint="eastAsia"/>
          <w:sz w:val="30"/>
          <w:szCs w:val="30"/>
        </w:rPr>
        <w:t>在亿海兰特公司任职，前期负责软件销售工作。</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日，亿海兰特公司下发《</w:t>
      </w:r>
      <w:r>
        <w:rPr>
          <w:rFonts w:hint="eastAsia"/>
          <w:sz w:val="30"/>
          <w:szCs w:val="30"/>
        </w:rPr>
        <w:t>2017</w:t>
      </w:r>
      <w:r>
        <w:rPr>
          <w:rFonts w:hint="eastAsia"/>
          <w:sz w:val="30"/>
          <w:szCs w:val="30"/>
        </w:rPr>
        <w:t>年公司人事任命通知》，张毓栋被提拔为公司高管，任命为公司销售总监，负责公司的整个销售业务，具体工作内容包括对公司销售战略的制定、维护对接重要客户、管理销售事业部的整体工作等管理内容。同时，根据亿海兰特公司销售事业部会议纪要（编号</w:t>
      </w:r>
      <w:r>
        <w:rPr>
          <w:rFonts w:hint="eastAsia"/>
          <w:sz w:val="30"/>
          <w:szCs w:val="30"/>
        </w:rPr>
        <w:t>2019</w:t>
      </w:r>
      <w:r>
        <w:rPr>
          <w:rFonts w:hint="eastAsia"/>
          <w:sz w:val="30"/>
          <w:szCs w:val="30"/>
        </w:rPr>
        <w:t>—</w:t>
      </w:r>
      <w:r>
        <w:rPr>
          <w:rFonts w:hint="eastAsia"/>
          <w:sz w:val="30"/>
          <w:szCs w:val="30"/>
        </w:rPr>
        <w:t>09</w:t>
      </w:r>
      <w:r>
        <w:rPr>
          <w:rFonts w:hint="eastAsia"/>
          <w:sz w:val="30"/>
          <w:szCs w:val="30"/>
        </w:rPr>
        <w:t>—</w:t>
      </w:r>
      <w:r>
        <w:rPr>
          <w:rFonts w:hint="eastAsia"/>
          <w:sz w:val="30"/>
          <w:szCs w:val="30"/>
        </w:rPr>
        <w:t>05</w:t>
      </w:r>
      <w:r>
        <w:rPr>
          <w:rFonts w:hint="eastAsia"/>
          <w:sz w:val="30"/>
          <w:szCs w:val="30"/>
        </w:rPr>
        <w:t>）记录的会议出席人员、人员顺序及会议内容也可看出，张毓栋位列董事长之后，负责管理公司的整个软件销售业务，地位举足轻重。其次，从法律层面看，公司法规定的企业高管的职位包括董事长</w:t>
      </w:r>
      <w:r>
        <w:rPr>
          <w:rFonts w:hint="eastAsia"/>
          <w:sz w:val="30"/>
          <w:szCs w:val="30"/>
        </w:rPr>
        <w:t>（及董事）、总经理、副总经理、总工程师、总经济师、总会计师（财务总监）、常务副总、独立董事、董秘、营销总监、行政总监、人事总监、监事会总监等。张毓栋作为亿海兰特公司的销售总监，属于公司的高级管理人员。一审判决无视亿海兰特公司的证据，只是单纯依据法条列举的高管情况，没有考虑法条列举情况外的兜底条款“等”所包含的内容，完全不考虑亿海兰特公司的实际经营状况，径直认定张毓栋不属于公司高管，认定事实错误，从而使本案判决出现根本性错误。二、一审判决认定张毓栋未利用职务便利为第三人关联公司谋取了</w:t>
      </w:r>
      <w:r>
        <w:rPr>
          <w:rFonts w:hint="eastAsia"/>
          <w:sz w:val="30"/>
          <w:szCs w:val="30"/>
        </w:rPr>
        <w:lastRenderedPageBreak/>
        <w:t>属于亿海兰特公司的商业机会</w:t>
      </w:r>
      <w:r>
        <w:rPr>
          <w:rFonts w:hint="eastAsia"/>
          <w:sz w:val="30"/>
          <w:szCs w:val="30"/>
        </w:rPr>
        <w:t>，认定事实错误。张毓栋在担任亿海兰特公司高管期间内，于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日利用其父张学君、其妻赵琪等人员的名义（股东发起人），成立了与亿海兰特公司经营范围相同的第三人关联公司。自</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日起，第三人关联公司经过一系列的股权变更操作，于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日变更为张毓栋</w:t>
      </w:r>
      <w:r>
        <w:rPr>
          <w:rFonts w:hint="eastAsia"/>
          <w:sz w:val="30"/>
          <w:szCs w:val="30"/>
        </w:rPr>
        <w:t>100%</w:t>
      </w:r>
      <w:r>
        <w:rPr>
          <w:rFonts w:hint="eastAsia"/>
          <w:sz w:val="30"/>
          <w:szCs w:val="30"/>
        </w:rPr>
        <w:t>控股公司。张毓栋在得知亿海兰特公司以损害公司利益责任纠纷为由将其起诉后，为撇清其与第三人公司之间的关联关系，于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日将企业股权登记信息进行了变更，并在一审开庭时张毓栋及蚂数公司的代理人否认张毓栋与第三人公司关联关</w:t>
      </w:r>
      <w:r>
        <w:rPr>
          <w:rFonts w:hint="eastAsia"/>
          <w:sz w:val="30"/>
          <w:szCs w:val="30"/>
        </w:rPr>
        <w:t>系，充分体现出张毓栋明显的故意规避法律责任态度。张毓栋在亿海兰特公司担任高管期间，未经股东会或股东大会同意，利用作为亿海兰特公司销售总监的职务便利，帮助第三人公司中标省体彩大数据支撑平台、港航公安局精准警务</w:t>
      </w:r>
      <w:r>
        <w:rPr>
          <w:rFonts w:hint="eastAsia"/>
          <w:sz w:val="30"/>
          <w:szCs w:val="30"/>
        </w:rPr>
        <w:t>App</w:t>
      </w:r>
      <w:r>
        <w:rPr>
          <w:rFonts w:hint="eastAsia"/>
          <w:sz w:val="30"/>
          <w:szCs w:val="30"/>
        </w:rPr>
        <w:t>采购安装项目和济南市公安局扫黑除恶平台三个项目。特别是省体彩大数据支撑平台一期的项目服务商就是亿海兰特公司，但二期项目招投标时，张毓栋帮助第三人公司谋取了属于亿海兰特公司的商业机会，项目服务商变更为第三人公司，给亿海兰特公司造成了极大地经济损失。一审判决没有考虑其中的逻辑关系，也未考虑张毓栋曾作为亿</w:t>
      </w:r>
      <w:r>
        <w:rPr>
          <w:rFonts w:hint="eastAsia"/>
          <w:sz w:val="30"/>
          <w:szCs w:val="30"/>
        </w:rPr>
        <w:t>海兰特公司销售总监，负责维护省体彩数据中心支撑平台项目的情况，直接认定张毓栋未利用职务便利帮助第三人公司取得亿海兰特公司的商业机会，属于认定事实错误。另外，根据</w:t>
      </w:r>
      <w:r>
        <w:rPr>
          <w:rFonts w:hint="eastAsia"/>
          <w:sz w:val="30"/>
          <w:szCs w:val="30"/>
        </w:rPr>
        <w:t>15478</w:t>
      </w:r>
      <w:r>
        <w:rPr>
          <w:rFonts w:hint="eastAsia"/>
          <w:sz w:val="30"/>
          <w:szCs w:val="30"/>
        </w:rPr>
        <w:t>号公证书显示，在张毓栋在亿海兰特公司担任高管期间，第三人公司在投标山东体彩大数据平台项目时，在政府政务公开官网上公开了其中标港航公安局精准警务</w:t>
      </w:r>
      <w:r>
        <w:rPr>
          <w:rFonts w:hint="eastAsia"/>
          <w:sz w:val="30"/>
          <w:szCs w:val="30"/>
        </w:rPr>
        <w:t>App</w:t>
      </w:r>
      <w:r>
        <w:rPr>
          <w:rFonts w:hint="eastAsia"/>
          <w:sz w:val="30"/>
          <w:szCs w:val="30"/>
        </w:rPr>
        <w:t>采购安装和济南市公安局扫黑除恶平台两个项目的信息，具有完全法律效力和公开公正的特征。但在一审开庭中，张毓栋的代理人陈述，该两份业绩一份是尚未发生，另外一份是其他单位中标。张毓栋在政府公开招标项目</w:t>
      </w:r>
      <w:r>
        <w:rPr>
          <w:rFonts w:hint="eastAsia"/>
          <w:sz w:val="30"/>
          <w:szCs w:val="30"/>
        </w:rPr>
        <w:t>中就是明显弄虚作假，其行为已经明显构成违法犯罪。但一审判决对此只字未提，但认定对这两个项目，亿海兰特公司未提供证据证明张毓栋违反了公司法第一百四十八条的规定之情形，明显认定事实错误。因此，</w:t>
      </w:r>
      <w:r>
        <w:rPr>
          <w:rFonts w:hint="eastAsia"/>
          <w:sz w:val="30"/>
          <w:szCs w:val="30"/>
        </w:rPr>
        <w:t>15478</w:t>
      </w:r>
      <w:r>
        <w:rPr>
          <w:rFonts w:hint="eastAsia"/>
          <w:sz w:val="30"/>
          <w:szCs w:val="30"/>
        </w:rPr>
        <w:t>号公证书中显示第三人中标的三个项目，均发生在张毓栋尚未离职期间，属于公司法第一百四十八条第五项规定之情形。三、张毓栋违反竞业禁止规定这一法定义务，亿海兰特公司有权行使归入权。根据公司法第一百四十八条规定，董事、高级管理人员违反前款关于竞业禁止规定所得的收入应当归公司所有。这是受损害公司的归入权，属于公司的法定权利</w:t>
      </w:r>
      <w:r>
        <w:rPr>
          <w:rFonts w:hint="eastAsia"/>
          <w:sz w:val="30"/>
          <w:szCs w:val="30"/>
        </w:rPr>
        <w:t>。归入权中的受损害公司的经济损失，并不以该利益已经完全实现为前提，应当系侵权人实施的各种经营活动侵害了公司现实利益或可预见的预期利益作为公司的损失依据，因此，亿海兰特公司行使归入权，诉请将张毓栋帮助第三人公司中标三个项目总标的额</w:t>
      </w:r>
      <w:r>
        <w:rPr>
          <w:rFonts w:hint="eastAsia"/>
          <w:sz w:val="30"/>
          <w:szCs w:val="30"/>
        </w:rPr>
        <w:t>349.1</w:t>
      </w:r>
      <w:r>
        <w:rPr>
          <w:rFonts w:hint="eastAsia"/>
          <w:sz w:val="30"/>
          <w:szCs w:val="30"/>
        </w:rPr>
        <w:t>万元赔偿给亿海兰特公司，符合公司法规定，证据确实充分。</w:t>
      </w:r>
    </w:p>
    <w:p w:rsidR="00000000" w:rsidRDefault="00EA0037">
      <w:pPr>
        <w:spacing w:line="500" w:lineRule="atLeast"/>
        <w:ind w:firstLine="600"/>
        <w:divId w:val="1877305191"/>
        <w:rPr>
          <w:rFonts w:hint="eastAsia"/>
          <w:sz w:val="30"/>
          <w:szCs w:val="30"/>
        </w:rPr>
      </w:pPr>
      <w:r>
        <w:rPr>
          <w:rFonts w:hint="eastAsia"/>
          <w:sz w:val="30"/>
          <w:szCs w:val="30"/>
        </w:rPr>
        <w:t>张毓栋、蚂数公司辩称，一、张毓栋仅负责业务部门，并非控股股东、董事、监事，在公司任职期间仅处理业务部门的相关事物，对公司决策没有决定权和影响力，不属于法律意义上的高级管理人员，张毓栋的主体不适格，亿海兰特公司的上诉请求</w:t>
      </w:r>
      <w:r>
        <w:rPr>
          <w:rFonts w:hint="eastAsia"/>
          <w:sz w:val="30"/>
          <w:szCs w:val="30"/>
        </w:rPr>
        <w:t>应当驳回。二、蚂数公司与亿海兰特公司是平等的市场主体，并不因经营范围趋同而负有竞业禁止义务，亿海兰特公司所主张的业务均是竞标业务，各方均享有同等的交易机会，并非亿海兰特公司专属缔约机会。且亿海兰特公司并未参与竞标，原因是其提供的服务客户不满意。三、亿海兰特公司主张的事实错误，张毓栋并非蚂数公司的股东，期间短期受让股权，现已将相关股权转让出去。四、亿海兰特公司起诉的招投标项目中，日照市港航公安局精准警务</w:t>
      </w:r>
      <w:r>
        <w:rPr>
          <w:rFonts w:hint="eastAsia"/>
          <w:sz w:val="30"/>
          <w:szCs w:val="30"/>
        </w:rPr>
        <w:t>App</w:t>
      </w:r>
      <w:r>
        <w:rPr>
          <w:rFonts w:hint="eastAsia"/>
          <w:sz w:val="30"/>
          <w:szCs w:val="30"/>
        </w:rPr>
        <w:t>最终中标方是山东海创智能有限公司，济南市公安局扫黑除恶平台项目还没有开始投标，省体彩大数据支撑平台项目</w:t>
      </w:r>
      <w:r>
        <w:rPr>
          <w:rFonts w:hint="eastAsia"/>
          <w:sz w:val="30"/>
          <w:szCs w:val="30"/>
        </w:rPr>
        <w:t>系通过合法招投标参与，而非单独协商达成合意，且亿海兰特公司未参与投标。五、亿海兰特公司并无实际损失，也未提供相关证据，其请求数额没有事实和法律依据。综上，请求驳回亿海兰特公司的上诉请求。</w:t>
      </w:r>
    </w:p>
    <w:p w:rsidR="00000000" w:rsidRDefault="00EA0037">
      <w:pPr>
        <w:spacing w:line="500" w:lineRule="atLeast"/>
        <w:ind w:firstLine="600"/>
        <w:divId w:val="1892232407"/>
        <w:rPr>
          <w:rFonts w:hint="eastAsia"/>
          <w:sz w:val="30"/>
          <w:szCs w:val="30"/>
        </w:rPr>
      </w:pPr>
      <w:r>
        <w:rPr>
          <w:rFonts w:hint="eastAsia"/>
          <w:sz w:val="30"/>
          <w:szCs w:val="30"/>
        </w:rPr>
        <w:t>亿海兰特公司向一审法院起诉请求：</w:t>
      </w:r>
      <w:r>
        <w:rPr>
          <w:rFonts w:hint="eastAsia"/>
          <w:sz w:val="30"/>
          <w:szCs w:val="30"/>
        </w:rPr>
        <w:t>1.</w:t>
      </w:r>
      <w:r>
        <w:rPr>
          <w:rFonts w:hint="eastAsia"/>
          <w:sz w:val="30"/>
          <w:szCs w:val="30"/>
        </w:rPr>
        <w:t>判令张毓栋立即停止损害亿海兰特公司利益的行为；</w:t>
      </w:r>
      <w:r>
        <w:rPr>
          <w:rFonts w:hint="eastAsia"/>
          <w:sz w:val="30"/>
          <w:szCs w:val="30"/>
        </w:rPr>
        <w:t>2.</w:t>
      </w:r>
      <w:r>
        <w:rPr>
          <w:rFonts w:hint="eastAsia"/>
          <w:sz w:val="30"/>
          <w:szCs w:val="30"/>
        </w:rPr>
        <w:t>判令张毓栋赔偿亿海兰特公司损失</w:t>
      </w:r>
      <w:r>
        <w:rPr>
          <w:rFonts w:hint="eastAsia"/>
          <w:sz w:val="30"/>
          <w:szCs w:val="30"/>
        </w:rPr>
        <w:t>349.1</w:t>
      </w:r>
      <w:r>
        <w:rPr>
          <w:rFonts w:hint="eastAsia"/>
          <w:sz w:val="30"/>
          <w:szCs w:val="30"/>
        </w:rPr>
        <w:t>万元；</w:t>
      </w:r>
      <w:r>
        <w:rPr>
          <w:rFonts w:hint="eastAsia"/>
          <w:sz w:val="30"/>
          <w:szCs w:val="30"/>
        </w:rPr>
        <w:t>3.</w:t>
      </w:r>
      <w:r>
        <w:rPr>
          <w:rFonts w:hint="eastAsia"/>
          <w:sz w:val="30"/>
          <w:szCs w:val="30"/>
        </w:rPr>
        <w:t>诉讼费用由张毓栋承担。</w:t>
      </w:r>
    </w:p>
    <w:p w:rsidR="00000000" w:rsidRDefault="00EA0037">
      <w:pPr>
        <w:spacing w:line="500" w:lineRule="atLeast"/>
        <w:ind w:firstLine="600"/>
        <w:divId w:val="1377729931"/>
        <w:rPr>
          <w:rFonts w:hint="eastAsia"/>
          <w:sz w:val="30"/>
          <w:szCs w:val="30"/>
        </w:rPr>
      </w:pPr>
      <w:r>
        <w:rPr>
          <w:rFonts w:hint="eastAsia"/>
          <w:sz w:val="30"/>
          <w:szCs w:val="30"/>
        </w:rPr>
        <w:t>一审法院认定事实：</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日，亿海兰特公司与张毓栋签订《岗位劳动合同》，约定亿海兰特公司聘用张毓栋工作岗位为软件销售，劳动合同期限为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日，亿海兰特公司与张毓栋签订《劳动合同》，约定亿海兰特聘用张毓栋的工作岗位为销售总监，劳动合同期限为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日，张毓栋向亿海兰特公司提交离职申请，双方于同日签订《离职协议》。</w:t>
      </w:r>
    </w:p>
    <w:p w:rsidR="00000000" w:rsidRDefault="00EA0037">
      <w:pPr>
        <w:spacing w:line="500" w:lineRule="atLeast"/>
        <w:ind w:firstLine="600"/>
        <w:divId w:val="1908228850"/>
        <w:rPr>
          <w:rFonts w:hint="eastAsia"/>
          <w:sz w:val="30"/>
          <w:szCs w:val="30"/>
        </w:rPr>
      </w:pPr>
      <w:r>
        <w:rPr>
          <w:rFonts w:hint="eastAsia"/>
          <w:sz w:val="30"/>
          <w:szCs w:val="30"/>
        </w:rPr>
        <w:t>亿海兰特公司工商注册登记的经营范围为：计算机软件的研发、销售，计算机信息系统集成工程的安装、施工，通信设备、通讯器材的销售、进出口代理，机械电子设备的进出口代理，通信技术服务（以上经营范围不含无线电发射及卫星电视接收产品），家具销售，装饰工程的施</w:t>
      </w:r>
      <w:r>
        <w:rPr>
          <w:rFonts w:hint="eastAsia"/>
          <w:sz w:val="30"/>
          <w:szCs w:val="30"/>
        </w:rPr>
        <w:t>工，安防工程设计施工，信息技术咨询，专业设计服务以及其他法律、法规、国务院决定等规定未禁止和不需要经营许可的项目，（依法需经批准的项目，经相关部门批准后方可开展经营活动）。蚂数公司注册成立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日，其股东（发起人）为张学君、赵琪、马合莲、张敏杰，其中赵琪为张毓栋之妻，</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日，股东（发起人）变更为张毓栋，</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日，股东（发起人）变更为刘琦、范向阳。蚂数公司工商注册登记的经营范围为：计算机系统集成，计算机软硬件的技术开发，智慧城市信息化系统、大数据、云计算、物联网、电子商</w:t>
      </w:r>
      <w:r>
        <w:rPr>
          <w:rFonts w:hint="eastAsia"/>
          <w:sz w:val="30"/>
          <w:szCs w:val="30"/>
        </w:rPr>
        <w:t>务的技术开发，数据处理，计算机软硬件及辅助设备的销售，计算机维修，基础软件服务，应用软件服务，综合布线，非专控通信设备的销售，企业管理咨询，企业形象策划，（依法须经批准的项目，经相关部门批准后方可开展经营活动）。</w:t>
      </w:r>
    </w:p>
    <w:p w:rsidR="00000000" w:rsidRDefault="00EA0037">
      <w:pPr>
        <w:spacing w:line="500" w:lineRule="atLeast"/>
        <w:ind w:firstLine="600"/>
        <w:divId w:val="1279870807"/>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山东水务招标有限公司发布《山东省体育彩票管理中心用户行为大数据支撑平台及业务协同平台建设服务建设及服务中标公告》，载明：采购人为山东省体育彩票管理中心机关，采购代理机构为山东水务招标有限公司，采购项目名称为山东省体育彩票管理中心用户行为大数据支撑平台及业务协同平台建设服务建设</w:t>
      </w:r>
      <w:r>
        <w:rPr>
          <w:rFonts w:hint="eastAsia"/>
          <w:sz w:val="30"/>
          <w:szCs w:val="30"/>
        </w:rPr>
        <w:t>及服务，采购方式为公开招标，中标供应商为蚂数公司，中标金额</w:t>
      </w:r>
      <w:r>
        <w:rPr>
          <w:rFonts w:hint="eastAsia"/>
          <w:sz w:val="30"/>
          <w:szCs w:val="30"/>
        </w:rPr>
        <w:t>89.1</w:t>
      </w:r>
      <w:r>
        <w:rPr>
          <w:rFonts w:hint="eastAsia"/>
          <w:sz w:val="30"/>
          <w:szCs w:val="30"/>
        </w:rPr>
        <w:t>万元。</w:t>
      </w:r>
    </w:p>
    <w:p w:rsidR="00000000" w:rsidRDefault="00EA0037">
      <w:pPr>
        <w:spacing w:line="500" w:lineRule="atLeast"/>
        <w:ind w:firstLine="600"/>
        <w:divId w:val="1882470944"/>
        <w:rPr>
          <w:rFonts w:hint="eastAsia"/>
          <w:sz w:val="30"/>
          <w:szCs w:val="30"/>
        </w:rPr>
      </w:pPr>
      <w:r>
        <w:rPr>
          <w:rFonts w:hint="eastAsia"/>
          <w:sz w:val="30"/>
          <w:szCs w:val="30"/>
        </w:rPr>
        <w:t>一审法院认为，《中华人民共和国公司法》第一百四十八条第一款第（五）项规定：董事、高级管理人员不得有下列行为：（五）未经股东会或者股东大会同意，利用职务便利为自己或者他人谋取属于公司的商业机会，自营或者为他人经营与所任职公司同类的业务；《中华人民共和国公司法》第二百一十六条第一款第（一）项规定：高级管理人员，是指公司的经理、副经理、财务负责人，上市公司董事会秘书和公司章程规定的其他人员。具体到本案中，张毓栋在亿海兰特公司离职前任销售总监</w:t>
      </w:r>
      <w:r>
        <w:rPr>
          <w:rFonts w:hint="eastAsia"/>
          <w:sz w:val="30"/>
          <w:szCs w:val="30"/>
        </w:rPr>
        <w:t>职务，并不属于公司法规定的高级管理人员范畴，亿海兰特公司主张张毓栋系其公司高级管理人员证据不足、于法无据，不予支持。另，亿海兰特公司诉状中所述省体彩大数据支撑平台、港航公安局精准警务</w:t>
      </w:r>
      <w:r>
        <w:rPr>
          <w:rFonts w:hint="eastAsia"/>
          <w:sz w:val="30"/>
          <w:szCs w:val="30"/>
        </w:rPr>
        <w:t>App</w:t>
      </w:r>
      <w:r>
        <w:rPr>
          <w:rFonts w:hint="eastAsia"/>
          <w:sz w:val="30"/>
          <w:szCs w:val="30"/>
        </w:rPr>
        <w:t>采购安装和济南市公安局扫黑除恶平台三个项目，其中省体彩大数据支撑平台项目系经过公开招标方式由蚂数公司中标，并非张毓栋利用职务便利为自己或者他人谋取属于公司的商业机会；针对其余两个项目，亿海兰特公司并未提供证据证明张毓栋的行为符合《中华人民共和国公司法》第一百四十八条规定之情形，因此对亿海兰特公司的主张，不予支持。综上，亿海</w:t>
      </w:r>
      <w:r>
        <w:rPr>
          <w:rFonts w:hint="eastAsia"/>
          <w:sz w:val="30"/>
          <w:szCs w:val="30"/>
        </w:rPr>
        <w:t>兰特公司诉请张毓栋承担赔偿责任于法无据，不予支持。根据《中华人民共和国公司法》第一百四十八条第一款第（五）项、第二百一十六条第一款第（一）项，《中华人民共和国民事诉讼法》第六十四条第一款、第一百四十二条的规定，一审判决：驳回亿海兰特公司的诉讼请求。案件受理费</w:t>
      </w:r>
      <w:r>
        <w:rPr>
          <w:rFonts w:hint="eastAsia"/>
          <w:sz w:val="30"/>
          <w:szCs w:val="30"/>
        </w:rPr>
        <w:t>34728</w:t>
      </w:r>
      <w:r>
        <w:rPr>
          <w:rFonts w:hint="eastAsia"/>
          <w:sz w:val="30"/>
          <w:szCs w:val="30"/>
        </w:rPr>
        <w:t>元，减半收取</w:t>
      </w:r>
      <w:r>
        <w:rPr>
          <w:rFonts w:hint="eastAsia"/>
          <w:sz w:val="30"/>
          <w:szCs w:val="30"/>
        </w:rPr>
        <w:t>17364</w:t>
      </w:r>
      <w:r>
        <w:rPr>
          <w:rFonts w:hint="eastAsia"/>
          <w:sz w:val="30"/>
          <w:szCs w:val="30"/>
        </w:rPr>
        <w:t>元，由亿海兰特公司承担。</w:t>
      </w:r>
    </w:p>
    <w:p w:rsidR="00000000" w:rsidRDefault="00EA0037">
      <w:pPr>
        <w:spacing w:line="500" w:lineRule="atLeast"/>
        <w:ind w:firstLine="600"/>
        <w:divId w:val="99496752"/>
        <w:rPr>
          <w:rFonts w:hint="eastAsia"/>
          <w:sz w:val="30"/>
          <w:szCs w:val="30"/>
        </w:rPr>
      </w:pPr>
      <w:r>
        <w:rPr>
          <w:rFonts w:hint="eastAsia"/>
          <w:sz w:val="30"/>
          <w:szCs w:val="30"/>
        </w:rPr>
        <w:t>二审期间，双方当事人均未提交新证据。</w:t>
      </w:r>
    </w:p>
    <w:p w:rsidR="00000000" w:rsidRDefault="00EA0037">
      <w:pPr>
        <w:spacing w:line="500" w:lineRule="atLeast"/>
        <w:ind w:firstLine="600"/>
        <w:divId w:val="1092165320"/>
        <w:rPr>
          <w:rFonts w:hint="eastAsia"/>
          <w:sz w:val="30"/>
          <w:szCs w:val="30"/>
        </w:rPr>
      </w:pPr>
      <w:r>
        <w:rPr>
          <w:rFonts w:hint="eastAsia"/>
          <w:sz w:val="30"/>
          <w:szCs w:val="30"/>
        </w:rPr>
        <w:t>本院对一审查明的事实予以确认。</w:t>
      </w:r>
    </w:p>
    <w:p w:rsidR="00000000" w:rsidRDefault="00EA0037">
      <w:pPr>
        <w:spacing w:line="500" w:lineRule="atLeast"/>
        <w:ind w:firstLine="600"/>
        <w:divId w:val="2083676070"/>
        <w:rPr>
          <w:rFonts w:hint="eastAsia"/>
          <w:sz w:val="30"/>
          <w:szCs w:val="30"/>
        </w:rPr>
      </w:pPr>
      <w:r>
        <w:rPr>
          <w:rFonts w:hint="eastAsia"/>
          <w:sz w:val="30"/>
          <w:szCs w:val="30"/>
        </w:rPr>
        <w:t>本院认为，本案的争议焦点是张毓栋是否构成谋取公司商业机会。首先，离职前，张毓栋在亿海兰特公司的职务是销售总监，并不属于公司法规</w:t>
      </w:r>
      <w:r>
        <w:rPr>
          <w:rFonts w:hint="eastAsia"/>
          <w:sz w:val="30"/>
          <w:szCs w:val="30"/>
        </w:rPr>
        <w:t>定的高级管理人员，亿海兰特公司亦未提交证据证明销售总监系其公司章程中规定的高级管理人员，故一审法院对张毓栋的高级管理人员身份不予认定并无不当。其次，省体彩大数据支撑平台项目系通过公开招标方式采购，蚂数公司中标系正常市场竞争的结果，并非张毓栋利用职务便利为自己或者他人谋取属于公司的商业机会。对于日照市港航公安局精准警务</w:t>
      </w:r>
      <w:r>
        <w:rPr>
          <w:rFonts w:hint="eastAsia"/>
          <w:sz w:val="30"/>
          <w:szCs w:val="30"/>
        </w:rPr>
        <w:t>App</w:t>
      </w:r>
      <w:r>
        <w:rPr>
          <w:rFonts w:hint="eastAsia"/>
          <w:sz w:val="30"/>
          <w:szCs w:val="30"/>
        </w:rPr>
        <w:t>采购安装项目、济南市公安局扫黑除恶平台两个项目，亿海兰特公司未提交证据证明张毓栋具有谋取公司商业机会的行为，本院不予支持。综上所述，亿海兰特公司的上诉请求不能成立，应予驳回；一审判决认定事</w:t>
      </w:r>
      <w:r>
        <w:rPr>
          <w:rFonts w:hint="eastAsia"/>
          <w:sz w:val="30"/>
          <w:szCs w:val="30"/>
        </w:rPr>
        <w:t>实清楚，适用法律正确，应予维持。依照《中华人民共和国民事诉讼法》第一百七十条第一款第一项规定，判决如下：</w:t>
      </w:r>
    </w:p>
    <w:p w:rsidR="00000000" w:rsidRDefault="00EA0037">
      <w:pPr>
        <w:spacing w:line="500" w:lineRule="atLeast"/>
        <w:ind w:firstLine="600"/>
        <w:divId w:val="310208239"/>
        <w:rPr>
          <w:rFonts w:hint="eastAsia"/>
          <w:sz w:val="30"/>
          <w:szCs w:val="30"/>
        </w:rPr>
      </w:pPr>
      <w:r>
        <w:rPr>
          <w:rFonts w:hint="eastAsia"/>
          <w:sz w:val="30"/>
          <w:szCs w:val="30"/>
        </w:rPr>
        <w:t>驳回上诉，维持原判。</w:t>
      </w:r>
    </w:p>
    <w:p w:rsidR="00000000" w:rsidRDefault="00EA0037">
      <w:pPr>
        <w:spacing w:line="500" w:lineRule="atLeast"/>
        <w:ind w:firstLine="600"/>
        <w:divId w:val="2071538918"/>
        <w:rPr>
          <w:rFonts w:hint="eastAsia"/>
          <w:sz w:val="30"/>
          <w:szCs w:val="30"/>
        </w:rPr>
      </w:pPr>
      <w:r>
        <w:rPr>
          <w:rFonts w:hint="eastAsia"/>
          <w:sz w:val="30"/>
          <w:szCs w:val="30"/>
        </w:rPr>
        <w:t>二审案件受理费</w:t>
      </w:r>
      <w:r>
        <w:rPr>
          <w:rFonts w:hint="eastAsia"/>
          <w:sz w:val="30"/>
          <w:szCs w:val="30"/>
        </w:rPr>
        <w:t>34728</w:t>
      </w:r>
      <w:r>
        <w:rPr>
          <w:rFonts w:hint="eastAsia"/>
          <w:sz w:val="30"/>
          <w:szCs w:val="30"/>
        </w:rPr>
        <w:t>元，由上诉人山东亿海兰特通信科技有限公司负担。</w:t>
      </w:r>
    </w:p>
    <w:p w:rsidR="00000000" w:rsidRDefault="00EA0037">
      <w:pPr>
        <w:spacing w:line="500" w:lineRule="atLeast"/>
        <w:ind w:firstLine="600"/>
        <w:divId w:val="252319403"/>
        <w:rPr>
          <w:rFonts w:hint="eastAsia"/>
          <w:sz w:val="30"/>
          <w:szCs w:val="30"/>
        </w:rPr>
      </w:pPr>
      <w:r>
        <w:rPr>
          <w:rFonts w:hint="eastAsia"/>
          <w:sz w:val="30"/>
          <w:szCs w:val="30"/>
        </w:rPr>
        <w:t>本判决为终审判决。</w:t>
      </w:r>
    </w:p>
    <w:p w:rsidR="00000000" w:rsidRDefault="00EA0037">
      <w:pPr>
        <w:spacing w:line="500" w:lineRule="atLeast"/>
        <w:jc w:val="right"/>
        <w:divId w:val="716665776"/>
        <w:rPr>
          <w:rFonts w:hint="eastAsia"/>
          <w:sz w:val="30"/>
          <w:szCs w:val="30"/>
        </w:rPr>
      </w:pPr>
      <w:r>
        <w:rPr>
          <w:rFonts w:hint="eastAsia"/>
          <w:sz w:val="30"/>
          <w:szCs w:val="30"/>
        </w:rPr>
        <w:t>审判员　　崔宝宁</w:t>
      </w:r>
    </w:p>
    <w:p w:rsidR="00000000" w:rsidRDefault="00EA0037">
      <w:pPr>
        <w:spacing w:line="500" w:lineRule="atLeast"/>
        <w:jc w:val="right"/>
        <w:divId w:val="1348292742"/>
        <w:rPr>
          <w:rFonts w:hint="eastAsia"/>
          <w:sz w:val="30"/>
          <w:szCs w:val="30"/>
        </w:rPr>
      </w:pPr>
      <w:r>
        <w:rPr>
          <w:rFonts w:hint="eastAsia"/>
          <w:sz w:val="30"/>
          <w:szCs w:val="30"/>
        </w:rPr>
        <w:t>二〇二〇年三月十七日</w:t>
      </w:r>
    </w:p>
    <w:p w:rsidR="00000000" w:rsidRDefault="00EA0037">
      <w:pPr>
        <w:spacing w:line="500" w:lineRule="atLeast"/>
        <w:jc w:val="right"/>
        <w:divId w:val="1091665083"/>
        <w:rPr>
          <w:rFonts w:hint="eastAsia"/>
          <w:sz w:val="30"/>
          <w:szCs w:val="30"/>
        </w:rPr>
      </w:pPr>
      <w:r>
        <w:rPr>
          <w:rFonts w:hint="eastAsia"/>
          <w:sz w:val="30"/>
          <w:szCs w:val="30"/>
        </w:rPr>
        <w:t>书记员　　王文文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037" w:rsidRDefault="00EA0037" w:rsidP="00EA0037">
      <w:r>
        <w:separator/>
      </w:r>
    </w:p>
  </w:endnote>
  <w:endnote w:type="continuationSeparator" w:id="0">
    <w:p w:rsidR="00EA0037" w:rsidRDefault="00EA0037" w:rsidP="00EA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037" w:rsidRDefault="00EA0037" w:rsidP="00EA0037">
      <w:r>
        <w:separator/>
      </w:r>
    </w:p>
  </w:footnote>
  <w:footnote w:type="continuationSeparator" w:id="0">
    <w:p w:rsidR="00EA0037" w:rsidRDefault="00EA0037" w:rsidP="00EA00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0037"/>
    <w:rsid w:val="00EA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A00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037"/>
    <w:rPr>
      <w:rFonts w:ascii="宋体" w:eastAsia="宋体" w:hAnsi="宋体" w:cs="宋体"/>
      <w:sz w:val="18"/>
      <w:szCs w:val="18"/>
    </w:rPr>
  </w:style>
  <w:style w:type="paragraph" w:styleId="a5">
    <w:name w:val="footer"/>
    <w:basedOn w:val="a"/>
    <w:link w:val="a6"/>
    <w:uiPriority w:val="99"/>
    <w:unhideWhenUsed/>
    <w:rsid w:val="00EA0037"/>
    <w:pPr>
      <w:tabs>
        <w:tab w:val="center" w:pos="4153"/>
        <w:tab w:val="right" w:pos="8306"/>
      </w:tabs>
      <w:snapToGrid w:val="0"/>
    </w:pPr>
    <w:rPr>
      <w:sz w:val="18"/>
      <w:szCs w:val="18"/>
    </w:rPr>
  </w:style>
  <w:style w:type="character" w:customStyle="1" w:styleId="a6">
    <w:name w:val="页脚 字符"/>
    <w:basedOn w:val="a0"/>
    <w:link w:val="a5"/>
    <w:uiPriority w:val="99"/>
    <w:rsid w:val="00EA003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6752">
      <w:marLeft w:val="0"/>
      <w:marRight w:val="0"/>
      <w:marTop w:val="10"/>
      <w:marBottom w:val="10"/>
      <w:divBdr>
        <w:top w:val="none" w:sz="0" w:space="0" w:color="auto"/>
        <w:left w:val="none" w:sz="0" w:space="0" w:color="auto"/>
        <w:bottom w:val="none" w:sz="0" w:space="0" w:color="auto"/>
        <w:right w:val="none" w:sz="0" w:space="0" w:color="auto"/>
      </w:divBdr>
    </w:div>
    <w:div w:id="215555104">
      <w:marLeft w:val="0"/>
      <w:marRight w:val="0"/>
      <w:marTop w:val="10"/>
      <w:marBottom w:val="10"/>
      <w:divBdr>
        <w:top w:val="none" w:sz="0" w:space="0" w:color="auto"/>
        <w:left w:val="none" w:sz="0" w:space="0" w:color="auto"/>
        <w:bottom w:val="none" w:sz="0" w:space="0" w:color="auto"/>
        <w:right w:val="none" w:sz="0" w:space="0" w:color="auto"/>
      </w:divBdr>
    </w:div>
    <w:div w:id="251474832">
      <w:marLeft w:val="0"/>
      <w:marRight w:val="0"/>
      <w:marTop w:val="10"/>
      <w:marBottom w:val="10"/>
      <w:divBdr>
        <w:top w:val="none" w:sz="0" w:space="0" w:color="auto"/>
        <w:left w:val="none" w:sz="0" w:space="0" w:color="auto"/>
        <w:bottom w:val="none" w:sz="0" w:space="0" w:color="auto"/>
        <w:right w:val="none" w:sz="0" w:space="0" w:color="auto"/>
      </w:divBdr>
    </w:div>
    <w:div w:id="252319403">
      <w:marLeft w:val="0"/>
      <w:marRight w:val="0"/>
      <w:marTop w:val="10"/>
      <w:marBottom w:val="10"/>
      <w:divBdr>
        <w:top w:val="none" w:sz="0" w:space="0" w:color="auto"/>
        <w:left w:val="none" w:sz="0" w:space="0" w:color="auto"/>
        <w:bottom w:val="none" w:sz="0" w:space="0" w:color="auto"/>
        <w:right w:val="none" w:sz="0" w:space="0" w:color="auto"/>
      </w:divBdr>
    </w:div>
    <w:div w:id="310208239">
      <w:marLeft w:val="0"/>
      <w:marRight w:val="0"/>
      <w:marTop w:val="10"/>
      <w:marBottom w:val="10"/>
      <w:divBdr>
        <w:top w:val="none" w:sz="0" w:space="0" w:color="auto"/>
        <w:left w:val="none" w:sz="0" w:space="0" w:color="auto"/>
        <w:bottom w:val="none" w:sz="0" w:space="0" w:color="auto"/>
        <w:right w:val="none" w:sz="0" w:space="0" w:color="auto"/>
      </w:divBdr>
    </w:div>
    <w:div w:id="336276208">
      <w:marLeft w:val="0"/>
      <w:marRight w:val="0"/>
      <w:marTop w:val="10"/>
      <w:marBottom w:val="10"/>
      <w:divBdr>
        <w:top w:val="none" w:sz="0" w:space="0" w:color="auto"/>
        <w:left w:val="none" w:sz="0" w:space="0" w:color="auto"/>
        <w:bottom w:val="none" w:sz="0" w:space="0" w:color="auto"/>
        <w:right w:val="none" w:sz="0" w:space="0" w:color="auto"/>
      </w:divBdr>
    </w:div>
    <w:div w:id="347803979">
      <w:marLeft w:val="0"/>
      <w:marRight w:val="0"/>
      <w:marTop w:val="10"/>
      <w:marBottom w:val="10"/>
      <w:divBdr>
        <w:top w:val="none" w:sz="0" w:space="0" w:color="auto"/>
        <w:left w:val="none" w:sz="0" w:space="0" w:color="auto"/>
        <w:bottom w:val="none" w:sz="0" w:space="0" w:color="auto"/>
        <w:right w:val="none" w:sz="0" w:space="0" w:color="auto"/>
      </w:divBdr>
    </w:div>
    <w:div w:id="716665776">
      <w:marLeft w:val="0"/>
      <w:marRight w:val="720"/>
      <w:marTop w:val="10"/>
      <w:marBottom w:val="10"/>
      <w:divBdr>
        <w:top w:val="none" w:sz="0" w:space="0" w:color="auto"/>
        <w:left w:val="none" w:sz="0" w:space="0" w:color="auto"/>
        <w:bottom w:val="none" w:sz="0" w:space="0" w:color="auto"/>
        <w:right w:val="none" w:sz="0" w:space="0" w:color="auto"/>
      </w:divBdr>
    </w:div>
    <w:div w:id="921917634">
      <w:marLeft w:val="0"/>
      <w:marRight w:val="0"/>
      <w:marTop w:val="10"/>
      <w:marBottom w:val="10"/>
      <w:divBdr>
        <w:top w:val="none" w:sz="0" w:space="0" w:color="auto"/>
        <w:left w:val="none" w:sz="0" w:space="0" w:color="auto"/>
        <w:bottom w:val="none" w:sz="0" w:space="0" w:color="auto"/>
        <w:right w:val="none" w:sz="0" w:space="0" w:color="auto"/>
      </w:divBdr>
    </w:div>
    <w:div w:id="936399503">
      <w:marLeft w:val="0"/>
      <w:marRight w:val="0"/>
      <w:marTop w:val="10"/>
      <w:marBottom w:val="10"/>
      <w:divBdr>
        <w:top w:val="none" w:sz="0" w:space="0" w:color="auto"/>
        <w:left w:val="none" w:sz="0" w:space="0" w:color="auto"/>
        <w:bottom w:val="none" w:sz="0" w:space="0" w:color="auto"/>
        <w:right w:val="none" w:sz="0" w:space="0" w:color="auto"/>
      </w:divBdr>
    </w:div>
    <w:div w:id="989753708">
      <w:marLeft w:val="0"/>
      <w:marRight w:val="0"/>
      <w:marTop w:val="10"/>
      <w:marBottom w:val="10"/>
      <w:divBdr>
        <w:top w:val="none" w:sz="0" w:space="0" w:color="auto"/>
        <w:left w:val="none" w:sz="0" w:space="0" w:color="auto"/>
        <w:bottom w:val="none" w:sz="0" w:space="0" w:color="auto"/>
        <w:right w:val="none" w:sz="0" w:space="0" w:color="auto"/>
      </w:divBdr>
    </w:div>
    <w:div w:id="1091665083">
      <w:marLeft w:val="0"/>
      <w:marRight w:val="720"/>
      <w:marTop w:val="10"/>
      <w:marBottom w:val="10"/>
      <w:divBdr>
        <w:top w:val="none" w:sz="0" w:space="0" w:color="auto"/>
        <w:left w:val="none" w:sz="0" w:space="0" w:color="auto"/>
        <w:bottom w:val="none" w:sz="0" w:space="0" w:color="auto"/>
        <w:right w:val="none" w:sz="0" w:space="0" w:color="auto"/>
      </w:divBdr>
    </w:div>
    <w:div w:id="1092165320">
      <w:marLeft w:val="0"/>
      <w:marRight w:val="0"/>
      <w:marTop w:val="10"/>
      <w:marBottom w:val="10"/>
      <w:divBdr>
        <w:top w:val="none" w:sz="0" w:space="0" w:color="auto"/>
        <w:left w:val="none" w:sz="0" w:space="0" w:color="auto"/>
        <w:bottom w:val="none" w:sz="0" w:space="0" w:color="auto"/>
        <w:right w:val="none" w:sz="0" w:space="0" w:color="auto"/>
      </w:divBdr>
    </w:div>
    <w:div w:id="1279870807">
      <w:marLeft w:val="0"/>
      <w:marRight w:val="0"/>
      <w:marTop w:val="10"/>
      <w:marBottom w:val="10"/>
      <w:divBdr>
        <w:top w:val="none" w:sz="0" w:space="0" w:color="auto"/>
        <w:left w:val="none" w:sz="0" w:space="0" w:color="auto"/>
        <w:bottom w:val="none" w:sz="0" w:space="0" w:color="auto"/>
        <w:right w:val="none" w:sz="0" w:space="0" w:color="auto"/>
      </w:divBdr>
    </w:div>
    <w:div w:id="1348292742">
      <w:marLeft w:val="0"/>
      <w:marRight w:val="720"/>
      <w:marTop w:val="10"/>
      <w:marBottom w:val="10"/>
      <w:divBdr>
        <w:top w:val="none" w:sz="0" w:space="0" w:color="auto"/>
        <w:left w:val="none" w:sz="0" w:space="0" w:color="auto"/>
        <w:bottom w:val="none" w:sz="0" w:space="0" w:color="auto"/>
        <w:right w:val="none" w:sz="0" w:space="0" w:color="auto"/>
      </w:divBdr>
    </w:div>
    <w:div w:id="1377729931">
      <w:marLeft w:val="0"/>
      <w:marRight w:val="0"/>
      <w:marTop w:val="10"/>
      <w:marBottom w:val="10"/>
      <w:divBdr>
        <w:top w:val="none" w:sz="0" w:space="0" w:color="auto"/>
        <w:left w:val="none" w:sz="0" w:space="0" w:color="auto"/>
        <w:bottom w:val="none" w:sz="0" w:space="0" w:color="auto"/>
        <w:right w:val="none" w:sz="0" w:space="0" w:color="auto"/>
      </w:divBdr>
    </w:div>
    <w:div w:id="1415929655">
      <w:marLeft w:val="0"/>
      <w:marRight w:val="0"/>
      <w:marTop w:val="10"/>
      <w:marBottom w:val="10"/>
      <w:divBdr>
        <w:top w:val="none" w:sz="0" w:space="0" w:color="auto"/>
        <w:left w:val="none" w:sz="0" w:space="0" w:color="auto"/>
        <w:bottom w:val="none" w:sz="0" w:space="0" w:color="auto"/>
        <w:right w:val="none" w:sz="0" w:space="0" w:color="auto"/>
      </w:divBdr>
    </w:div>
    <w:div w:id="1463768291">
      <w:marLeft w:val="0"/>
      <w:marRight w:val="0"/>
      <w:marTop w:val="10"/>
      <w:marBottom w:val="10"/>
      <w:divBdr>
        <w:top w:val="none" w:sz="0" w:space="0" w:color="auto"/>
        <w:left w:val="none" w:sz="0" w:space="0" w:color="auto"/>
        <w:bottom w:val="none" w:sz="0" w:space="0" w:color="auto"/>
        <w:right w:val="none" w:sz="0" w:space="0" w:color="auto"/>
      </w:divBdr>
    </w:div>
    <w:div w:id="1604069148">
      <w:marLeft w:val="0"/>
      <w:marRight w:val="0"/>
      <w:marTop w:val="10"/>
      <w:marBottom w:val="10"/>
      <w:divBdr>
        <w:top w:val="none" w:sz="0" w:space="0" w:color="auto"/>
        <w:left w:val="none" w:sz="0" w:space="0" w:color="auto"/>
        <w:bottom w:val="none" w:sz="0" w:space="0" w:color="auto"/>
        <w:right w:val="none" w:sz="0" w:space="0" w:color="auto"/>
      </w:divBdr>
    </w:div>
    <w:div w:id="1695114908">
      <w:marLeft w:val="0"/>
      <w:marRight w:val="0"/>
      <w:marTop w:val="10"/>
      <w:marBottom w:val="10"/>
      <w:divBdr>
        <w:top w:val="none" w:sz="0" w:space="0" w:color="auto"/>
        <w:left w:val="none" w:sz="0" w:space="0" w:color="auto"/>
        <w:bottom w:val="none" w:sz="0" w:space="0" w:color="auto"/>
        <w:right w:val="none" w:sz="0" w:space="0" w:color="auto"/>
      </w:divBdr>
    </w:div>
    <w:div w:id="1720058136">
      <w:marLeft w:val="0"/>
      <w:marRight w:val="0"/>
      <w:marTop w:val="10"/>
      <w:marBottom w:val="10"/>
      <w:divBdr>
        <w:top w:val="none" w:sz="0" w:space="0" w:color="auto"/>
        <w:left w:val="none" w:sz="0" w:space="0" w:color="auto"/>
        <w:bottom w:val="none" w:sz="0" w:space="0" w:color="auto"/>
        <w:right w:val="none" w:sz="0" w:space="0" w:color="auto"/>
      </w:divBdr>
    </w:div>
    <w:div w:id="1831408094">
      <w:marLeft w:val="0"/>
      <w:marRight w:val="0"/>
      <w:marTop w:val="10"/>
      <w:marBottom w:val="10"/>
      <w:divBdr>
        <w:top w:val="none" w:sz="0" w:space="0" w:color="auto"/>
        <w:left w:val="none" w:sz="0" w:space="0" w:color="auto"/>
        <w:bottom w:val="none" w:sz="0" w:space="0" w:color="auto"/>
        <w:right w:val="none" w:sz="0" w:space="0" w:color="auto"/>
      </w:divBdr>
    </w:div>
    <w:div w:id="1877305191">
      <w:marLeft w:val="0"/>
      <w:marRight w:val="0"/>
      <w:marTop w:val="10"/>
      <w:marBottom w:val="10"/>
      <w:divBdr>
        <w:top w:val="none" w:sz="0" w:space="0" w:color="auto"/>
        <w:left w:val="none" w:sz="0" w:space="0" w:color="auto"/>
        <w:bottom w:val="none" w:sz="0" w:space="0" w:color="auto"/>
        <w:right w:val="none" w:sz="0" w:space="0" w:color="auto"/>
      </w:divBdr>
    </w:div>
    <w:div w:id="1882470944">
      <w:marLeft w:val="0"/>
      <w:marRight w:val="0"/>
      <w:marTop w:val="10"/>
      <w:marBottom w:val="10"/>
      <w:divBdr>
        <w:top w:val="none" w:sz="0" w:space="0" w:color="auto"/>
        <w:left w:val="none" w:sz="0" w:space="0" w:color="auto"/>
        <w:bottom w:val="none" w:sz="0" w:space="0" w:color="auto"/>
        <w:right w:val="none" w:sz="0" w:space="0" w:color="auto"/>
      </w:divBdr>
    </w:div>
    <w:div w:id="1892232407">
      <w:marLeft w:val="0"/>
      <w:marRight w:val="0"/>
      <w:marTop w:val="10"/>
      <w:marBottom w:val="10"/>
      <w:divBdr>
        <w:top w:val="none" w:sz="0" w:space="0" w:color="auto"/>
        <w:left w:val="none" w:sz="0" w:space="0" w:color="auto"/>
        <w:bottom w:val="none" w:sz="0" w:space="0" w:color="auto"/>
        <w:right w:val="none" w:sz="0" w:space="0" w:color="auto"/>
      </w:divBdr>
    </w:div>
    <w:div w:id="1908228850">
      <w:marLeft w:val="0"/>
      <w:marRight w:val="0"/>
      <w:marTop w:val="10"/>
      <w:marBottom w:val="10"/>
      <w:divBdr>
        <w:top w:val="none" w:sz="0" w:space="0" w:color="auto"/>
        <w:left w:val="none" w:sz="0" w:space="0" w:color="auto"/>
        <w:bottom w:val="none" w:sz="0" w:space="0" w:color="auto"/>
        <w:right w:val="none" w:sz="0" w:space="0" w:color="auto"/>
      </w:divBdr>
    </w:div>
    <w:div w:id="1943486869">
      <w:marLeft w:val="0"/>
      <w:marRight w:val="0"/>
      <w:marTop w:val="10"/>
      <w:marBottom w:val="10"/>
      <w:divBdr>
        <w:top w:val="none" w:sz="0" w:space="0" w:color="auto"/>
        <w:left w:val="none" w:sz="0" w:space="0" w:color="auto"/>
        <w:bottom w:val="none" w:sz="0" w:space="0" w:color="auto"/>
        <w:right w:val="none" w:sz="0" w:space="0" w:color="auto"/>
      </w:divBdr>
    </w:div>
    <w:div w:id="2027245209">
      <w:marLeft w:val="0"/>
      <w:marRight w:val="0"/>
      <w:marTop w:val="10"/>
      <w:marBottom w:val="10"/>
      <w:divBdr>
        <w:top w:val="none" w:sz="0" w:space="0" w:color="auto"/>
        <w:left w:val="none" w:sz="0" w:space="0" w:color="auto"/>
        <w:bottom w:val="none" w:sz="0" w:space="0" w:color="auto"/>
        <w:right w:val="none" w:sz="0" w:space="0" w:color="auto"/>
      </w:divBdr>
    </w:div>
    <w:div w:id="2064332066">
      <w:marLeft w:val="0"/>
      <w:marRight w:val="0"/>
      <w:marTop w:val="10"/>
      <w:marBottom w:val="10"/>
      <w:divBdr>
        <w:top w:val="none" w:sz="0" w:space="0" w:color="auto"/>
        <w:left w:val="none" w:sz="0" w:space="0" w:color="auto"/>
        <w:bottom w:val="none" w:sz="0" w:space="0" w:color="auto"/>
        <w:right w:val="none" w:sz="0" w:space="0" w:color="auto"/>
      </w:divBdr>
    </w:div>
    <w:div w:id="2071538918">
      <w:marLeft w:val="0"/>
      <w:marRight w:val="0"/>
      <w:marTop w:val="10"/>
      <w:marBottom w:val="10"/>
      <w:divBdr>
        <w:top w:val="none" w:sz="0" w:space="0" w:color="auto"/>
        <w:left w:val="none" w:sz="0" w:space="0" w:color="auto"/>
        <w:bottom w:val="none" w:sz="0" w:space="0" w:color="auto"/>
        <w:right w:val="none" w:sz="0" w:space="0" w:color="auto"/>
      </w:divBdr>
    </w:div>
    <w:div w:id="208367607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