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D3A62">
      <w:pPr>
        <w:spacing w:line="500" w:lineRule="atLeast"/>
        <w:jc w:val="center"/>
        <w:divId w:val="711147917"/>
        <w:rPr>
          <w:rFonts w:ascii="黑体" w:eastAsia="黑体" w:hAnsi="黑体"/>
          <w:sz w:val="36"/>
          <w:szCs w:val="36"/>
        </w:rPr>
      </w:pPr>
      <w:bookmarkStart w:id="0" w:name="_GoBack"/>
      <w:bookmarkEnd w:id="0"/>
      <w:r>
        <w:rPr>
          <w:rFonts w:ascii="黑体" w:eastAsia="黑体" w:hAnsi="黑体" w:hint="eastAsia"/>
          <w:sz w:val="36"/>
          <w:szCs w:val="36"/>
        </w:rPr>
        <w:t>浙江省杭州市中级人民法院</w:t>
      </w:r>
    </w:p>
    <w:p w:rsidR="00000000" w:rsidRDefault="00CD3A62">
      <w:pPr>
        <w:spacing w:line="500" w:lineRule="atLeast"/>
        <w:jc w:val="center"/>
        <w:divId w:val="135302342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D3A62">
      <w:pPr>
        <w:spacing w:line="500" w:lineRule="atLeast"/>
        <w:jc w:val="right"/>
        <w:divId w:val="1813909230"/>
        <w:rPr>
          <w:rFonts w:hint="eastAsia"/>
          <w:sz w:val="30"/>
          <w:szCs w:val="30"/>
        </w:rPr>
      </w:pPr>
      <w:r>
        <w:rPr>
          <w:rFonts w:hint="eastAsia"/>
          <w:sz w:val="30"/>
          <w:szCs w:val="30"/>
        </w:rPr>
        <w:t>（</w:t>
      </w:r>
      <w:r>
        <w:rPr>
          <w:rFonts w:hint="eastAsia"/>
          <w:sz w:val="30"/>
          <w:szCs w:val="30"/>
        </w:rPr>
        <w:t>2013</w:t>
      </w:r>
      <w:r>
        <w:rPr>
          <w:rFonts w:hint="eastAsia"/>
          <w:sz w:val="30"/>
          <w:szCs w:val="30"/>
        </w:rPr>
        <w:t>）浙杭商终字第</w:t>
      </w:r>
      <w:r>
        <w:rPr>
          <w:rFonts w:hint="eastAsia"/>
          <w:sz w:val="30"/>
          <w:szCs w:val="30"/>
        </w:rPr>
        <w:t>554</w:t>
      </w:r>
      <w:r>
        <w:rPr>
          <w:rFonts w:hint="eastAsia"/>
          <w:sz w:val="30"/>
          <w:szCs w:val="30"/>
        </w:rPr>
        <w:t>号</w:t>
      </w:r>
    </w:p>
    <w:p w:rsidR="00000000" w:rsidRDefault="00CD3A62">
      <w:pPr>
        <w:spacing w:line="500" w:lineRule="atLeast"/>
        <w:ind w:firstLine="600"/>
        <w:divId w:val="1380283179"/>
        <w:rPr>
          <w:rFonts w:hint="eastAsia"/>
          <w:sz w:val="30"/>
          <w:szCs w:val="30"/>
        </w:rPr>
      </w:pPr>
      <w:r>
        <w:rPr>
          <w:rFonts w:hint="eastAsia"/>
          <w:sz w:val="30"/>
          <w:szCs w:val="30"/>
        </w:rPr>
        <w:t>上诉人（原审原告）：张来。</w:t>
      </w:r>
    </w:p>
    <w:p w:rsidR="00000000" w:rsidRDefault="00CD3A62">
      <w:pPr>
        <w:spacing w:line="500" w:lineRule="atLeast"/>
        <w:ind w:firstLine="600"/>
        <w:divId w:val="1944918361"/>
        <w:rPr>
          <w:rFonts w:hint="eastAsia"/>
          <w:sz w:val="30"/>
          <w:szCs w:val="30"/>
        </w:rPr>
      </w:pPr>
      <w:r>
        <w:rPr>
          <w:rFonts w:hint="eastAsia"/>
          <w:sz w:val="30"/>
          <w:szCs w:val="30"/>
        </w:rPr>
        <w:t>委托代理人（特别授权代理）：许祖岳。</w:t>
      </w:r>
    </w:p>
    <w:p w:rsidR="00000000" w:rsidRDefault="00CD3A62">
      <w:pPr>
        <w:spacing w:line="500" w:lineRule="atLeast"/>
        <w:ind w:firstLine="600"/>
        <w:divId w:val="1943294052"/>
        <w:rPr>
          <w:rFonts w:hint="eastAsia"/>
          <w:sz w:val="30"/>
          <w:szCs w:val="30"/>
        </w:rPr>
      </w:pPr>
      <w:r>
        <w:rPr>
          <w:rFonts w:hint="eastAsia"/>
          <w:sz w:val="30"/>
          <w:szCs w:val="30"/>
        </w:rPr>
        <w:t>被上诉人（原审被告）：林凤姣。</w:t>
      </w:r>
    </w:p>
    <w:p w:rsidR="00000000" w:rsidRDefault="00CD3A62">
      <w:pPr>
        <w:spacing w:line="500" w:lineRule="atLeast"/>
        <w:ind w:firstLine="600"/>
        <w:divId w:val="648707649"/>
        <w:rPr>
          <w:rFonts w:hint="eastAsia"/>
          <w:sz w:val="30"/>
          <w:szCs w:val="30"/>
        </w:rPr>
      </w:pPr>
      <w:r>
        <w:rPr>
          <w:rFonts w:hint="eastAsia"/>
          <w:sz w:val="30"/>
          <w:szCs w:val="30"/>
        </w:rPr>
        <w:t>委托代理人（特别授权代理）：丁蕾、丁敬成。</w:t>
      </w:r>
    </w:p>
    <w:p w:rsidR="00000000" w:rsidRDefault="00CD3A62">
      <w:pPr>
        <w:spacing w:line="500" w:lineRule="atLeast"/>
        <w:ind w:firstLine="600"/>
        <w:divId w:val="987587418"/>
        <w:rPr>
          <w:rFonts w:hint="eastAsia"/>
          <w:sz w:val="30"/>
          <w:szCs w:val="30"/>
        </w:rPr>
      </w:pPr>
      <w:r>
        <w:rPr>
          <w:rFonts w:hint="eastAsia"/>
          <w:sz w:val="30"/>
          <w:szCs w:val="30"/>
        </w:rPr>
        <w:t>被上诉人（原审被告）：浙江泰达安全技术有限公司。</w:t>
      </w:r>
    </w:p>
    <w:p w:rsidR="00000000" w:rsidRDefault="00CD3A62">
      <w:pPr>
        <w:spacing w:line="500" w:lineRule="atLeast"/>
        <w:ind w:firstLine="600"/>
        <w:divId w:val="133179092"/>
        <w:rPr>
          <w:rFonts w:hint="eastAsia"/>
          <w:sz w:val="30"/>
          <w:szCs w:val="30"/>
        </w:rPr>
      </w:pPr>
      <w:r>
        <w:rPr>
          <w:rFonts w:hint="eastAsia"/>
          <w:sz w:val="30"/>
          <w:szCs w:val="30"/>
        </w:rPr>
        <w:t>法定代表人：何明。</w:t>
      </w:r>
    </w:p>
    <w:p w:rsidR="00000000" w:rsidRDefault="00CD3A62">
      <w:pPr>
        <w:spacing w:line="500" w:lineRule="atLeast"/>
        <w:ind w:firstLine="600"/>
        <w:divId w:val="751123795"/>
        <w:rPr>
          <w:rFonts w:hint="eastAsia"/>
          <w:sz w:val="30"/>
          <w:szCs w:val="30"/>
        </w:rPr>
      </w:pPr>
      <w:r>
        <w:rPr>
          <w:rFonts w:hint="eastAsia"/>
          <w:sz w:val="30"/>
          <w:szCs w:val="30"/>
        </w:rPr>
        <w:t>委托代理人（特别授权代理）：黄麟、陈晓忠。</w:t>
      </w:r>
    </w:p>
    <w:p w:rsidR="00000000" w:rsidRDefault="00CD3A62">
      <w:pPr>
        <w:spacing w:line="500" w:lineRule="atLeast"/>
        <w:ind w:firstLine="600"/>
        <w:divId w:val="1066798912"/>
        <w:rPr>
          <w:rFonts w:hint="eastAsia"/>
          <w:sz w:val="30"/>
          <w:szCs w:val="30"/>
        </w:rPr>
      </w:pPr>
      <w:r>
        <w:rPr>
          <w:rFonts w:hint="eastAsia"/>
          <w:sz w:val="30"/>
          <w:szCs w:val="30"/>
        </w:rPr>
        <w:t>上诉人张来因与被上诉人林凤姣、浙江泰达安全技术有限公司（以下简称泰达公司）损害公司利益责任纠纷一案，不服杭州市西湖区人民法院（</w:t>
      </w:r>
      <w:r>
        <w:rPr>
          <w:rFonts w:hint="eastAsia"/>
          <w:sz w:val="30"/>
          <w:szCs w:val="30"/>
        </w:rPr>
        <w:t>2012</w:t>
      </w:r>
      <w:r>
        <w:rPr>
          <w:rFonts w:hint="eastAsia"/>
          <w:sz w:val="30"/>
          <w:szCs w:val="30"/>
        </w:rPr>
        <w:t>）杭西商初字第</w:t>
      </w:r>
      <w:r>
        <w:rPr>
          <w:rFonts w:hint="eastAsia"/>
          <w:sz w:val="30"/>
          <w:szCs w:val="30"/>
        </w:rPr>
        <w:t>2860</w:t>
      </w:r>
      <w:r>
        <w:rPr>
          <w:rFonts w:hint="eastAsia"/>
          <w:sz w:val="30"/>
          <w:szCs w:val="30"/>
        </w:rPr>
        <w:t>号民事判决，向本院提起上诉。本院于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日立案受理后，依法组成合议庭进行审理。本案现已审理终结。</w:t>
      </w:r>
    </w:p>
    <w:p w:rsidR="00000000" w:rsidRDefault="00CD3A62">
      <w:pPr>
        <w:spacing w:line="500" w:lineRule="atLeast"/>
        <w:ind w:firstLine="600"/>
        <w:divId w:val="571695858"/>
        <w:rPr>
          <w:rFonts w:hint="eastAsia"/>
          <w:sz w:val="30"/>
          <w:szCs w:val="30"/>
        </w:rPr>
      </w:pPr>
      <w:r>
        <w:rPr>
          <w:rFonts w:hint="eastAsia"/>
          <w:sz w:val="30"/>
          <w:szCs w:val="30"/>
        </w:rPr>
        <w:t>原审法院审理查明：</w:t>
      </w:r>
      <w:r>
        <w:rPr>
          <w:rFonts w:hint="eastAsia"/>
          <w:sz w:val="30"/>
          <w:szCs w:val="30"/>
        </w:rPr>
        <w:t>2001</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日，浙江省人防地下空间开发工程有限公司（以下简称人防公司）、张来、邵秋生出资成立浙江明达工程安全检测检验服务有限公司（以下简称浙江明达公司），注册资本为</w:t>
      </w:r>
      <w:r>
        <w:rPr>
          <w:rFonts w:hint="eastAsia"/>
          <w:sz w:val="30"/>
          <w:szCs w:val="30"/>
        </w:rPr>
        <w:t>10</w:t>
      </w:r>
      <w:r>
        <w:rPr>
          <w:rFonts w:hint="eastAsia"/>
          <w:sz w:val="30"/>
          <w:szCs w:val="30"/>
        </w:rPr>
        <w:t>万元，经营范围为“安全工程检测检验，安全工程评价，安</w:t>
      </w:r>
      <w:r>
        <w:rPr>
          <w:rFonts w:hint="eastAsia"/>
          <w:sz w:val="30"/>
          <w:szCs w:val="30"/>
        </w:rPr>
        <w:t>全技术咨询，家电修理，网络技术服务”。该公司不设董事会，设执行董事和董事各一名，其中邵秋生任执行董事，钮建声任董事，不设监事会，设执行监事一名，由张来担任；同时邵秋生受聘兼任经理。</w:t>
      </w:r>
      <w:r>
        <w:rPr>
          <w:rFonts w:hint="eastAsia"/>
          <w:sz w:val="30"/>
          <w:szCs w:val="30"/>
        </w:rPr>
        <w:t>2004</w:t>
      </w:r>
      <w:r>
        <w:rPr>
          <w:rFonts w:hint="eastAsia"/>
          <w:sz w:val="30"/>
          <w:szCs w:val="30"/>
        </w:rPr>
        <w:t>年</w:t>
      </w:r>
      <w:r>
        <w:rPr>
          <w:rFonts w:hint="eastAsia"/>
          <w:sz w:val="30"/>
          <w:szCs w:val="30"/>
        </w:rPr>
        <w:t>3</w:t>
      </w:r>
      <w:r>
        <w:rPr>
          <w:rFonts w:hint="eastAsia"/>
          <w:sz w:val="30"/>
          <w:szCs w:val="30"/>
        </w:rPr>
        <w:t>月，浙江明达公司股东会作出决议，同意人防公司将其持有的浙江明达公司</w:t>
      </w:r>
      <w:r>
        <w:rPr>
          <w:rFonts w:hint="eastAsia"/>
          <w:sz w:val="30"/>
          <w:szCs w:val="30"/>
        </w:rPr>
        <w:t>40%</w:t>
      </w:r>
      <w:r>
        <w:rPr>
          <w:rFonts w:hint="eastAsia"/>
          <w:sz w:val="30"/>
          <w:szCs w:val="30"/>
        </w:rPr>
        <w:t>股权（出资额为</w:t>
      </w:r>
      <w:r>
        <w:rPr>
          <w:rFonts w:hint="eastAsia"/>
          <w:sz w:val="30"/>
          <w:szCs w:val="30"/>
        </w:rPr>
        <w:t>4</w:t>
      </w:r>
      <w:r>
        <w:rPr>
          <w:rFonts w:hint="eastAsia"/>
          <w:sz w:val="30"/>
          <w:szCs w:val="30"/>
        </w:rPr>
        <w:t>万元）分别转让给邵秋生、张来、方仕立</w:t>
      </w:r>
      <w:r>
        <w:rPr>
          <w:rFonts w:hint="eastAsia"/>
          <w:sz w:val="30"/>
          <w:szCs w:val="30"/>
        </w:rPr>
        <w:t>1</w:t>
      </w:r>
      <w:r>
        <w:rPr>
          <w:rFonts w:hint="eastAsia"/>
          <w:sz w:val="30"/>
          <w:szCs w:val="30"/>
        </w:rPr>
        <w:t>万元、</w:t>
      </w:r>
      <w:r>
        <w:rPr>
          <w:rFonts w:hint="eastAsia"/>
          <w:sz w:val="30"/>
          <w:szCs w:val="30"/>
        </w:rPr>
        <w:t>1</w:t>
      </w:r>
      <w:r>
        <w:rPr>
          <w:rFonts w:hint="eastAsia"/>
          <w:sz w:val="30"/>
          <w:szCs w:val="30"/>
        </w:rPr>
        <w:t>万元和</w:t>
      </w:r>
      <w:r>
        <w:rPr>
          <w:rFonts w:hint="eastAsia"/>
          <w:sz w:val="30"/>
          <w:szCs w:val="30"/>
        </w:rPr>
        <w:t>2</w:t>
      </w:r>
      <w:r>
        <w:rPr>
          <w:rFonts w:hint="eastAsia"/>
          <w:sz w:val="30"/>
          <w:szCs w:val="30"/>
        </w:rPr>
        <w:t>万元，公司名称变更为杭州明达工程安全检测检验服务有限公司（以下简称杭州明达</w:t>
      </w:r>
      <w:r>
        <w:rPr>
          <w:rFonts w:hint="eastAsia"/>
          <w:sz w:val="30"/>
          <w:szCs w:val="30"/>
        </w:rPr>
        <w:lastRenderedPageBreak/>
        <w:t>公司）。</w:t>
      </w:r>
      <w:r>
        <w:rPr>
          <w:rFonts w:hint="eastAsia"/>
          <w:sz w:val="30"/>
          <w:szCs w:val="30"/>
        </w:rPr>
        <w:t>2004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日，邵秋生、张来、方仕立通过杭州明达公司章程。</w:t>
      </w:r>
      <w:r>
        <w:rPr>
          <w:rFonts w:hint="eastAsia"/>
          <w:sz w:val="30"/>
          <w:szCs w:val="30"/>
        </w:rPr>
        <w:t>2004</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日，杭州明达公</w:t>
      </w:r>
      <w:r>
        <w:rPr>
          <w:rFonts w:hint="eastAsia"/>
          <w:sz w:val="30"/>
          <w:szCs w:val="30"/>
        </w:rPr>
        <w:t>司就公司名称、股权变动进行变更登记。至此，杭州明达公司的股权结构为，邵秋生、张来各出资</w:t>
      </w:r>
      <w:r>
        <w:rPr>
          <w:rFonts w:hint="eastAsia"/>
          <w:sz w:val="30"/>
          <w:szCs w:val="30"/>
        </w:rPr>
        <w:t>4</w:t>
      </w:r>
      <w:r>
        <w:rPr>
          <w:rFonts w:hint="eastAsia"/>
          <w:sz w:val="30"/>
          <w:szCs w:val="30"/>
        </w:rPr>
        <w:t>万元，分别占</w:t>
      </w:r>
      <w:r>
        <w:rPr>
          <w:rFonts w:hint="eastAsia"/>
          <w:sz w:val="30"/>
          <w:szCs w:val="30"/>
        </w:rPr>
        <w:t>40%</w:t>
      </w:r>
      <w:r>
        <w:rPr>
          <w:rFonts w:hint="eastAsia"/>
          <w:sz w:val="30"/>
          <w:szCs w:val="30"/>
        </w:rPr>
        <w:t>，方仕立出资</w:t>
      </w:r>
      <w:r>
        <w:rPr>
          <w:rFonts w:hint="eastAsia"/>
          <w:sz w:val="30"/>
          <w:szCs w:val="30"/>
        </w:rPr>
        <w:t>2</w:t>
      </w:r>
      <w:r>
        <w:rPr>
          <w:rFonts w:hint="eastAsia"/>
          <w:sz w:val="30"/>
          <w:szCs w:val="30"/>
        </w:rPr>
        <w:t>万元，占</w:t>
      </w:r>
      <w:r>
        <w:rPr>
          <w:rFonts w:hint="eastAsia"/>
          <w:sz w:val="30"/>
          <w:szCs w:val="30"/>
        </w:rPr>
        <w:t>20%</w:t>
      </w:r>
      <w:r>
        <w:rPr>
          <w:rFonts w:hint="eastAsia"/>
          <w:sz w:val="30"/>
          <w:szCs w:val="30"/>
        </w:rPr>
        <w:t>。</w:t>
      </w:r>
      <w:r>
        <w:rPr>
          <w:rFonts w:hint="eastAsia"/>
          <w:sz w:val="30"/>
          <w:szCs w:val="30"/>
        </w:rPr>
        <w:t>2005</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日，邵秋生、方仕立以非专利技术方式（“一种地下车库的建造方法及井筒式地下立体车库”技术成果，作价</w:t>
      </w:r>
      <w:r>
        <w:rPr>
          <w:rFonts w:hint="eastAsia"/>
          <w:sz w:val="30"/>
          <w:szCs w:val="30"/>
        </w:rPr>
        <w:t>450</w:t>
      </w:r>
      <w:r>
        <w:rPr>
          <w:rFonts w:hint="eastAsia"/>
          <w:sz w:val="30"/>
          <w:szCs w:val="30"/>
        </w:rPr>
        <w:t>万元）分别出资</w:t>
      </w:r>
      <w:r>
        <w:rPr>
          <w:rFonts w:hint="eastAsia"/>
          <w:sz w:val="30"/>
          <w:szCs w:val="30"/>
        </w:rPr>
        <w:t>225</w:t>
      </w:r>
      <w:r>
        <w:rPr>
          <w:rFonts w:hint="eastAsia"/>
          <w:sz w:val="30"/>
          <w:szCs w:val="30"/>
        </w:rPr>
        <w:t>万元，邵秋生、陆执中、何明以货币方式分别出资</w:t>
      </w:r>
      <w:r>
        <w:rPr>
          <w:rFonts w:hint="eastAsia"/>
          <w:sz w:val="30"/>
          <w:szCs w:val="30"/>
        </w:rPr>
        <w:t>22.5</w:t>
      </w:r>
      <w:r>
        <w:rPr>
          <w:rFonts w:hint="eastAsia"/>
          <w:sz w:val="30"/>
          <w:szCs w:val="30"/>
        </w:rPr>
        <w:t>万元、</w:t>
      </w:r>
      <w:r>
        <w:rPr>
          <w:rFonts w:hint="eastAsia"/>
          <w:sz w:val="30"/>
          <w:szCs w:val="30"/>
        </w:rPr>
        <w:t>22.5</w:t>
      </w:r>
      <w:r>
        <w:rPr>
          <w:rFonts w:hint="eastAsia"/>
          <w:sz w:val="30"/>
          <w:szCs w:val="30"/>
        </w:rPr>
        <w:t>万元、</w:t>
      </w:r>
      <w:r>
        <w:rPr>
          <w:rFonts w:hint="eastAsia"/>
          <w:sz w:val="30"/>
          <w:szCs w:val="30"/>
        </w:rPr>
        <w:t>5</w:t>
      </w:r>
      <w:r>
        <w:rPr>
          <w:rFonts w:hint="eastAsia"/>
          <w:sz w:val="30"/>
          <w:szCs w:val="30"/>
        </w:rPr>
        <w:t>万元，拟共同设立泰达公司。浙江天华会计师事务所有限公司就此作出天华验字（</w:t>
      </w:r>
      <w:r>
        <w:rPr>
          <w:rFonts w:hint="eastAsia"/>
          <w:sz w:val="30"/>
          <w:szCs w:val="30"/>
        </w:rPr>
        <w:t>2005</w:t>
      </w:r>
      <w:r>
        <w:rPr>
          <w:rFonts w:hint="eastAsia"/>
          <w:sz w:val="30"/>
          <w:szCs w:val="30"/>
        </w:rPr>
        <w:t>）第</w:t>
      </w:r>
      <w:r>
        <w:rPr>
          <w:rFonts w:hint="eastAsia"/>
          <w:sz w:val="30"/>
          <w:szCs w:val="30"/>
        </w:rPr>
        <w:t>137</w:t>
      </w:r>
      <w:r>
        <w:rPr>
          <w:rFonts w:hint="eastAsia"/>
          <w:sz w:val="30"/>
          <w:szCs w:val="30"/>
        </w:rPr>
        <w:t>号验资报告。当月</w:t>
      </w:r>
      <w:r>
        <w:rPr>
          <w:rFonts w:hint="eastAsia"/>
          <w:sz w:val="30"/>
          <w:szCs w:val="30"/>
        </w:rPr>
        <w:t>21</w:t>
      </w:r>
      <w:r>
        <w:rPr>
          <w:rFonts w:hint="eastAsia"/>
          <w:sz w:val="30"/>
          <w:szCs w:val="30"/>
        </w:rPr>
        <w:t>日，泰达公司经工商管理部门核准成立，注册资本为</w:t>
      </w:r>
      <w:r>
        <w:rPr>
          <w:rFonts w:hint="eastAsia"/>
          <w:sz w:val="30"/>
          <w:szCs w:val="30"/>
        </w:rPr>
        <w:t>500</w:t>
      </w:r>
      <w:r>
        <w:rPr>
          <w:rFonts w:hint="eastAsia"/>
          <w:sz w:val="30"/>
          <w:szCs w:val="30"/>
        </w:rPr>
        <w:t>万元，经营范围为“地下空间开发技术咨询，企业管理咨询，地下空间安全技术咨询；其它无需报经审批的一切合法项目”；陆执中任执行董事，邵秋生任经理，何明任监事。后，泰达公司的经营范围相继于</w:t>
      </w:r>
      <w:r>
        <w:rPr>
          <w:rFonts w:hint="eastAsia"/>
          <w:sz w:val="30"/>
          <w:szCs w:val="30"/>
        </w:rPr>
        <w:t>2005</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w:t>
      </w:r>
      <w:r>
        <w:rPr>
          <w:rFonts w:hint="eastAsia"/>
          <w:sz w:val="30"/>
          <w:szCs w:val="30"/>
        </w:rPr>
        <w:t>2006</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w:t>
      </w:r>
      <w:r>
        <w:rPr>
          <w:rFonts w:hint="eastAsia"/>
          <w:sz w:val="30"/>
          <w:szCs w:val="30"/>
        </w:rPr>
        <w:t>2007</w:t>
      </w:r>
      <w:r>
        <w:rPr>
          <w:rFonts w:hint="eastAsia"/>
          <w:sz w:val="30"/>
          <w:szCs w:val="30"/>
        </w:rPr>
        <w:t>年</w:t>
      </w:r>
      <w:r>
        <w:rPr>
          <w:rFonts w:hint="eastAsia"/>
          <w:sz w:val="30"/>
          <w:szCs w:val="30"/>
        </w:rPr>
        <w:t>6</w:t>
      </w:r>
      <w:r>
        <w:rPr>
          <w:rFonts w:hint="eastAsia"/>
          <w:sz w:val="30"/>
          <w:szCs w:val="30"/>
        </w:rPr>
        <w:t>月</w:t>
      </w:r>
      <w:r>
        <w:rPr>
          <w:rFonts w:hint="eastAsia"/>
          <w:sz w:val="30"/>
          <w:szCs w:val="30"/>
        </w:rPr>
        <w:t>6</w:t>
      </w:r>
      <w:r>
        <w:rPr>
          <w:rFonts w:hint="eastAsia"/>
          <w:sz w:val="30"/>
          <w:szCs w:val="30"/>
        </w:rPr>
        <w:t>日增加“煤炭开采和洗选业、金属、非金属矿及其他矿采选业的安全评价（乙级、有效期至</w:t>
      </w:r>
      <w:r>
        <w:rPr>
          <w:rFonts w:hint="eastAsia"/>
          <w:sz w:val="30"/>
          <w:szCs w:val="30"/>
        </w:rPr>
        <w:t>2008</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日）”、“丙级地质灾害危险性评估（有效期至</w:t>
      </w:r>
      <w:r>
        <w:rPr>
          <w:rFonts w:hint="eastAsia"/>
          <w:sz w:val="30"/>
          <w:szCs w:val="30"/>
        </w:rPr>
        <w:t>2009</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日）”、“小型露天采石场开采方案编制（有效期至</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日）”；于</w:t>
      </w: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日变更为“服务：地下空间开</w:t>
      </w:r>
      <w:r>
        <w:rPr>
          <w:rFonts w:hint="eastAsia"/>
          <w:sz w:val="30"/>
          <w:szCs w:val="30"/>
        </w:rPr>
        <w:t>发技术咨询，企业管理咨询，地下空间安全技术咨询，浙江省内的安全评价（具体经营范围见安全评价机构资质证书，乙级，有效期至</w:t>
      </w:r>
      <w:r>
        <w:rPr>
          <w:rFonts w:hint="eastAsia"/>
          <w:sz w:val="30"/>
          <w:szCs w:val="30"/>
        </w:rPr>
        <w:t>2008</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日），丙级地质灾害危险性评估（有效期至</w:t>
      </w:r>
      <w:r>
        <w:rPr>
          <w:rFonts w:hint="eastAsia"/>
          <w:sz w:val="30"/>
          <w:szCs w:val="30"/>
        </w:rPr>
        <w:t>2009</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日），小型露天采石场开采方案编制（有效期至</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日）；其他无需报经审批的一切合法项目”。</w:t>
      </w:r>
      <w:r>
        <w:rPr>
          <w:rFonts w:hint="eastAsia"/>
          <w:sz w:val="30"/>
          <w:szCs w:val="30"/>
        </w:rPr>
        <w:t>2008</w:t>
      </w:r>
      <w:r>
        <w:rPr>
          <w:rFonts w:hint="eastAsia"/>
          <w:sz w:val="30"/>
          <w:szCs w:val="30"/>
        </w:rPr>
        <w:t>年八九月份，陆蕾以受让陆执中股权（出资额为</w:t>
      </w:r>
      <w:r>
        <w:rPr>
          <w:rFonts w:hint="eastAsia"/>
          <w:sz w:val="30"/>
          <w:szCs w:val="30"/>
        </w:rPr>
        <w:t>8.75</w:t>
      </w:r>
      <w:r>
        <w:rPr>
          <w:rFonts w:hint="eastAsia"/>
          <w:sz w:val="30"/>
          <w:szCs w:val="30"/>
        </w:rPr>
        <w:t>万元）的方式成为泰达公司的股东，同时，泰达公司选举陆执中为执行董</w:t>
      </w:r>
      <w:r>
        <w:rPr>
          <w:rFonts w:hint="eastAsia"/>
          <w:sz w:val="30"/>
          <w:szCs w:val="30"/>
        </w:rPr>
        <w:lastRenderedPageBreak/>
        <w:t>事、何明为监事，聘任邵秋生为经理，任期均为三年。</w:t>
      </w:r>
      <w:r>
        <w:rPr>
          <w:rFonts w:hint="eastAsia"/>
          <w:sz w:val="30"/>
          <w:szCs w:val="30"/>
        </w:rPr>
        <w:t>2008</w:t>
      </w:r>
      <w:r>
        <w:rPr>
          <w:rFonts w:hint="eastAsia"/>
          <w:sz w:val="30"/>
          <w:szCs w:val="30"/>
        </w:rPr>
        <w:t>年</w:t>
      </w:r>
      <w:r>
        <w:rPr>
          <w:rFonts w:hint="eastAsia"/>
          <w:sz w:val="30"/>
          <w:szCs w:val="30"/>
        </w:rPr>
        <w:t>9</w:t>
      </w:r>
      <w:r>
        <w:rPr>
          <w:rFonts w:hint="eastAsia"/>
          <w:sz w:val="30"/>
          <w:szCs w:val="30"/>
        </w:rPr>
        <w:t>月，泰达公司就其股权变动和经营范围所涉</w:t>
      </w:r>
      <w:r>
        <w:rPr>
          <w:rFonts w:hint="eastAsia"/>
          <w:sz w:val="30"/>
          <w:szCs w:val="30"/>
        </w:rPr>
        <w:t>安全评价机构资质证书的有效期延长为</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日进行变更登记。</w:t>
      </w:r>
      <w:r>
        <w:rPr>
          <w:rFonts w:hint="eastAsia"/>
          <w:sz w:val="30"/>
          <w:szCs w:val="30"/>
        </w:rPr>
        <w:t>2009</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日，杭州明达公司因未参加</w:t>
      </w:r>
      <w:r>
        <w:rPr>
          <w:rFonts w:hint="eastAsia"/>
          <w:sz w:val="30"/>
          <w:szCs w:val="30"/>
        </w:rPr>
        <w:t>2007</w:t>
      </w:r>
      <w:r>
        <w:rPr>
          <w:rFonts w:hint="eastAsia"/>
          <w:sz w:val="30"/>
          <w:szCs w:val="30"/>
        </w:rPr>
        <w:t>年度、</w:t>
      </w:r>
      <w:r>
        <w:rPr>
          <w:rFonts w:hint="eastAsia"/>
          <w:sz w:val="30"/>
          <w:szCs w:val="30"/>
        </w:rPr>
        <w:t>2008</w:t>
      </w:r>
      <w:r>
        <w:rPr>
          <w:rFonts w:hint="eastAsia"/>
          <w:sz w:val="30"/>
          <w:szCs w:val="30"/>
        </w:rPr>
        <w:t>年度年检，被浙江省工商行政管理局吊销营业执照。</w:t>
      </w:r>
      <w:r>
        <w:rPr>
          <w:rFonts w:hint="eastAsia"/>
          <w:sz w:val="30"/>
          <w:szCs w:val="30"/>
        </w:rPr>
        <w:t>2009</w:t>
      </w:r>
      <w:r>
        <w:rPr>
          <w:rFonts w:hint="eastAsia"/>
          <w:sz w:val="30"/>
          <w:szCs w:val="30"/>
        </w:rPr>
        <w:t>年</w:t>
      </w:r>
      <w:r>
        <w:rPr>
          <w:rFonts w:hint="eastAsia"/>
          <w:sz w:val="30"/>
          <w:szCs w:val="30"/>
        </w:rPr>
        <w:t>5</w:t>
      </w:r>
      <w:r>
        <w:rPr>
          <w:rFonts w:hint="eastAsia"/>
          <w:sz w:val="30"/>
          <w:szCs w:val="30"/>
        </w:rPr>
        <w:t>月</w:t>
      </w:r>
      <w:r>
        <w:rPr>
          <w:rFonts w:hint="eastAsia"/>
          <w:sz w:val="30"/>
          <w:szCs w:val="30"/>
        </w:rPr>
        <w:t>13</w:t>
      </w:r>
      <w:r>
        <w:rPr>
          <w:rFonts w:hint="eastAsia"/>
          <w:sz w:val="30"/>
          <w:szCs w:val="30"/>
        </w:rPr>
        <w:t>日，邵秋生死亡。邵秋生在泰达公司的股权中的一半由妻子林凤娇所有，另一半作为邵秋生的遗产由女儿邵佶婧继承。之后，经股权转让和非专利技术出资改变为货币出资，泰达公司于</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日进行变更登记，其中股东变更为“方仕立，</w:t>
      </w:r>
      <w:r>
        <w:rPr>
          <w:rFonts w:hint="eastAsia"/>
          <w:sz w:val="30"/>
          <w:szCs w:val="30"/>
        </w:rPr>
        <w:t>45</w:t>
      </w:r>
      <w:r>
        <w:rPr>
          <w:rFonts w:hint="eastAsia"/>
          <w:sz w:val="30"/>
          <w:szCs w:val="30"/>
        </w:rPr>
        <w:t>万；何明，</w:t>
      </w:r>
      <w:r>
        <w:rPr>
          <w:rFonts w:hint="eastAsia"/>
          <w:sz w:val="30"/>
          <w:szCs w:val="30"/>
        </w:rPr>
        <w:t>50</w:t>
      </w:r>
      <w:r>
        <w:rPr>
          <w:rFonts w:hint="eastAsia"/>
          <w:sz w:val="30"/>
          <w:szCs w:val="30"/>
        </w:rPr>
        <w:t>万；陆蕾</w:t>
      </w:r>
      <w:r>
        <w:rPr>
          <w:rFonts w:hint="eastAsia"/>
          <w:sz w:val="30"/>
          <w:szCs w:val="30"/>
        </w:rPr>
        <w:t>87.5</w:t>
      </w:r>
      <w:r>
        <w:rPr>
          <w:rFonts w:hint="eastAsia"/>
          <w:sz w:val="30"/>
          <w:szCs w:val="30"/>
        </w:rPr>
        <w:t>万；林凤娇，</w:t>
      </w:r>
      <w:r>
        <w:rPr>
          <w:rFonts w:hint="eastAsia"/>
          <w:sz w:val="30"/>
          <w:szCs w:val="30"/>
        </w:rPr>
        <w:t>90</w:t>
      </w:r>
      <w:r>
        <w:rPr>
          <w:rFonts w:hint="eastAsia"/>
          <w:sz w:val="30"/>
          <w:szCs w:val="30"/>
        </w:rPr>
        <w:t>万；邵佶婧，</w:t>
      </w:r>
      <w:r>
        <w:rPr>
          <w:rFonts w:hint="eastAsia"/>
          <w:sz w:val="30"/>
          <w:szCs w:val="30"/>
        </w:rPr>
        <w:t>90</w:t>
      </w:r>
      <w:r>
        <w:rPr>
          <w:rFonts w:hint="eastAsia"/>
          <w:sz w:val="30"/>
          <w:szCs w:val="30"/>
        </w:rPr>
        <w:t>万；陆执中，</w:t>
      </w:r>
      <w:r>
        <w:rPr>
          <w:rFonts w:hint="eastAsia"/>
          <w:sz w:val="30"/>
          <w:szCs w:val="30"/>
        </w:rPr>
        <w:t>137.5</w:t>
      </w:r>
      <w:r>
        <w:rPr>
          <w:rFonts w:hint="eastAsia"/>
          <w:sz w:val="30"/>
          <w:szCs w:val="30"/>
        </w:rPr>
        <w:t>万”，组织</w:t>
      </w:r>
      <w:r>
        <w:rPr>
          <w:rFonts w:hint="eastAsia"/>
          <w:sz w:val="30"/>
          <w:szCs w:val="30"/>
        </w:rPr>
        <w:t>机构变更为方仕立任监事、何明任总经理、陆执中任执行董事。</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日，张来以股权确认纠纷为由将林凤娇、泰达公司诉至原审法院，认为杭州明达公司以邵秋生名义向泰达公司以货币方式出资</w:t>
      </w:r>
      <w:r>
        <w:rPr>
          <w:rFonts w:hint="eastAsia"/>
          <w:sz w:val="30"/>
          <w:szCs w:val="30"/>
        </w:rPr>
        <w:t>22.5</w:t>
      </w:r>
      <w:r>
        <w:rPr>
          <w:rFonts w:hint="eastAsia"/>
          <w:sz w:val="30"/>
          <w:szCs w:val="30"/>
        </w:rPr>
        <w:t>万元，要求判令林凤娇归还邵秋生自泰达公司已取得红利</w:t>
      </w:r>
      <w:r>
        <w:rPr>
          <w:rFonts w:hint="eastAsia"/>
          <w:sz w:val="30"/>
          <w:szCs w:val="30"/>
        </w:rPr>
        <w:t>10</w:t>
      </w:r>
      <w:r>
        <w:rPr>
          <w:rFonts w:hint="eastAsia"/>
          <w:sz w:val="30"/>
          <w:szCs w:val="30"/>
        </w:rPr>
        <w:t>万元给杭州明达公司，泰达公司将原登记在邵秋生名下</w:t>
      </w:r>
      <w:r>
        <w:rPr>
          <w:rFonts w:hint="eastAsia"/>
          <w:sz w:val="30"/>
          <w:szCs w:val="30"/>
        </w:rPr>
        <w:t>49.5%</w:t>
      </w:r>
      <w:r>
        <w:rPr>
          <w:rFonts w:hint="eastAsia"/>
          <w:sz w:val="30"/>
          <w:szCs w:val="30"/>
        </w:rPr>
        <w:t>出资额（</w:t>
      </w:r>
      <w:r>
        <w:rPr>
          <w:rFonts w:hint="eastAsia"/>
          <w:sz w:val="30"/>
          <w:szCs w:val="30"/>
        </w:rPr>
        <w:t>22.5</w:t>
      </w:r>
      <w:r>
        <w:rPr>
          <w:rFonts w:hint="eastAsia"/>
          <w:sz w:val="30"/>
          <w:szCs w:val="30"/>
        </w:rPr>
        <w:t>万元）变更为杭州明达公司所有，未支付红利（按审计结果确定）及以后该出资额可得红利直接支付给杭州明达公司。原审法院于</w:t>
      </w:r>
      <w:r>
        <w:rPr>
          <w:rFonts w:hint="eastAsia"/>
          <w:sz w:val="30"/>
          <w:szCs w:val="30"/>
        </w:rPr>
        <w:t>2010</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日作出（</w:t>
      </w:r>
      <w:r>
        <w:rPr>
          <w:rFonts w:hint="eastAsia"/>
          <w:sz w:val="30"/>
          <w:szCs w:val="30"/>
        </w:rPr>
        <w:t>2010</w:t>
      </w:r>
      <w:r>
        <w:rPr>
          <w:rFonts w:hint="eastAsia"/>
          <w:sz w:val="30"/>
          <w:szCs w:val="30"/>
        </w:rPr>
        <w:t>）杭西商初字第</w:t>
      </w:r>
      <w:r>
        <w:rPr>
          <w:rFonts w:hint="eastAsia"/>
          <w:sz w:val="30"/>
          <w:szCs w:val="30"/>
        </w:rPr>
        <w:t>99</w:t>
      </w:r>
      <w:r>
        <w:rPr>
          <w:rFonts w:hint="eastAsia"/>
          <w:sz w:val="30"/>
          <w:szCs w:val="30"/>
        </w:rPr>
        <w:t>号民事裁定，认为张来以股东身</w:t>
      </w:r>
      <w:r>
        <w:rPr>
          <w:rFonts w:hint="eastAsia"/>
          <w:sz w:val="30"/>
          <w:szCs w:val="30"/>
        </w:rPr>
        <w:t>份提起该案诉讼未履行股东代表诉讼应履行的前置程序或提供存在紧急情况、不立即起诉将会使公司利益受到难以弥补的损害的相关证据，其起诉不符合受理条件，故驳回张来的起诉。张来不服该裁定，向杭州市中级人民法院提起上诉。杭州市中级人民法院于</w:t>
      </w:r>
      <w:r>
        <w:rPr>
          <w:rFonts w:hint="eastAsia"/>
          <w:sz w:val="30"/>
          <w:szCs w:val="30"/>
        </w:rPr>
        <w:t>2010</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日作出（</w:t>
      </w:r>
      <w:r>
        <w:rPr>
          <w:rFonts w:hint="eastAsia"/>
          <w:sz w:val="30"/>
          <w:szCs w:val="30"/>
        </w:rPr>
        <w:t>2010</w:t>
      </w:r>
      <w:r>
        <w:rPr>
          <w:rFonts w:hint="eastAsia"/>
          <w:sz w:val="30"/>
          <w:szCs w:val="30"/>
        </w:rPr>
        <w:t>）浙杭商终字第</w:t>
      </w:r>
      <w:r>
        <w:rPr>
          <w:rFonts w:hint="eastAsia"/>
          <w:sz w:val="30"/>
          <w:szCs w:val="30"/>
        </w:rPr>
        <w:t>890</w:t>
      </w:r>
      <w:r>
        <w:rPr>
          <w:rFonts w:hint="eastAsia"/>
          <w:sz w:val="30"/>
          <w:szCs w:val="30"/>
        </w:rPr>
        <w:t>号民事裁定，认为杭州明达公司因被吊销营业执照已处于解散状态，张来提起代表诉讼的前提应为杭州明达公司明确拒绝直接诉讼，由于杭州明达公司未依法成立清算组，对该案诉讼的意思表示无法体现，张来在此情况下直接提起代表诉讼不符合法律规定的前置</w:t>
      </w:r>
      <w:r>
        <w:rPr>
          <w:rFonts w:hint="eastAsia"/>
          <w:sz w:val="30"/>
          <w:szCs w:val="30"/>
        </w:rPr>
        <w:t>条件，故裁定驳回上诉、维持原裁定。随后，张来向原审法院申请对杭州明达公司进行强制清算，并于</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日撤回清算申请。</w:t>
      </w:r>
      <w:r>
        <w:rPr>
          <w:rFonts w:hint="eastAsia"/>
          <w:sz w:val="30"/>
          <w:szCs w:val="30"/>
        </w:rPr>
        <w:t>2011</w:t>
      </w:r>
      <w:r>
        <w:rPr>
          <w:rFonts w:hint="eastAsia"/>
          <w:sz w:val="30"/>
          <w:szCs w:val="30"/>
        </w:rPr>
        <w:t>年</w:t>
      </w:r>
      <w:r>
        <w:rPr>
          <w:rFonts w:hint="eastAsia"/>
          <w:sz w:val="30"/>
          <w:szCs w:val="30"/>
        </w:rPr>
        <w:t>4</w:t>
      </w:r>
      <w:r>
        <w:rPr>
          <w:rFonts w:hint="eastAsia"/>
          <w:sz w:val="30"/>
          <w:szCs w:val="30"/>
        </w:rPr>
        <w:t>月，张来向杭州市中级人民法院申请对杭州明达公司进行强制清算。杭州市中级人民法院于</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日作出裁定予以受理。</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杭州明达公司清算组向杭州市中级人民法院递交申请报告，称杭州明达公司没有资金且三位股东对清算费用垫付问题意见不一，导致清算公告至今未能刊登，同时，杭州明达公司主要财产、财务账簿和重要文件等至今仍未向清算组移交，也不知去向，导致清算工作无法</w:t>
      </w:r>
      <w:r>
        <w:rPr>
          <w:rFonts w:hint="eastAsia"/>
          <w:sz w:val="30"/>
          <w:szCs w:val="30"/>
        </w:rPr>
        <w:t>开展，故要求法院依法裁定终结清算程序。杭州市中级人民法院于</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日作出（</w:t>
      </w:r>
      <w:r>
        <w:rPr>
          <w:rFonts w:hint="eastAsia"/>
          <w:sz w:val="30"/>
          <w:szCs w:val="30"/>
        </w:rPr>
        <w:t>2011</w:t>
      </w:r>
      <w:r>
        <w:rPr>
          <w:rFonts w:hint="eastAsia"/>
          <w:sz w:val="30"/>
          <w:szCs w:val="30"/>
        </w:rPr>
        <w:t>）浙杭商清（算）字第</w:t>
      </w:r>
      <w:r>
        <w:rPr>
          <w:rFonts w:hint="eastAsia"/>
          <w:sz w:val="30"/>
          <w:szCs w:val="30"/>
        </w:rPr>
        <w:t>3</w:t>
      </w:r>
      <w:r>
        <w:rPr>
          <w:rFonts w:hint="eastAsia"/>
          <w:sz w:val="30"/>
          <w:szCs w:val="30"/>
        </w:rPr>
        <w:t>号民事裁定，认为“因杭州明达公司及其清算义务人未能向清算组移交公司财产、印章、账册、重要文件等，也未能提供明确的线索，导致清算无法进行。张来可以向杭州明达公司其他相关责任人主张有关权利。本院依法对杭州明达公司清算组提交的清算报告予以确认，且杭州明达公司清算组提请本院终结清算程序符合法律规定”，依照《最高人民法院关于适用﹤中华人民共和国公司法﹥若干问题的规定（二）》第十八条第二款之规定，裁定终结</w:t>
      </w:r>
      <w:r>
        <w:rPr>
          <w:rFonts w:hint="eastAsia"/>
          <w:sz w:val="30"/>
          <w:szCs w:val="30"/>
        </w:rPr>
        <w:t>杭州明达公司的强制清算程序。</w:t>
      </w:r>
      <w:r>
        <w:rPr>
          <w:rFonts w:hint="eastAsia"/>
          <w:sz w:val="30"/>
          <w:szCs w:val="30"/>
        </w:rPr>
        <w:t>2012</w:t>
      </w:r>
      <w:r>
        <w:rPr>
          <w:rFonts w:hint="eastAsia"/>
          <w:sz w:val="30"/>
          <w:szCs w:val="30"/>
        </w:rPr>
        <w:t>年</w:t>
      </w:r>
      <w:r>
        <w:rPr>
          <w:rFonts w:hint="eastAsia"/>
          <w:sz w:val="30"/>
          <w:szCs w:val="30"/>
        </w:rPr>
        <w:t>3</w:t>
      </w:r>
      <w:r>
        <w:rPr>
          <w:rFonts w:hint="eastAsia"/>
          <w:sz w:val="30"/>
          <w:szCs w:val="30"/>
        </w:rPr>
        <w:t>月，张来以侵害企业出资人权益纠纷为由将林凤娇、泰达公司诉至原审法院，要求林凤娇归还邵秋生自泰达公司处已取得红利</w:t>
      </w:r>
      <w:r>
        <w:rPr>
          <w:rFonts w:hint="eastAsia"/>
          <w:sz w:val="30"/>
          <w:szCs w:val="30"/>
        </w:rPr>
        <w:t>5</w:t>
      </w:r>
      <w:r>
        <w:rPr>
          <w:rFonts w:hint="eastAsia"/>
          <w:sz w:val="30"/>
          <w:szCs w:val="30"/>
        </w:rPr>
        <w:t>万元（具体按审计结果确定）给杭州明达公司，泰达公司将原登记在股东邵秋生名下</w:t>
      </w:r>
      <w:r>
        <w:rPr>
          <w:rFonts w:hint="eastAsia"/>
          <w:sz w:val="30"/>
          <w:szCs w:val="30"/>
        </w:rPr>
        <w:t>49.5%</w:t>
      </w:r>
      <w:r>
        <w:rPr>
          <w:rFonts w:hint="eastAsia"/>
          <w:sz w:val="30"/>
          <w:szCs w:val="30"/>
        </w:rPr>
        <w:t>出资额未支付红利</w:t>
      </w:r>
      <w:r>
        <w:rPr>
          <w:rFonts w:hint="eastAsia"/>
          <w:sz w:val="30"/>
          <w:szCs w:val="30"/>
        </w:rPr>
        <w:t>10</w:t>
      </w:r>
      <w:r>
        <w:rPr>
          <w:rFonts w:hint="eastAsia"/>
          <w:sz w:val="30"/>
          <w:szCs w:val="30"/>
        </w:rPr>
        <w:t>万元（具体按审计结果确定）以及以后该出资额可得红利直接支付给杭州明达公司。后应张来的申请，原审法院于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日作出（</w:t>
      </w:r>
      <w:r>
        <w:rPr>
          <w:rFonts w:hint="eastAsia"/>
          <w:sz w:val="30"/>
          <w:szCs w:val="30"/>
        </w:rPr>
        <w:t>2012</w:t>
      </w:r>
      <w:r>
        <w:rPr>
          <w:rFonts w:hint="eastAsia"/>
          <w:sz w:val="30"/>
          <w:szCs w:val="30"/>
        </w:rPr>
        <w:t>）杭西商初字第</w:t>
      </w:r>
      <w:r>
        <w:rPr>
          <w:rFonts w:hint="eastAsia"/>
          <w:sz w:val="30"/>
          <w:szCs w:val="30"/>
        </w:rPr>
        <w:t>800</w:t>
      </w:r>
      <w:r>
        <w:rPr>
          <w:rFonts w:hint="eastAsia"/>
          <w:sz w:val="30"/>
          <w:szCs w:val="30"/>
        </w:rPr>
        <w:t>号民事裁定，裁定准予张来撤回起诉。原审法院另查明，</w:t>
      </w:r>
      <w:r>
        <w:rPr>
          <w:rFonts w:hint="eastAsia"/>
          <w:sz w:val="30"/>
          <w:szCs w:val="30"/>
        </w:rPr>
        <w:t>2004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日通过的杭州明达公司章程第三十九条</w:t>
      </w:r>
      <w:r>
        <w:rPr>
          <w:rFonts w:hint="eastAsia"/>
          <w:sz w:val="30"/>
          <w:szCs w:val="30"/>
        </w:rPr>
        <w:t>规定，“董事、经理不得自营或者为他人经营与其所任职公司同类的营业或从事损害本公司利益的活动。从事上述营业或者活动的，所得收入应当归公司所有”；第四十一条规定，“董事、监事、经理执行公司职务时违反法律、行政法规或者公司章程的规定，给公司造成损害的，应当承担赔偿责任”。泰达公司财务会计报告显示其在</w:t>
      </w:r>
      <w:r>
        <w:rPr>
          <w:rFonts w:hint="eastAsia"/>
          <w:sz w:val="30"/>
          <w:szCs w:val="30"/>
        </w:rPr>
        <w:t>2005</w:t>
      </w:r>
      <w:r>
        <w:rPr>
          <w:rFonts w:hint="eastAsia"/>
          <w:sz w:val="30"/>
          <w:szCs w:val="30"/>
        </w:rPr>
        <w:t>年度至</w:t>
      </w:r>
      <w:r>
        <w:rPr>
          <w:rFonts w:hint="eastAsia"/>
          <w:sz w:val="30"/>
          <w:szCs w:val="30"/>
        </w:rPr>
        <w:t>2008</w:t>
      </w:r>
      <w:r>
        <w:rPr>
          <w:rFonts w:hint="eastAsia"/>
          <w:sz w:val="30"/>
          <w:szCs w:val="30"/>
        </w:rPr>
        <w:t>年度均有盈利。泰达公司表示其向邵秋生支付过报酬并分配红利，但拒绝向原审法院作出详细说明。张来在庭审中明确其系以监事身份代表杭州明达公司提起本案诉讼；其所称杭州明达公司与泰达公司存在同业竞争所指的相</w:t>
      </w:r>
      <w:r>
        <w:rPr>
          <w:rFonts w:hint="eastAsia"/>
          <w:sz w:val="30"/>
          <w:szCs w:val="30"/>
        </w:rPr>
        <w:t>同的经营内容为与矿山有关的安全工程评价和安全技术咨询，杭州明达公司没有从事泰达公司经营范围所涉地下空间安全技术咨询业务；在</w:t>
      </w:r>
      <w:r>
        <w:rPr>
          <w:rFonts w:hint="eastAsia"/>
          <w:sz w:val="30"/>
          <w:szCs w:val="30"/>
        </w:rPr>
        <w:t>2005</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日前，杭州明达公司从事安全工程评价和安全技术咨询业务不需要资质，</w:t>
      </w:r>
      <w:r>
        <w:rPr>
          <w:rFonts w:hint="eastAsia"/>
          <w:sz w:val="30"/>
          <w:szCs w:val="30"/>
        </w:rPr>
        <w:t>2005</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安全评价机构管理规定》开始施行后，杭州明达公司未取得相关安全评价机构资质，但委派邵秋生为代表与陆执中等人共同成立泰达公司，泰达公司取得安全评价机构资质实际使用了杭州明达公司的资料、人员、安全评价人员的资格证书等。原审法院又查明，张来未在杭州明达公司的强制清算程序中向杭州明达公司清算组提出杭</w:t>
      </w:r>
      <w:r>
        <w:rPr>
          <w:rFonts w:hint="eastAsia"/>
          <w:sz w:val="30"/>
          <w:szCs w:val="30"/>
        </w:rPr>
        <w:t>州明达公司应就其所称的邵秋生的行为主张权利。目前，杭州明达公司的工商注销登记手续尚未办理。</w:t>
      </w:r>
    </w:p>
    <w:p w:rsidR="00000000" w:rsidRDefault="00CD3A62">
      <w:pPr>
        <w:spacing w:line="500" w:lineRule="atLeast"/>
        <w:ind w:firstLine="600"/>
        <w:divId w:val="2007174415"/>
        <w:rPr>
          <w:rFonts w:hint="eastAsia"/>
          <w:sz w:val="30"/>
          <w:szCs w:val="30"/>
        </w:rPr>
      </w:pPr>
      <w:r>
        <w:rPr>
          <w:rFonts w:hint="eastAsia"/>
          <w:sz w:val="30"/>
          <w:szCs w:val="30"/>
        </w:rPr>
        <w:t>原审法院审理认为：一、张来关于邵秋生作为杭州明达公司的董事、经理存在违反忠实义务（竞业禁止）的理由存在矛盾，且均不能成立。</w:t>
      </w:r>
      <w:r>
        <w:rPr>
          <w:rFonts w:hint="eastAsia"/>
          <w:sz w:val="30"/>
          <w:szCs w:val="30"/>
        </w:rPr>
        <w:t>1</w:t>
      </w:r>
      <w:r>
        <w:rPr>
          <w:rFonts w:hint="eastAsia"/>
          <w:sz w:val="30"/>
          <w:szCs w:val="30"/>
        </w:rPr>
        <w:t>、如果邵秋生系受杭州明达公司的委托、使用杭州明达公司的资金、以自己的名义出资成为泰达公司的股东，则邵秋生与杭州明达公司之间存在名义股东和实际股东的关系，在杭州明达公司对邵秋生担任泰达公司的经理明知且未表示反对的情况下，邵秋生不存在违反对杭州明达公司的忠实义务的可能。</w:t>
      </w:r>
      <w:r>
        <w:rPr>
          <w:rFonts w:hint="eastAsia"/>
          <w:sz w:val="30"/>
          <w:szCs w:val="30"/>
        </w:rPr>
        <w:t>2</w:t>
      </w:r>
      <w:r>
        <w:rPr>
          <w:rFonts w:hint="eastAsia"/>
          <w:sz w:val="30"/>
          <w:szCs w:val="30"/>
        </w:rPr>
        <w:t>、张来关于邵秋生成为泰达公司</w:t>
      </w:r>
      <w:r>
        <w:rPr>
          <w:rFonts w:hint="eastAsia"/>
          <w:sz w:val="30"/>
          <w:szCs w:val="30"/>
        </w:rPr>
        <w:t>股东系受杭州明达公司委派且使用杭州明达公司的</w:t>
      </w:r>
      <w:r>
        <w:rPr>
          <w:rFonts w:hint="eastAsia"/>
          <w:sz w:val="30"/>
          <w:szCs w:val="30"/>
        </w:rPr>
        <w:t>22.5</w:t>
      </w:r>
      <w:r>
        <w:rPr>
          <w:rFonts w:hint="eastAsia"/>
          <w:sz w:val="30"/>
          <w:szCs w:val="30"/>
        </w:rPr>
        <w:t>万元资金和相关人员、资料的主张并无有效证据予以证明，对此不予采信。</w:t>
      </w:r>
      <w:r>
        <w:rPr>
          <w:rFonts w:hint="eastAsia"/>
          <w:sz w:val="30"/>
          <w:szCs w:val="30"/>
        </w:rPr>
        <w:t>3</w:t>
      </w:r>
      <w:r>
        <w:rPr>
          <w:rFonts w:hint="eastAsia"/>
          <w:sz w:val="30"/>
          <w:szCs w:val="30"/>
        </w:rPr>
        <w:t>、事实上，杭州明达公司在经营范围上与泰达公司并不重合。首先，张来已明确杭州明达公司并不从事泰达公司在</w:t>
      </w:r>
      <w:r>
        <w:rPr>
          <w:rFonts w:hint="eastAsia"/>
          <w:sz w:val="30"/>
          <w:szCs w:val="30"/>
        </w:rPr>
        <w:t>2005</w:t>
      </w:r>
      <w:r>
        <w:rPr>
          <w:rFonts w:hint="eastAsia"/>
          <w:sz w:val="30"/>
          <w:szCs w:val="30"/>
        </w:rPr>
        <w:t>年</w:t>
      </w:r>
      <w:r>
        <w:rPr>
          <w:rFonts w:hint="eastAsia"/>
          <w:sz w:val="30"/>
          <w:szCs w:val="30"/>
        </w:rPr>
        <w:t>3</w:t>
      </w:r>
      <w:r>
        <w:rPr>
          <w:rFonts w:hint="eastAsia"/>
          <w:sz w:val="30"/>
          <w:szCs w:val="30"/>
        </w:rPr>
        <w:t>月成立之初经营范围中所具有的地下空间安全技术咨询业务，即杭州明达公司经营范围中的“安全技术咨询”与泰达公司的“地下空间安全技术咨询”不重合；其次，泰达公司在后续经营中增加的“煤炭开采和洗选业、金属、非金属矿及其他矿采选业的安全评价（乙级）”、“丙级地质灾害危险性评估（有效期至</w:t>
      </w:r>
      <w:r>
        <w:rPr>
          <w:rFonts w:hint="eastAsia"/>
          <w:sz w:val="30"/>
          <w:szCs w:val="30"/>
        </w:rPr>
        <w:t>20</w:t>
      </w:r>
      <w:r>
        <w:rPr>
          <w:rFonts w:hint="eastAsia"/>
          <w:sz w:val="30"/>
          <w:szCs w:val="30"/>
        </w:rPr>
        <w:t>09</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日）”、“小型露天采石场开采方案编制（有效期至</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经营项目属于许可经营项目，杭州明达公司因不具有相关的资质或取得相应的行政许可而无法开展该些项目的经营，不能以杭州明达公司的经营范围中有安全工程检测检验、安全工程评价、安全技术咨询的内容即认定泰达公司经营与杭州明达公司的同类业务而将邵秋生在泰达公司的收入归入杭州明达公司。二、目前杭州明达公司虽未被注销工商登记，但杭州市中级人民法院已作出裁定终结对杭州明达公司的强制清算程序，应认定杭州明达公司已不具有民事主体资格，张来无需以监事</w:t>
      </w:r>
      <w:r>
        <w:rPr>
          <w:rFonts w:hint="eastAsia"/>
          <w:sz w:val="30"/>
          <w:szCs w:val="30"/>
        </w:rPr>
        <w:t>身份代表杭州明达公司提起诉讼，（</w:t>
      </w:r>
      <w:r>
        <w:rPr>
          <w:rFonts w:hint="eastAsia"/>
          <w:sz w:val="30"/>
          <w:szCs w:val="30"/>
        </w:rPr>
        <w:t>2011</w:t>
      </w:r>
      <w:r>
        <w:rPr>
          <w:rFonts w:hint="eastAsia"/>
          <w:sz w:val="30"/>
          <w:szCs w:val="30"/>
        </w:rPr>
        <w:t>）浙杭商清（算）字第</w:t>
      </w:r>
      <w:r>
        <w:rPr>
          <w:rFonts w:hint="eastAsia"/>
          <w:sz w:val="30"/>
          <w:szCs w:val="30"/>
        </w:rPr>
        <w:t>3</w:t>
      </w:r>
      <w:r>
        <w:rPr>
          <w:rFonts w:hint="eastAsia"/>
          <w:sz w:val="30"/>
          <w:szCs w:val="30"/>
        </w:rPr>
        <w:t>号民事裁定所称“张来可以向杭州明达公司其他相关责任人主张有关权利”不是指张来可直接提起监事代表诉讼，而是指股东在人民法院以无法清算或者无法全面清算为由终结强制清算程序时，可以向控股股东等实际控制公司的主体主张有关权利。三、张来以邵秋生作为杭州明达公司董事、经理存在损害公司利益行为为由主张归入权，泰达公司不是该类纠纷的适格被告。综上，张来的诉讼请求缺乏事实和法律依据，不予支持。依照《中华人民共和国公司法》第一百四十九条，《中华人民共和国民事诉讼法》</w:t>
      </w:r>
      <w:r>
        <w:rPr>
          <w:rFonts w:hint="eastAsia"/>
          <w:sz w:val="30"/>
          <w:szCs w:val="30"/>
        </w:rPr>
        <w:t>第六十四条，《最高人民法院关于民事诉讼证据的若干规定》第二条之规定，判决：驳回张来的诉讼请求。案件受理费</w:t>
      </w:r>
      <w:r>
        <w:rPr>
          <w:rFonts w:hint="eastAsia"/>
          <w:sz w:val="30"/>
          <w:szCs w:val="30"/>
        </w:rPr>
        <w:t>1050</w:t>
      </w:r>
      <w:r>
        <w:rPr>
          <w:rFonts w:hint="eastAsia"/>
          <w:sz w:val="30"/>
          <w:szCs w:val="30"/>
        </w:rPr>
        <w:t>元减半收取</w:t>
      </w:r>
      <w:r>
        <w:rPr>
          <w:rFonts w:hint="eastAsia"/>
          <w:sz w:val="30"/>
          <w:szCs w:val="30"/>
        </w:rPr>
        <w:t>525</w:t>
      </w:r>
      <w:r>
        <w:rPr>
          <w:rFonts w:hint="eastAsia"/>
          <w:sz w:val="30"/>
          <w:szCs w:val="30"/>
        </w:rPr>
        <w:t>元，由张来负担。</w:t>
      </w:r>
    </w:p>
    <w:p w:rsidR="00000000" w:rsidRDefault="00CD3A62">
      <w:pPr>
        <w:spacing w:line="500" w:lineRule="atLeast"/>
        <w:ind w:firstLine="600"/>
        <w:divId w:val="9451152"/>
        <w:rPr>
          <w:rFonts w:hint="eastAsia"/>
          <w:sz w:val="30"/>
          <w:szCs w:val="30"/>
        </w:rPr>
      </w:pPr>
      <w:r>
        <w:rPr>
          <w:rFonts w:hint="eastAsia"/>
          <w:sz w:val="30"/>
          <w:szCs w:val="30"/>
        </w:rPr>
        <w:t>宣判后，张来不服，向本院提起上诉称：一、一审法院对被告行为违反了公司法关于忠实义务之规定进行错误解读。受杭州明达公司全体股东的委托，由杭州明达公司出资现金</w:t>
      </w:r>
      <w:r>
        <w:rPr>
          <w:rFonts w:hint="eastAsia"/>
          <w:sz w:val="30"/>
          <w:szCs w:val="30"/>
        </w:rPr>
        <w:t>22</w:t>
      </w:r>
      <w:r>
        <w:rPr>
          <w:rFonts w:hint="eastAsia"/>
          <w:sz w:val="30"/>
          <w:szCs w:val="30"/>
        </w:rPr>
        <w:t>．</w:t>
      </w:r>
      <w:r>
        <w:rPr>
          <w:rFonts w:hint="eastAsia"/>
          <w:sz w:val="30"/>
          <w:szCs w:val="30"/>
        </w:rPr>
        <w:t>5</w:t>
      </w:r>
      <w:r>
        <w:rPr>
          <w:rFonts w:hint="eastAsia"/>
          <w:sz w:val="30"/>
          <w:szCs w:val="30"/>
        </w:rPr>
        <w:t>万元及有关公司资料和人员、安全评价员资格证书，委派邵秋生为代表以其个人名义与陆执中、方仕立、何明、陆蕾共同出资设立了泰达公司。受公司委托之下邵秋生在泰达公司经营行为属杭州明达公司权利，则邵秋生与杭州明达公</w:t>
      </w:r>
      <w:r>
        <w:rPr>
          <w:rFonts w:hint="eastAsia"/>
          <w:sz w:val="30"/>
          <w:szCs w:val="30"/>
        </w:rPr>
        <w:t>司之间存在名义股东和实际股东的关系。邵秋生作为杭州明达公司法定代表人对公司负有“忠实义务”，当其自身利益与公司利益发生冲突时，必须以公司利益为重。邵秋生违反了公司董事、高级管理人员的忠实义务，利用公司的资源谋取个人利益。邵秋生在未经杭州明达公司股东同意担任杭州明达公司法定代表人期间，同时担任有经营范围相同竞争对手泰达公司的经理，邵秋生陆续自泰达公司处已取收入，将本应上交杭州明达公司的收益占为已有，均未上缴杭州明达公司。二、一审法院认为杭州明达公司在经营范围上与泰达公司并不重合这是错误的。杭州明达公司业务经营</w:t>
      </w:r>
      <w:r>
        <w:rPr>
          <w:rFonts w:hint="eastAsia"/>
          <w:sz w:val="30"/>
          <w:szCs w:val="30"/>
        </w:rPr>
        <w:t>范围为安全工程评价、安全技术咨询等，其后设立的泰达公司的经营范围为安全工程评价、安全技术咨询等。二者存在经营业务的重合。这实际上是将本属于杭州明达公司的商业机会转由泰达公司所有，而且剥夺了杭州明达公司之后与该交易相对人继续合作的经济利益，损害杭州明达公司利益。至于《安全评价机构管理规定》，属于规章，仅对于行业内部有效。经营范围的法律法规规定属于工商行政管理部门，所以法律依据不足。即使对于行业内部有效，泰达公司取得安全评价的资质是利用杭州明达公司出资的现金及有关公司的资料和人员、安全员资格证书，应该说安全评价</w:t>
      </w:r>
      <w:r>
        <w:rPr>
          <w:rFonts w:hint="eastAsia"/>
          <w:sz w:val="30"/>
          <w:szCs w:val="30"/>
        </w:rPr>
        <w:t>的资质由二家公司共同取得，共同经营。其次，企业经营过程中资质可以挂靠，杭州明达公司仍然有经营权利，只是被杭州明达公司的高级管理人员拿来为泰达公司服务，导致杭州明达公司营业困难，损害杭州明达公司利益。三、被上诉人行为违反公司法关于竞业禁止之规定。受杭州明达公司全体股东的委托，委派邵秋生为代表以其个人名义与陆执中、方仕立、何明、陆蕾共同出资设立泰达公司。以上委托仅同意邵秋生按公司法要求去经营泰达公司，杭州明达公司股东没有同意邵秋生利用职务便利为自己或者他人谋取属于公司的商业机会，自营或者为他人经营与所任职公司同</w:t>
      </w:r>
      <w:r>
        <w:rPr>
          <w:rFonts w:hint="eastAsia"/>
          <w:sz w:val="30"/>
          <w:szCs w:val="30"/>
        </w:rPr>
        <w:t>类的业务的行为。四、一审法院认为张来提交的证据</w:t>
      </w:r>
      <w:r>
        <w:rPr>
          <w:rFonts w:hint="eastAsia"/>
          <w:sz w:val="30"/>
          <w:szCs w:val="30"/>
        </w:rPr>
        <w:t>18</w:t>
      </w:r>
      <w:r>
        <w:rPr>
          <w:rFonts w:hint="eastAsia"/>
          <w:sz w:val="30"/>
          <w:szCs w:val="30"/>
        </w:rPr>
        <w:t>无邵秋生签字且内容存在矛盾而不予确认，是认定错误。因受杭州明达公司全体股东的委托，由杭州明达公司出资现金</w:t>
      </w:r>
      <w:r>
        <w:rPr>
          <w:rFonts w:hint="eastAsia"/>
          <w:sz w:val="30"/>
          <w:szCs w:val="30"/>
        </w:rPr>
        <w:t>22.5</w:t>
      </w:r>
      <w:r>
        <w:rPr>
          <w:rFonts w:hint="eastAsia"/>
          <w:sz w:val="30"/>
          <w:szCs w:val="30"/>
        </w:rPr>
        <w:t>万元，对邵秋生无关。所以在借条上本人签字是不适宜，邵秋生也不同意签字。但是邵秋生作为杭州明达公司法定代表人，其与公司之间形成的是一种基于信任而产生的委托或信托关系，最后用法人章代替了签字符合法律要求。五、一审判决认定事实错误，定性不正确。本案中张来是杭州明达公司的监事，同时也是公司股东，所以“张来可以向杭州明达公司其他相关责任人主张有关权利”，以邵</w:t>
      </w:r>
      <w:r>
        <w:rPr>
          <w:rFonts w:hint="eastAsia"/>
          <w:sz w:val="30"/>
          <w:szCs w:val="30"/>
        </w:rPr>
        <w:t>秋生作为杭州明达公司董事、经理存在损害公司利益行为为由主张归入权；泰达公司应是该类纠纷的适格被告。六、为查明案件事实，特请求法院对泰达公司的财务状况进行审计。邵秋生身为杭州明达公司法定代表人，又与他人设立了泰达公司，属于经营与其所属公司同类的业务，且在性质上是营利的，其行为违反了公司法关于竞业禁止之规定。审计条件已经成就，法律理应保护。综上，请求二审法院撤销一审判决，依法改判支持上诉人的一审诉请，被上诉人承担本案的全部诉讼费用。</w:t>
      </w:r>
    </w:p>
    <w:p w:rsidR="00000000" w:rsidRDefault="00CD3A62">
      <w:pPr>
        <w:spacing w:line="500" w:lineRule="atLeast"/>
        <w:ind w:firstLine="600"/>
        <w:divId w:val="1242719333"/>
        <w:rPr>
          <w:rFonts w:hint="eastAsia"/>
          <w:sz w:val="30"/>
          <w:szCs w:val="30"/>
        </w:rPr>
      </w:pPr>
      <w:r>
        <w:rPr>
          <w:rFonts w:hint="eastAsia"/>
          <w:sz w:val="30"/>
          <w:szCs w:val="30"/>
        </w:rPr>
        <w:t>被上诉人林凤娇答辩称：一、杭州明达公司与泰达公司在经营范围上不重合，一审中张来</w:t>
      </w:r>
      <w:r>
        <w:rPr>
          <w:rFonts w:hint="eastAsia"/>
          <w:sz w:val="30"/>
          <w:szCs w:val="30"/>
        </w:rPr>
        <w:t>在庭审中明确杭州明达公司与泰达公司存在同类经营，根据林凤娇在一审中提交的证据可以明确自</w:t>
      </w:r>
      <w:r>
        <w:rPr>
          <w:rFonts w:hint="eastAsia"/>
          <w:sz w:val="30"/>
          <w:szCs w:val="30"/>
        </w:rPr>
        <w:t>2005</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日起要从事煤矿方面的安全评价必需注册资金在</w:t>
      </w:r>
      <w:r>
        <w:rPr>
          <w:rFonts w:hint="eastAsia"/>
          <w:sz w:val="30"/>
          <w:szCs w:val="30"/>
        </w:rPr>
        <w:t>100</w:t>
      </w:r>
      <w:r>
        <w:rPr>
          <w:rFonts w:hint="eastAsia"/>
          <w:sz w:val="30"/>
          <w:szCs w:val="30"/>
        </w:rPr>
        <w:t>万元以上，并取得资质的企业才可以从事安全评价经营活动，而杭州明达公司的注册资金只有</w:t>
      </w:r>
      <w:r>
        <w:rPr>
          <w:rFonts w:hint="eastAsia"/>
          <w:sz w:val="30"/>
          <w:szCs w:val="30"/>
        </w:rPr>
        <w:t>10</w:t>
      </w:r>
      <w:r>
        <w:rPr>
          <w:rFonts w:hint="eastAsia"/>
          <w:sz w:val="30"/>
          <w:szCs w:val="30"/>
        </w:rPr>
        <w:t>万元，也没有取得资质证书，泰达公司成立起就取得了安全评价的资质证书，杭州明达公司的经营范围不包括煤矿业的经营评价，故与泰达公司的经营范围不重合，不可能产生邵秋生任职的公司违反同类营业从而损害杭州明达公司利益。二、张来关于邵秋生作为杭州明达公司的董事违反忠实义务的理由存在矛盾，</w:t>
      </w:r>
      <w:r>
        <w:rPr>
          <w:rFonts w:hint="eastAsia"/>
          <w:sz w:val="30"/>
          <w:szCs w:val="30"/>
        </w:rPr>
        <w:t>不能成立。张来称邵秋生受杭州明达公司出资委托成立泰达公司，但林凤姣不认可委托事宜的存在，对张来陈述的邵秋生成立泰达公司，杭州明达公司股东均知道并认可的事情予以认可，在杭州明达公司股东同意并认可的情况下，邵秋生并不违反竞业禁止的相关规定。三、由于泰达公司成立于</w:t>
      </w:r>
      <w:r>
        <w:rPr>
          <w:rFonts w:hint="eastAsia"/>
          <w:sz w:val="30"/>
          <w:szCs w:val="30"/>
        </w:rPr>
        <w:t>2005</w:t>
      </w:r>
      <w:r>
        <w:rPr>
          <w:rFonts w:hint="eastAsia"/>
          <w:sz w:val="30"/>
          <w:szCs w:val="30"/>
        </w:rPr>
        <w:t>年</w:t>
      </w:r>
      <w:r>
        <w:rPr>
          <w:rFonts w:hint="eastAsia"/>
          <w:sz w:val="30"/>
          <w:szCs w:val="30"/>
        </w:rPr>
        <w:t>3</w:t>
      </w:r>
      <w:r>
        <w:rPr>
          <w:rFonts w:hint="eastAsia"/>
          <w:sz w:val="30"/>
          <w:szCs w:val="30"/>
        </w:rPr>
        <w:t>月，自成立之日起杭州明达公司股东就明确邵秋生的出资行为，根据规定，张来如果认为损害公司利益的应在两年内主张权利，现张来于</w:t>
      </w:r>
      <w:r>
        <w:rPr>
          <w:rFonts w:hint="eastAsia"/>
          <w:sz w:val="30"/>
          <w:szCs w:val="30"/>
        </w:rPr>
        <w:t>2012</w:t>
      </w:r>
      <w:r>
        <w:rPr>
          <w:rFonts w:hint="eastAsia"/>
          <w:sz w:val="30"/>
          <w:szCs w:val="30"/>
        </w:rPr>
        <w:t>年提起诉讼，已超过诉讼时效。请求驳回上诉，维持原审判决。</w:t>
      </w:r>
    </w:p>
    <w:p w:rsidR="00000000" w:rsidRDefault="00CD3A62">
      <w:pPr>
        <w:spacing w:line="500" w:lineRule="atLeast"/>
        <w:ind w:firstLine="600"/>
        <w:divId w:val="327251146"/>
        <w:rPr>
          <w:rFonts w:hint="eastAsia"/>
          <w:sz w:val="30"/>
          <w:szCs w:val="30"/>
        </w:rPr>
      </w:pPr>
      <w:r>
        <w:rPr>
          <w:rFonts w:hint="eastAsia"/>
          <w:sz w:val="30"/>
          <w:szCs w:val="30"/>
        </w:rPr>
        <w:t>被上诉人泰达公司答辩称：一、张来在《民事上诉状》中一方面</w:t>
      </w:r>
      <w:r>
        <w:rPr>
          <w:rFonts w:hint="eastAsia"/>
          <w:sz w:val="30"/>
          <w:szCs w:val="30"/>
        </w:rPr>
        <w:t>诉称“邵秋生受杭州明达公司全体股东的委托，委派邵秋生为代表以其个人名义与陆执中、方仕立、何明、陆蕾共同出资设立了泰达公司”，另一方面又诉称“邵秋生在未经杭州明达公司股东同意之下担任杭州明达公司法定代表人期间，同时担任竞争对手泰达公司的经理，违反公司忠实义务”，该两种说法明显矛盾，不能自圆其说。如果按照张来的第一种说法，邵秋生出资参与设立并曾担任泰达公司经理是经过杭州明达公司全体股东的同意，此种情况下，即便邵秋生作为高管人员的行为有损于杭州明达公司的合法利益，那么根据《公司法》第</w:t>
      </w:r>
      <w:r>
        <w:rPr>
          <w:rFonts w:hint="eastAsia"/>
          <w:sz w:val="30"/>
          <w:szCs w:val="30"/>
        </w:rPr>
        <w:t>149</w:t>
      </w:r>
      <w:r>
        <w:rPr>
          <w:rFonts w:hint="eastAsia"/>
          <w:sz w:val="30"/>
          <w:szCs w:val="30"/>
        </w:rPr>
        <w:t>条的规定，邵秋生的行为没</w:t>
      </w:r>
      <w:r>
        <w:rPr>
          <w:rFonts w:hint="eastAsia"/>
          <w:sz w:val="30"/>
          <w:szCs w:val="30"/>
        </w:rPr>
        <w:t>有违反忠实义务和勤勉义务，杭州明达公司无权主张权利。如果按照张来的第二种说法，因邵秋生与杭州明达公司的另一股东同时也是泰达公司的股东即方仕立合计持有杭州明达公司</w:t>
      </w:r>
      <w:r>
        <w:rPr>
          <w:rFonts w:hint="eastAsia"/>
          <w:sz w:val="30"/>
          <w:szCs w:val="30"/>
        </w:rPr>
        <w:t>60%</w:t>
      </w:r>
      <w:r>
        <w:rPr>
          <w:rFonts w:hint="eastAsia"/>
          <w:sz w:val="30"/>
          <w:szCs w:val="30"/>
        </w:rPr>
        <w:t>的股权，足以通过同意邵秋生担任泰达公司的杭州明达公司股东会决议。在杭州明达公司对邵秋生担任泰达公司的经理明知且未表示反对的情况下，邵秋生不存在违反杭州明达公司的忠实义务的可能。二、杭州明达公司在经营范围上与泰达公司并不重合，一审法院认定正确。一审庭审中，张来已明确其所指的杭州明达公司与泰达公司相同经营内容为：与矿山有关的安全工程评价和安全技术咨</w:t>
      </w:r>
      <w:r>
        <w:rPr>
          <w:rFonts w:hint="eastAsia"/>
          <w:sz w:val="30"/>
          <w:szCs w:val="30"/>
        </w:rPr>
        <w:t>询。而泰达公司在成立之初</w:t>
      </w:r>
      <w:r>
        <w:rPr>
          <w:rFonts w:hint="eastAsia"/>
          <w:sz w:val="30"/>
          <w:szCs w:val="30"/>
        </w:rPr>
        <w:t>2005</w:t>
      </w:r>
      <w:r>
        <w:rPr>
          <w:rFonts w:hint="eastAsia"/>
          <w:sz w:val="30"/>
          <w:szCs w:val="30"/>
        </w:rPr>
        <w:t>年</w:t>
      </w:r>
      <w:r>
        <w:rPr>
          <w:rFonts w:hint="eastAsia"/>
          <w:sz w:val="30"/>
          <w:szCs w:val="30"/>
        </w:rPr>
        <w:t>3</w:t>
      </w:r>
      <w:r>
        <w:rPr>
          <w:rFonts w:hint="eastAsia"/>
          <w:sz w:val="30"/>
          <w:szCs w:val="30"/>
        </w:rPr>
        <w:t>月至</w:t>
      </w:r>
      <w:r>
        <w:rPr>
          <w:rFonts w:hint="eastAsia"/>
          <w:sz w:val="30"/>
          <w:szCs w:val="30"/>
        </w:rPr>
        <w:t>7</w:t>
      </w:r>
      <w:r>
        <w:rPr>
          <w:rFonts w:hint="eastAsia"/>
          <w:sz w:val="30"/>
          <w:szCs w:val="30"/>
        </w:rPr>
        <w:t>月期间的经营范围为“地下空间开发技术咨询，企业管理咨询，地下空间安全技术咨询；其它无需报经审批的一切合法项目”，张来明确杭州明达公司并不从事前述与地下空间有关的评价咨询业务，故两公司在此期间不存在同业经营之说。泰达公司从</w:t>
      </w:r>
      <w:r>
        <w:rPr>
          <w:rFonts w:hint="eastAsia"/>
          <w:sz w:val="30"/>
          <w:szCs w:val="30"/>
        </w:rPr>
        <w:t>2005</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日之后新增加的经营范围如“浙江省内的安全评价、小型露天采石场开采方案编制”均属于行政许可经营项目，杭州明达公司因不具有相关的资质或取得相应的行政许可而无法开展前述业务的经营，故两公司从</w:t>
      </w:r>
      <w:r>
        <w:rPr>
          <w:rFonts w:hint="eastAsia"/>
          <w:sz w:val="30"/>
          <w:szCs w:val="30"/>
        </w:rPr>
        <w:t>2005</w:t>
      </w:r>
      <w:r>
        <w:rPr>
          <w:rFonts w:hint="eastAsia"/>
          <w:sz w:val="30"/>
          <w:szCs w:val="30"/>
        </w:rPr>
        <w:t>年</w:t>
      </w:r>
      <w:r>
        <w:rPr>
          <w:rFonts w:hint="eastAsia"/>
          <w:sz w:val="30"/>
          <w:szCs w:val="30"/>
        </w:rPr>
        <w:t>7</w:t>
      </w:r>
      <w:r>
        <w:rPr>
          <w:rFonts w:hint="eastAsia"/>
          <w:sz w:val="30"/>
          <w:szCs w:val="30"/>
        </w:rPr>
        <w:t>月之后也不存在业务范围重合的可能。三、</w:t>
      </w:r>
      <w:r>
        <w:rPr>
          <w:rFonts w:hint="eastAsia"/>
          <w:sz w:val="30"/>
          <w:szCs w:val="30"/>
        </w:rPr>
        <w:t>邵秋生曾在泰达公司担任经理职务的行为不违反公司法关于竞业禁止的规定。四、张来提交的证据</w:t>
      </w:r>
      <w:r>
        <w:rPr>
          <w:rFonts w:hint="eastAsia"/>
          <w:sz w:val="30"/>
          <w:szCs w:val="30"/>
        </w:rPr>
        <w:t>18</w:t>
      </w:r>
      <w:r>
        <w:rPr>
          <w:rFonts w:hint="eastAsia"/>
          <w:sz w:val="30"/>
          <w:szCs w:val="30"/>
        </w:rPr>
        <w:t>借条没有邵秋生的签字，也与张来此前庭审中的陈述相矛盾，不具有真实性。五、一审法院认定“泰达公司不是本案所涉纠纷的适格被告”准确。因泰达公司与杭州明达公司没有业务关系，更没有实际控制杭州明达公司，故泰达公司不是杭州市中级人民法院（</w:t>
      </w:r>
      <w:r>
        <w:rPr>
          <w:rFonts w:hint="eastAsia"/>
          <w:sz w:val="30"/>
          <w:szCs w:val="30"/>
        </w:rPr>
        <w:t>2011</w:t>
      </w:r>
      <w:r>
        <w:rPr>
          <w:rFonts w:hint="eastAsia"/>
          <w:sz w:val="30"/>
          <w:szCs w:val="30"/>
        </w:rPr>
        <w:t>）浙杭商清（算）字第</w:t>
      </w:r>
      <w:r>
        <w:rPr>
          <w:rFonts w:hint="eastAsia"/>
          <w:sz w:val="30"/>
          <w:szCs w:val="30"/>
        </w:rPr>
        <w:t>3</w:t>
      </w:r>
      <w:r>
        <w:rPr>
          <w:rFonts w:hint="eastAsia"/>
          <w:sz w:val="30"/>
          <w:szCs w:val="30"/>
        </w:rPr>
        <w:t>号民事裁定书所认定的张来可以主张权利的其他相关责任人；且杭州明达公司经强制清算程序后已不具有民事主体资格，故张来无法代表杭州明达公司提起诉讼。六、张来无权申请法院对</w:t>
      </w:r>
      <w:r>
        <w:rPr>
          <w:rFonts w:hint="eastAsia"/>
          <w:sz w:val="30"/>
          <w:szCs w:val="30"/>
        </w:rPr>
        <w:t>泰达公司的财务状况进行审计。财务状况是公司的商业机密，不能轻易被公开或被他人审计；且泰达公司并非本案纠纷的适格主体，与本案没有关联性，故张来无权申请法院对泰达公司的财务状况进行审计。请求二审法院依法驳回张来的上诉，维持原判。</w:t>
      </w:r>
    </w:p>
    <w:p w:rsidR="00000000" w:rsidRDefault="00CD3A62">
      <w:pPr>
        <w:spacing w:line="500" w:lineRule="atLeast"/>
        <w:ind w:firstLine="600"/>
        <w:divId w:val="537593297"/>
        <w:rPr>
          <w:rFonts w:hint="eastAsia"/>
          <w:sz w:val="30"/>
          <w:szCs w:val="30"/>
        </w:rPr>
      </w:pPr>
      <w:r>
        <w:rPr>
          <w:rFonts w:hint="eastAsia"/>
          <w:sz w:val="30"/>
          <w:szCs w:val="30"/>
        </w:rPr>
        <w:t>二审期间，双方当事人均未向本院提交新的证据材料。</w:t>
      </w:r>
    </w:p>
    <w:p w:rsidR="00000000" w:rsidRDefault="00CD3A62">
      <w:pPr>
        <w:spacing w:line="500" w:lineRule="atLeast"/>
        <w:ind w:firstLine="600"/>
        <w:divId w:val="556667990"/>
        <w:rPr>
          <w:rFonts w:hint="eastAsia"/>
          <w:sz w:val="30"/>
          <w:szCs w:val="30"/>
        </w:rPr>
      </w:pPr>
      <w:r>
        <w:rPr>
          <w:rFonts w:hint="eastAsia"/>
          <w:sz w:val="30"/>
          <w:szCs w:val="30"/>
        </w:rPr>
        <w:t>经审理，本院二审查明的事实与原审法院查明的事实一致，本院予以确认。</w:t>
      </w:r>
    </w:p>
    <w:p w:rsidR="00000000" w:rsidRDefault="00CD3A62">
      <w:pPr>
        <w:spacing w:line="500" w:lineRule="atLeast"/>
        <w:ind w:firstLine="600"/>
        <w:divId w:val="928584122"/>
        <w:rPr>
          <w:rFonts w:hint="eastAsia"/>
          <w:sz w:val="30"/>
          <w:szCs w:val="30"/>
        </w:rPr>
      </w:pPr>
      <w:r>
        <w:rPr>
          <w:rFonts w:hint="eastAsia"/>
          <w:sz w:val="30"/>
          <w:szCs w:val="30"/>
        </w:rPr>
        <w:t>本院认为：当事人对自己提出的诉讼请求所依据的事实有责任提供证据加以证明；没有证据或者证据不足以证明当事人的事实主张的，由负有举证责任的当事人承担不利后果。本案中张来主张</w:t>
      </w:r>
      <w:r>
        <w:rPr>
          <w:rFonts w:hint="eastAsia"/>
          <w:sz w:val="30"/>
          <w:szCs w:val="30"/>
        </w:rPr>
        <w:t>邵秋生违反公司董事、高级管理人员的忠实义务而向邵秋生配偶林凤娇和泰达公司要求支付相应款项，审查本案现有证据，杭州明达公司在经营范围上与泰达公司并未重合且工商登记的经营范围仅表明公司可以从事的业务种类而不能表明公司实际经营了该些业务种类，而张来也未能举证证明邵秋生在泰达公司任职期间利用杭州明达公司的职务便利谋取了属于杭州明达公司的商业机会并利用该商业机会实际从事了相关种类业务，故张来于本案中应当承担举证不利的法律后果。因仅凭邵秋生在泰达公司任职的行为并不足以认定邵秋生违反了对杭州明达公司的忠实义务，且张来于本</w:t>
      </w:r>
      <w:r>
        <w:rPr>
          <w:rFonts w:hint="eastAsia"/>
          <w:sz w:val="30"/>
          <w:szCs w:val="30"/>
        </w:rPr>
        <w:t>案中所主张的请求权基础系针对邵秋生，泰达公司并非本案的适格被告，故张来关于审计泰达公司财务状况的申请本院亦不予准许。综上，原审判决事实认定清楚，法律适用正确，上诉人张来的上诉理由依据不足，本院不予支持。依照《中华人民共和国民事诉讼法》第一百七十条第一款第（一）项之规定，判决如下：</w:t>
      </w:r>
    </w:p>
    <w:p w:rsidR="00000000" w:rsidRDefault="00CD3A62">
      <w:pPr>
        <w:spacing w:line="500" w:lineRule="atLeast"/>
        <w:ind w:firstLine="600"/>
        <w:divId w:val="694697179"/>
        <w:rPr>
          <w:rFonts w:hint="eastAsia"/>
          <w:sz w:val="30"/>
          <w:szCs w:val="30"/>
        </w:rPr>
      </w:pPr>
      <w:r>
        <w:rPr>
          <w:rFonts w:hint="eastAsia"/>
          <w:sz w:val="30"/>
          <w:szCs w:val="30"/>
        </w:rPr>
        <w:t>驳回上诉，维持原判。</w:t>
      </w:r>
    </w:p>
    <w:p w:rsidR="00000000" w:rsidRDefault="00CD3A62">
      <w:pPr>
        <w:spacing w:line="500" w:lineRule="atLeast"/>
        <w:ind w:firstLine="600"/>
        <w:divId w:val="758141667"/>
        <w:rPr>
          <w:rFonts w:hint="eastAsia"/>
          <w:sz w:val="30"/>
          <w:szCs w:val="30"/>
        </w:rPr>
      </w:pPr>
      <w:r>
        <w:rPr>
          <w:rFonts w:hint="eastAsia"/>
          <w:sz w:val="30"/>
          <w:szCs w:val="30"/>
        </w:rPr>
        <w:t>二审案件受理费</w:t>
      </w:r>
      <w:r>
        <w:rPr>
          <w:rFonts w:hint="eastAsia"/>
          <w:sz w:val="30"/>
          <w:szCs w:val="30"/>
        </w:rPr>
        <w:t>1050</w:t>
      </w:r>
      <w:r>
        <w:rPr>
          <w:rFonts w:hint="eastAsia"/>
          <w:sz w:val="30"/>
          <w:szCs w:val="30"/>
        </w:rPr>
        <w:t>元，由张来负担。</w:t>
      </w:r>
    </w:p>
    <w:p w:rsidR="00000000" w:rsidRDefault="00CD3A62">
      <w:pPr>
        <w:spacing w:line="500" w:lineRule="atLeast"/>
        <w:ind w:firstLine="600"/>
        <w:divId w:val="1612973861"/>
        <w:rPr>
          <w:rFonts w:hint="eastAsia"/>
          <w:sz w:val="30"/>
          <w:szCs w:val="30"/>
        </w:rPr>
      </w:pPr>
      <w:r>
        <w:rPr>
          <w:rFonts w:hint="eastAsia"/>
          <w:sz w:val="30"/>
          <w:szCs w:val="30"/>
        </w:rPr>
        <w:t>本判决为终审判决。</w:t>
      </w:r>
    </w:p>
    <w:p w:rsidR="00000000" w:rsidRDefault="00CD3A62">
      <w:pPr>
        <w:spacing w:line="500" w:lineRule="atLeast"/>
        <w:jc w:val="right"/>
        <w:divId w:val="425733641"/>
        <w:rPr>
          <w:rFonts w:hint="eastAsia"/>
          <w:sz w:val="30"/>
          <w:szCs w:val="30"/>
        </w:rPr>
      </w:pPr>
      <w:r>
        <w:rPr>
          <w:rFonts w:hint="eastAsia"/>
          <w:sz w:val="30"/>
          <w:szCs w:val="30"/>
        </w:rPr>
        <w:t>审　判　长　　洪悦琴</w:t>
      </w:r>
    </w:p>
    <w:p w:rsidR="00000000" w:rsidRDefault="00CD3A62">
      <w:pPr>
        <w:spacing w:line="500" w:lineRule="atLeast"/>
        <w:jc w:val="right"/>
        <w:divId w:val="428937093"/>
        <w:rPr>
          <w:rFonts w:hint="eastAsia"/>
          <w:sz w:val="30"/>
          <w:szCs w:val="30"/>
        </w:rPr>
      </w:pPr>
      <w:r>
        <w:rPr>
          <w:rFonts w:hint="eastAsia"/>
          <w:sz w:val="30"/>
          <w:szCs w:val="30"/>
        </w:rPr>
        <w:t>审　判　员　　袁正茂</w:t>
      </w:r>
    </w:p>
    <w:p w:rsidR="00000000" w:rsidRDefault="00CD3A62">
      <w:pPr>
        <w:spacing w:line="500" w:lineRule="atLeast"/>
        <w:jc w:val="right"/>
        <w:divId w:val="1685206507"/>
        <w:rPr>
          <w:rFonts w:hint="eastAsia"/>
          <w:sz w:val="30"/>
          <w:szCs w:val="30"/>
        </w:rPr>
      </w:pPr>
      <w:r>
        <w:rPr>
          <w:rFonts w:hint="eastAsia"/>
          <w:sz w:val="30"/>
          <w:szCs w:val="30"/>
        </w:rPr>
        <w:t>代理审判员　　陈　剑</w:t>
      </w:r>
    </w:p>
    <w:p w:rsidR="00000000" w:rsidRDefault="00CD3A62">
      <w:pPr>
        <w:spacing w:line="500" w:lineRule="atLeast"/>
        <w:jc w:val="right"/>
        <w:divId w:val="170295123"/>
        <w:rPr>
          <w:rFonts w:hint="eastAsia"/>
          <w:sz w:val="30"/>
          <w:szCs w:val="30"/>
        </w:rPr>
      </w:pPr>
      <w:r>
        <w:rPr>
          <w:rFonts w:hint="eastAsia"/>
          <w:sz w:val="30"/>
          <w:szCs w:val="30"/>
        </w:rPr>
        <w:t>二〇一三年五月八日</w:t>
      </w:r>
    </w:p>
    <w:p w:rsidR="00000000" w:rsidRDefault="00CD3A62">
      <w:pPr>
        <w:spacing w:line="500" w:lineRule="atLeast"/>
        <w:jc w:val="right"/>
        <w:divId w:val="1103188402"/>
        <w:rPr>
          <w:rFonts w:hint="eastAsia"/>
          <w:sz w:val="30"/>
          <w:szCs w:val="30"/>
        </w:rPr>
      </w:pPr>
      <w:r>
        <w:rPr>
          <w:rFonts w:hint="eastAsia"/>
          <w:sz w:val="30"/>
          <w:szCs w:val="30"/>
        </w:rPr>
        <w:t>书　记　员　　倪知松</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3A62" w:rsidRDefault="00CD3A62" w:rsidP="00CD3A62">
      <w:r>
        <w:separator/>
      </w:r>
    </w:p>
  </w:endnote>
  <w:endnote w:type="continuationSeparator" w:id="0">
    <w:p w:rsidR="00CD3A62" w:rsidRDefault="00CD3A62" w:rsidP="00CD3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3A62" w:rsidRDefault="00CD3A62" w:rsidP="00CD3A62">
      <w:r>
        <w:separator/>
      </w:r>
    </w:p>
  </w:footnote>
  <w:footnote w:type="continuationSeparator" w:id="0">
    <w:p w:rsidR="00CD3A62" w:rsidRDefault="00CD3A62" w:rsidP="00CD3A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D3A62"/>
    <w:rsid w:val="00CD3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D3A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3A62"/>
    <w:rPr>
      <w:rFonts w:ascii="宋体" w:eastAsia="宋体" w:hAnsi="宋体" w:cs="宋体"/>
      <w:sz w:val="18"/>
      <w:szCs w:val="18"/>
    </w:rPr>
  </w:style>
  <w:style w:type="paragraph" w:styleId="a5">
    <w:name w:val="footer"/>
    <w:basedOn w:val="a"/>
    <w:link w:val="a6"/>
    <w:uiPriority w:val="99"/>
    <w:unhideWhenUsed/>
    <w:rsid w:val="00CD3A62"/>
    <w:pPr>
      <w:tabs>
        <w:tab w:val="center" w:pos="4153"/>
        <w:tab w:val="right" w:pos="8306"/>
      </w:tabs>
      <w:snapToGrid w:val="0"/>
    </w:pPr>
    <w:rPr>
      <w:sz w:val="18"/>
      <w:szCs w:val="18"/>
    </w:rPr>
  </w:style>
  <w:style w:type="character" w:customStyle="1" w:styleId="a6">
    <w:name w:val="页脚 字符"/>
    <w:basedOn w:val="a0"/>
    <w:link w:val="a5"/>
    <w:uiPriority w:val="99"/>
    <w:rsid w:val="00CD3A6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152">
      <w:marLeft w:val="0"/>
      <w:marRight w:val="0"/>
      <w:marTop w:val="10"/>
      <w:marBottom w:val="10"/>
      <w:divBdr>
        <w:top w:val="none" w:sz="0" w:space="0" w:color="auto"/>
        <w:left w:val="none" w:sz="0" w:space="0" w:color="auto"/>
        <w:bottom w:val="none" w:sz="0" w:space="0" w:color="auto"/>
        <w:right w:val="none" w:sz="0" w:space="0" w:color="auto"/>
      </w:divBdr>
    </w:div>
    <w:div w:id="133179092">
      <w:marLeft w:val="0"/>
      <w:marRight w:val="0"/>
      <w:marTop w:val="10"/>
      <w:marBottom w:val="10"/>
      <w:divBdr>
        <w:top w:val="none" w:sz="0" w:space="0" w:color="auto"/>
        <w:left w:val="none" w:sz="0" w:space="0" w:color="auto"/>
        <w:bottom w:val="none" w:sz="0" w:space="0" w:color="auto"/>
        <w:right w:val="none" w:sz="0" w:space="0" w:color="auto"/>
      </w:divBdr>
    </w:div>
    <w:div w:id="170295123">
      <w:marLeft w:val="0"/>
      <w:marRight w:val="720"/>
      <w:marTop w:val="10"/>
      <w:marBottom w:val="10"/>
      <w:divBdr>
        <w:top w:val="none" w:sz="0" w:space="0" w:color="auto"/>
        <w:left w:val="none" w:sz="0" w:space="0" w:color="auto"/>
        <w:bottom w:val="none" w:sz="0" w:space="0" w:color="auto"/>
        <w:right w:val="none" w:sz="0" w:space="0" w:color="auto"/>
      </w:divBdr>
    </w:div>
    <w:div w:id="327251146">
      <w:marLeft w:val="0"/>
      <w:marRight w:val="0"/>
      <w:marTop w:val="10"/>
      <w:marBottom w:val="10"/>
      <w:divBdr>
        <w:top w:val="none" w:sz="0" w:space="0" w:color="auto"/>
        <w:left w:val="none" w:sz="0" w:space="0" w:color="auto"/>
        <w:bottom w:val="none" w:sz="0" w:space="0" w:color="auto"/>
        <w:right w:val="none" w:sz="0" w:space="0" w:color="auto"/>
      </w:divBdr>
    </w:div>
    <w:div w:id="425733641">
      <w:marLeft w:val="0"/>
      <w:marRight w:val="720"/>
      <w:marTop w:val="10"/>
      <w:marBottom w:val="10"/>
      <w:divBdr>
        <w:top w:val="none" w:sz="0" w:space="0" w:color="auto"/>
        <w:left w:val="none" w:sz="0" w:space="0" w:color="auto"/>
        <w:bottom w:val="none" w:sz="0" w:space="0" w:color="auto"/>
        <w:right w:val="none" w:sz="0" w:space="0" w:color="auto"/>
      </w:divBdr>
    </w:div>
    <w:div w:id="428937093">
      <w:marLeft w:val="0"/>
      <w:marRight w:val="720"/>
      <w:marTop w:val="10"/>
      <w:marBottom w:val="10"/>
      <w:divBdr>
        <w:top w:val="none" w:sz="0" w:space="0" w:color="auto"/>
        <w:left w:val="none" w:sz="0" w:space="0" w:color="auto"/>
        <w:bottom w:val="none" w:sz="0" w:space="0" w:color="auto"/>
        <w:right w:val="none" w:sz="0" w:space="0" w:color="auto"/>
      </w:divBdr>
    </w:div>
    <w:div w:id="537593297">
      <w:marLeft w:val="0"/>
      <w:marRight w:val="0"/>
      <w:marTop w:val="10"/>
      <w:marBottom w:val="10"/>
      <w:divBdr>
        <w:top w:val="none" w:sz="0" w:space="0" w:color="auto"/>
        <w:left w:val="none" w:sz="0" w:space="0" w:color="auto"/>
        <w:bottom w:val="none" w:sz="0" w:space="0" w:color="auto"/>
        <w:right w:val="none" w:sz="0" w:space="0" w:color="auto"/>
      </w:divBdr>
    </w:div>
    <w:div w:id="556667990">
      <w:marLeft w:val="0"/>
      <w:marRight w:val="0"/>
      <w:marTop w:val="10"/>
      <w:marBottom w:val="10"/>
      <w:divBdr>
        <w:top w:val="none" w:sz="0" w:space="0" w:color="auto"/>
        <w:left w:val="none" w:sz="0" w:space="0" w:color="auto"/>
        <w:bottom w:val="none" w:sz="0" w:space="0" w:color="auto"/>
        <w:right w:val="none" w:sz="0" w:space="0" w:color="auto"/>
      </w:divBdr>
    </w:div>
    <w:div w:id="571695858">
      <w:marLeft w:val="0"/>
      <w:marRight w:val="0"/>
      <w:marTop w:val="10"/>
      <w:marBottom w:val="10"/>
      <w:divBdr>
        <w:top w:val="none" w:sz="0" w:space="0" w:color="auto"/>
        <w:left w:val="none" w:sz="0" w:space="0" w:color="auto"/>
        <w:bottom w:val="none" w:sz="0" w:space="0" w:color="auto"/>
        <w:right w:val="none" w:sz="0" w:space="0" w:color="auto"/>
      </w:divBdr>
    </w:div>
    <w:div w:id="648707649">
      <w:marLeft w:val="0"/>
      <w:marRight w:val="0"/>
      <w:marTop w:val="10"/>
      <w:marBottom w:val="10"/>
      <w:divBdr>
        <w:top w:val="none" w:sz="0" w:space="0" w:color="auto"/>
        <w:left w:val="none" w:sz="0" w:space="0" w:color="auto"/>
        <w:bottom w:val="none" w:sz="0" w:space="0" w:color="auto"/>
        <w:right w:val="none" w:sz="0" w:space="0" w:color="auto"/>
      </w:divBdr>
    </w:div>
    <w:div w:id="694697179">
      <w:marLeft w:val="0"/>
      <w:marRight w:val="0"/>
      <w:marTop w:val="10"/>
      <w:marBottom w:val="10"/>
      <w:divBdr>
        <w:top w:val="none" w:sz="0" w:space="0" w:color="auto"/>
        <w:left w:val="none" w:sz="0" w:space="0" w:color="auto"/>
        <w:bottom w:val="none" w:sz="0" w:space="0" w:color="auto"/>
        <w:right w:val="none" w:sz="0" w:space="0" w:color="auto"/>
      </w:divBdr>
    </w:div>
    <w:div w:id="711147917">
      <w:marLeft w:val="0"/>
      <w:marRight w:val="0"/>
      <w:marTop w:val="10"/>
      <w:marBottom w:val="10"/>
      <w:divBdr>
        <w:top w:val="none" w:sz="0" w:space="0" w:color="auto"/>
        <w:left w:val="none" w:sz="0" w:space="0" w:color="auto"/>
        <w:bottom w:val="none" w:sz="0" w:space="0" w:color="auto"/>
        <w:right w:val="none" w:sz="0" w:space="0" w:color="auto"/>
      </w:divBdr>
    </w:div>
    <w:div w:id="751123795">
      <w:marLeft w:val="0"/>
      <w:marRight w:val="0"/>
      <w:marTop w:val="10"/>
      <w:marBottom w:val="10"/>
      <w:divBdr>
        <w:top w:val="none" w:sz="0" w:space="0" w:color="auto"/>
        <w:left w:val="none" w:sz="0" w:space="0" w:color="auto"/>
        <w:bottom w:val="none" w:sz="0" w:space="0" w:color="auto"/>
        <w:right w:val="none" w:sz="0" w:space="0" w:color="auto"/>
      </w:divBdr>
    </w:div>
    <w:div w:id="758141667">
      <w:marLeft w:val="0"/>
      <w:marRight w:val="0"/>
      <w:marTop w:val="10"/>
      <w:marBottom w:val="10"/>
      <w:divBdr>
        <w:top w:val="none" w:sz="0" w:space="0" w:color="auto"/>
        <w:left w:val="none" w:sz="0" w:space="0" w:color="auto"/>
        <w:bottom w:val="none" w:sz="0" w:space="0" w:color="auto"/>
        <w:right w:val="none" w:sz="0" w:space="0" w:color="auto"/>
      </w:divBdr>
    </w:div>
    <w:div w:id="928584122">
      <w:marLeft w:val="0"/>
      <w:marRight w:val="0"/>
      <w:marTop w:val="10"/>
      <w:marBottom w:val="10"/>
      <w:divBdr>
        <w:top w:val="none" w:sz="0" w:space="0" w:color="auto"/>
        <w:left w:val="none" w:sz="0" w:space="0" w:color="auto"/>
        <w:bottom w:val="none" w:sz="0" w:space="0" w:color="auto"/>
        <w:right w:val="none" w:sz="0" w:space="0" w:color="auto"/>
      </w:divBdr>
    </w:div>
    <w:div w:id="987587418">
      <w:marLeft w:val="0"/>
      <w:marRight w:val="0"/>
      <w:marTop w:val="10"/>
      <w:marBottom w:val="10"/>
      <w:divBdr>
        <w:top w:val="none" w:sz="0" w:space="0" w:color="auto"/>
        <w:left w:val="none" w:sz="0" w:space="0" w:color="auto"/>
        <w:bottom w:val="none" w:sz="0" w:space="0" w:color="auto"/>
        <w:right w:val="none" w:sz="0" w:space="0" w:color="auto"/>
      </w:divBdr>
    </w:div>
    <w:div w:id="1066798912">
      <w:marLeft w:val="0"/>
      <w:marRight w:val="0"/>
      <w:marTop w:val="10"/>
      <w:marBottom w:val="10"/>
      <w:divBdr>
        <w:top w:val="none" w:sz="0" w:space="0" w:color="auto"/>
        <w:left w:val="none" w:sz="0" w:space="0" w:color="auto"/>
        <w:bottom w:val="none" w:sz="0" w:space="0" w:color="auto"/>
        <w:right w:val="none" w:sz="0" w:space="0" w:color="auto"/>
      </w:divBdr>
    </w:div>
    <w:div w:id="1103188402">
      <w:marLeft w:val="0"/>
      <w:marRight w:val="720"/>
      <w:marTop w:val="10"/>
      <w:marBottom w:val="10"/>
      <w:divBdr>
        <w:top w:val="none" w:sz="0" w:space="0" w:color="auto"/>
        <w:left w:val="none" w:sz="0" w:space="0" w:color="auto"/>
        <w:bottom w:val="none" w:sz="0" w:space="0" w:color="auto"/>
        <w:right w:val="none" w:sz="0" w:space="0" w:color="auto"/>
      </w:divBdr>
    </w:div>
    <w:div w:id="1242719333">
      <w:marLeft w:val="0"/>
      <w:marRight w:val="0"/>
      <w:marTop w:val="10"/>
      <w:marBottom w:val="10"/>
      <w:divBdr>
        <w:top w:val="none" w:sz="0" w:space="0" w:color="auto"/>
        <w:left w:val="none" w:sz="0" w:space="0" w:color="auto"/>
        <w:bottom w:val="none" w:sz="0" w:space="0" w:color="auto"/>
        <w:right w:val="none" w:sz="0" w:space="0" w:color="auto"/>
      </w:divBdr>
    </w:div>
    <w:div w:id="1353023423">
      <w:marLeft w:val="0"/>
      <w:marRight w:val="0"/>
      <w:marTop w:val="10"/>
      <w:marBottom w:val="10"/>
      <w:divBdr>
        <w:top w:val="none" w:sz="0" w:space="0" w:color="auto"/>
        <w:left w:val="none" w:sz="0" w:space="0" w:color="auto"/>
        <w:bottom w:val="none" w:sz="0" w:space="0" w:color="auto"/>
        <w:right w:val="none" w:sz="0" w:space="0" w:color="auto"/>
      </w:divBdr>
    </w:div>
    <w:div w:id="1380283179">
      <w:marLeft w:val="0"/>
      <w:marRight w:val="0"/>
      <w:marTop w:val="10"/>
      <w:marBottom w:val="10"/>
      <w:divBdr>
        <w:top w:val="none" w:sz="0" w:space="0" w:color="auto"/>
        <w:left w:val="none" w:sz="0" w:space="0" w:color="auto"/>
        <w:bottom w:val="none" w:sz="0" w:space="0" w:color="auto"/>
        <w:right w:val="none" w:sz="0" w:space="0" w:color="auto"/>
      </w:divBdr>
    </w:div>
    <w:div w:id="1612973861">
      <w:marLeft w:val="0"/>
      <w:marRight w:val="0"/>
      <w:marTop w:val="10"/>
      <w:marBottom w:val="10"/>
      <w:divBdr>
        <w:top w:val="none" w:sz="0" w:space="0" w:color="auto"/>
        <w:left w:val="none" w:sz="0" w:space="0" w:color="auto"/>
        <w:bottom w:val="none" w:sz="0" w:space="0" w:color="auto"/>
        <w:right w:val="none" w:sz="0" w:space="0" w:color="auto"/>
      </w:divBdr>
    </w:div>
    <w:div w:id="1685206507">
      <w:marLeft w:val="0"/>
      <w:marRight w:val="720"/>
      <w:marTop w:val="10"/>
      <w:marBottom w:val="10"/>
      <w:divBdr>
        <w:top w:val="none" w:sz="0" w:space="0" w:color="auto"/>
        <w:left w:val="none" w:sz="0" w:space="0" w:color="auto"/>
        <w:bottom w:val="none" w:sz="0" w:space="0" w:color="auto"/>
        <w:right w:val="none" w:sz="0" w:space="0" w:color="auto"/>
      </w:divBdr>
    </w:div>
    <w:div w:id="1813909230">
      <w:marLeft w:val="0"/>
      <w:marRight w:val="0"/>
      <w:marTop w:val="10"/>
      <w:marBottom w:val="10"/>
      <w:divBdr>
        <w:top w:val="none" w:sz="0" w:space="0" w:color="auto"/>
        <w:left w:val="none" w:sz="0" w:space="0" w:color="auto"/>
        <w:bottom w:val="none" w:sz="0" w:space="0" w:color="auto"/>
        <w:right w:val="none" w:sz="0" w:space="0" w:color="auto"/>
      </w:divBdr>
    </w:div>
    <w:div w:id="1943294052">
      <w:marLeft w:val="0"/>
      <w:marRight w:val="0"/>
      <w:marTop w:val="10"/>
      <w:marBottom w:val="10"/>
      <w:divBdr>
        <w:top w:val="none" w:sz="0" w:space="0" w:color="auto"/>
        <w:left w:val="none" w:sz="0" w:space="0" w:color="auto"/>
        <w:bottom w:val="none" w:sz="0" w:space="0" w:color="auto"/>
        <w:right w:val="none" w:sz="0" w:space="0" w:color="auto"/>
      </w:divBdr>
    </w:div>
    <w:div w:id="1944918361">
      <w:marLeft w:val="0"/>
      <w:marRight w:val="0"/>
      <w:marTop w:val="10"/>
      <w:marBottom w:val="10"/>
      <w:divBdr>
        <w:top w:val="none" w:sz="0" w:space="0" w:color="auto"/>
        <w:left w:val="none" w:sz="0" w:space="0" w:color="auto"/>
        <w:bottom w:val="none" w:sz="0" w:space="0" w:color="auto"/>
        <w:right w:val="none" w:sz="0" w:space="0" w:color="auto"/>
      </w:divBdr>
    </w:div>
    <w:div w:id="200717441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1244</Words>
  <Characters>7096</Characters>
  <Application>Microsoft Office Word</Application>
  <DocSecurity>0</DocSecurity>
  <Lines>59</Lines>
  <Paragraphs>16</Paragraphs>
  <ScaleCrop>false</ScaleCrop>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