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23277">
      <w:pPr>
        <w:spacing w:line="500" w:lineRule="atLeast"/>
        <w:jc w:val="center"/>
        <w:divId w:val="245967150"/>
        <w:rPr>
          <w:rFonts w:ascii="黑体" w:eastAsia="黑体" w:hAnsi="黑体"/>
          <w:sz w:val="36"/>
          <w:szCs w:val="36"/>
        </w:rPr>
      </w:pPr>
      <w:bookmarkStart w:id="0" w:name="_GoBack"/>
      <w:bookmarkEnd w:id="0"/>
      <w:r>
        <w:rPr>
          <w:rFonts w:ascii="黑体" w:eastAsia="黑体" w:hAnsi="黑体" w:hint="eastAsia"/>
          <w:sz w:val="36"/>
          <w:szCs w:val="36"/>
        </w:rPr>
        <w:t>浙江省高级人民法院</w:t>
      </w:r>
    </w:p>
    <w:p w:rsidR="00000000" w:rsidRDefault="00623277">
      <w:pPr>
        <w:spacing w:line="500" w:lineRule="atLeast"/>
        <w:jc w:val="center"/>
        <w:divId w:val="14819196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23277">
      <w:pPr>
        <w:spacing w:line="500" w:lineRule="atLeast"/>
        <w:jc w:val="right"/>
        <w:divId w:val="946738749"/>
        <w:rPr>
          <w:rFonts w:hint="eastAsia"/>
          <w:sz w:val="30"/>
          <w:szCs w:val="30"/>
        </w:rPr>
      </w:pPr>
      <w:r>
        <w:rPr>
          <w:rFonts w:hint="eastAsia"/>
          <w:sz w:val="30"/>
          <w:szCs w:val="30"/>
        </w:rPr>
        <w:t>（</w:t>
      </w:r>
      <w:r>
        <w:rPr>
          <w:rFonts w:hint="eastAsia"/>
          <w:sz w:val="30"/>
          <w:szCs w:val="30"/>
        </w:rPr>
        <w:t>2013</w:t>
      </w:r>
      <w:r>
        <w:rPr>
          <w:rFonts w:hint="eastAsia"/>
          <w:sz w:val="30"/>
          <w:szCs w:val="30"/>
        </w:rPr>
        <w:t>）浙民申字第</w:t>
      </w:r>
      <w:r>
        <w:rPr>
          <w:rFonts w:hint="eastAsia"/>
          <w:sz w:val="30"/>
          <w:szCs w:val="30"/>
        </w:rPr>
        <w:t>1337</w:t>
      </w:r>
      <w:r>
        <w:rPr>
          <w:rFonts w:hint="eastAsia"/>
          <w:sz w:val="30"/>
          <w:szCs w:val="30"/>
        </w:rPr>
        <w:t>号</w:t>
      </w:r>
    </w:p>
    <w:p w:rsidR="00000000" w:rsidRDefault="00623277">
      <w:pPr>
        <w:spacing w:line="500" w:lineRule="atLeast"/>
        <w:ind w:firstLine="600"/>
        <w:divId w:val="1105618814"/>
        <w:rPr>
          <w:rFonts w:hint="eastAsia"/>
          <w:sz w:val="30"/>
          <w:szCs w:val="30"/>
        </w:rPr>
      </w:pPr>
      <w:r>
        <w:rPr>
          <w:rFonts w:hint="eastAsia"/>
          <w:sz w:val="30"/>
          <w:szCs w:val="30"/>
        </w:rPr>
        <w:t>再审申请人（一审原告、二审上诉人）：张来。</w:t>
      </w:r>
    </w:p>
    <w:p w:rsidR="00000000" w:rsidRDefault="00623277">
      <w:pPr>
        <w:spacing w:line="500" w:lineRule="atLeast"/>
        <w:ind w:firstLine="600"/>
        <w:divId w:val="1760559235"/>
        <w:rPr>
          <w:rFonts w:hint="eastAsia"/>
          <w:sz w:val="30"/>
          <w:szCs w:val="30"/>
        </w:rPr>
      </w:pPr>
      <w:r>
        <w:rPr>
          <w:rFonts w:hint="eastAsia"/>
          <w:sz w:val="30"/>
          <w:szCs w:val="30"/>
        </w:rPr>
        <w:t>委托代理人：许祖岳。</w:t>
      </w:r>
    </w:p>
    <w:p w:rsidR="00000000" w:rsidRDefault="00623277">
      <w:pPr>
        <w:spacing w:line="500" w:lineRule="atLeast"/>
        <w:ind w:firstLine="600"/>
        <w:divId w:val="925529774"/>
        <w:rPr>
          <w:rFonts w:hint="eastAsia"/>
          <w:sz w:val="30"/>
          <w:szCs w:val="30"/>
        </w:rPr>
      </w:pPr>
      <w:r>
        <w:rPr>
          <w:rFonts w:hint="eastAsia"/>
          <w:sz w:val="30"/>
          <w:szCs w:val="30"/>
        </w:rPr>
        <w:t>被申请人（一审被告、二审被上诉人）：林凤姣。</w:t>
      </w:r>
    </w:p>
    <w:p w:rsidR="00000000" w:rsidRDefault="00623277">
      <w:pPr>
        <w:spacing w:line="500" w:lineRule="atLeast"/>
        <w:ind w:firstLine="600"/>
        <w:divId w:val="284116609"/>
        <w:rPr>
          <w:rFonts w:hint="eastAsia"/>
          <w:sz w:val="30"/>
          <w:szCs w:val="30"/>
        </w:rPr>
      </w:pPr>
      <w:r>
        <w:rPr>
          <w:rFonts w:hint="eastAsia"/>
          <w:sz w:val="30"/>
          <w:szCs w:val="30"/>
        </w:rPr>
        <w:t>被申请人（一审被告、二审被上诉人）：浙江泰达安全技术有限公司。</w:t>
      </w:r>
    </w:p>
    <w:p w:rsidR="00000000" w:rsidRDefault="00623277">
      <w:pPr>
        <w:spacing w:line="500" w:lineRule="atLeast"/>
        <w:ind w:firstLine="600"/>
        <w:divId w:val="1636443030"/>
        <w:rPr>
          <w:rFonts w:hint="eastAsia"/>
          <w:sz w:val="30"/>
          <w:szCs w:val="30"/>
        </w:rPr>
      </w:pPr>
      <w:r>
        <w:rPr>
          <w:rFonts w:hint="eastAsia"/>
          <w:sz w:val="30"/>
          <w:szCs w:val="30"/>
        </w:rPr>
        <w:t>法定代表人：何明。</w:t>
      </w:r>
    </w:p>
    <w:p w:rsidR="00000000" w:rsidRDefault="00623277">
      <w:pPr>
        <w:spacing w:line="500" w:lineRule="atLeast"/>
        <w:ind w:firstLine="600"/>
        <w:divId w:val="1246450465"/>
        <w:rPr>
          <w:rFonts w:hint="eastAsia"/>
          <w:sz w:val="30"/>
          <w:szCs w:val="30"/>
        </w:rPr>
      </w:pPr>
      <w:r>
        <w:rPr>
          <w:rFonts w:hint="eastAsia"/>
          <w:sz w:val="30"/>
          <w:szCs w:val="30"/>
        </w:rPr>
        <w:t>委托代理人：黄麟。</w:t>
      </w:r>
    </w:p>
    <w:p w:rsidR="00000000" w:rsidRDefault="00623277">
      <w:pPr>
        <w:spacing w:line="500" w:lineRule="atLeast"/>
        <w:ind w:firstLine="600"/>
        <w:divId w:val="740448334"/>
        <w:rPr>
          <w:rFonts w:hint="eastAsia"/>
          <w:sz w:val="30"/>
          <w:szCs w:val="30"/>
        </w:rPr>
      </w:pPr>
      <w:r>
        <w:rPr>
          <w:rFonts w:hint="eastAsia"/>
          <w:sz w:val="30"/>
          <w:szCs w:val="30"/>
        </w:rPr>
        <w:t>委托代理人：陈晓忠。</w:t>
      </w:r>
    </w:p>
    <w:p w:rsidR="00000000" w:rsidRDefault="00623277">
      <w:pPr>
        <w:spacing w:line="500" w:lineRule="atLeast"/>
        <w:ind w:firstLine="600"/>
        <w:divId w:val="1170557175"/>
        <w:rPr>
          <w:rFonts w:hint="eastAsia"/>
          <w:sz w:val="30"/>
          <w:szCs w:val="30"/>
        </w:rPr>
      </w:pPr>
      <w:r>
        <w:rPr>
          <w:rFonts w:hint="eastAsia"/>
          <w:sz w:val="30"/>
          <w:szCs w:val="30"/>
        </w:rPr>
        <w:t>再审申请人张来因与被申请人林凤姣、浙江泰达安全技术有限公司（以下简称泰达公司）损害公司利益责任纠纷一案，不服浙江省杭州市中级人民法院（</w:t>
      </w:r>
      <w:r>
        <w:rPr>
          <w:rFonts w:hint="eastAsia"/>
          <w:sz w:val="30"/>
          <w:szCs w:val="30"/>
        </w:rPr>
        <w:t>2013</w:t>
      </w:r>
      <w:r>
        <w:rPr>
          <w:rFonts w:hint="eastAsia"/>
          <w:sz w:val="30"/>
          <w:szCs w:val="30"/>
        </w:rPr>
        <w:t>）浙杭商终字第</w:t>
      </w:r>
      <w:r>
        <w:rPr>
          <w:rFonts w:hint="eastAsia"/>
          <w:sz w:val="30"/>
          <w:szCs w:val="30"/>
        </w:rPr>
        <w:t>554</w:t>
      </w:r>
      <w:r>
        <w:rPr>
          <w:rFonts w:hint="eastAsia"/>
          <w:sz w:val="30"/>
          <w:szCs w:val="30"/>
        </w:rPr>
        <w:t>号民事判决，向本院申请再审。本院依法组成合议庭对本案进行了审查，现已审查终结。</w:t>
      </w:r>
    </w:p>
    <w:p w:rsidR="00000000" w:rsidRDefault="00623277">
      <w:pPr>
        <w:spacing w:line="500" w:lineRule="atLeast"/>
        <w:ind w:firstLine="600"/>
        <w:divId w:val="1399984572"/>
        <w:rPr>
          <w:rFonts w:hint="eastAsia"/>
          <w:sz w:val="30"/>
          <w:szCs w:val="30"/>
        </w:rPr>
      </w:pPr>
      <w:r>
        <w:rPr>
          <w:rFonts w:hint="eastAsia"/>
          <w:sz w:val="30"/>
          <w:szCs w:val="30"/>
        </w:rPr>
        <w:t>张来申请再审称：（一）一、二审对邵秋生的行为显然违反《中华人民共和国民法通则》第六十六条关于委托代理人之规定进行错误解读。（二）一、二审对邵秋生的行为显然违反《中华人民共和国公司法》关于忠实义务之规定进行错误解读。（三）邵秋生的行为违反《中华人民共和国公司法》关于竞业禁</w:t>
      </w:r>
      <w:r>
        <w:rPr>
          <w:rFonts w:hint="eastAsia"/>
          <w:sz w:val="30"/>
          <w:szCs w:val="30"/>
        </w:rPr>
        <w:t>止义务之规定。（四）对审理案件需要的主要证据，当事人因客观原因不能自行收集，书面申请人民法院调查收集，人民法院未调查收集。一审认为张来提交的证据</w:t>
      </w:r>
      <w:r>
        <w:rPr>
          <w:rFonts w:hint="eastAsia"/>
          <w:sz w:val="30"/>
          <w:szCs w:val="30"/>
        </w:rPr>
        <w:t>18</w:t>
      </w:r>
      <w:r>
        <w:rPr>
          <w:rFonts w:hint="eastAsia"/>
          <w:sz w:val="30"/>
          <w:szCs w:val="30"/>
        </w:rPr>
        <w:t>即借条无邵秋生签字且内容存在矛盾不予确认错误。（五）一、二审认定事实错误，定性不准确。作为杭州明达工程安全检测检验服务有限公司（以下简称明达公司）监事及股东的张来以明达公司</w:t>
      </w:r>
      <w:r>
        <w:rPr>
          <w:rFonts w:hint="eastAsia"/>
          <w:sz w:val="30"/>
          <w:szCs w:val="30"/>
        </w:rPr>
        <w:lastRenderedPageBreak/>
        <w:t>董事、经理邵秋生存在损害公司利益行为为由主张归入权，泰达公司应是该类纠纷的适格被告。（六）为查明案件事实，请求法院对泰达公司的财务状况进行审计，符合法律规定。综上，张来依据《中华人民共和国民事</w:t>
      </w:r>
      <w:r>
        <w:rPr>
          <w:rFonts w:hint="eastAsia"/>
          <w:sz w:val="30"/>
          <w:szCs w:val="30"/>
        </w:rPr>
        <w:t>诉讼法》第二百条第五项、第六项的规定申请再审。</w:t>
      </w:r>
    </w:p>
    <w:p w:rsidR="00000000" w:rsidRDefault="00623277">
      <w:pPr>
        <w:spacing w:line="500" w:lineRule="atLeast"/>
        <w:ind w:firstLine="600"/>
        <w:divId w:val="1752115928"/>
        <w:rPr>
          <w:rFonts w:hint="eastAsia"/>
          <w:sz w:val="30"/>
          <w:szCs w:val="30"/>
        </w:rPr>
      </w:pPr>
      <w:r>
        <w:rPr>
          <w:rFonts w:hint="eastAsia"/>
          <w:sz w:val="30"/>
          <w:szCs w:val="30"/>
        </w:rPr>
        <w:t>泰达公司提交意见称：（一）本案不涉及《中华人民共和国民法通则》第六十六条的适用，原审不存在错误解读。张来提交的证据</w:t>
      </w:r>
      <w:r>
        <w:rPr>
          <w:rFonts w:hint="eastAsia"/>
          <w:sz w:val="30"/>
          <w:szCs w:val="30"/>
        </w:rPr>
        <w:t>18</w:t>
      </w:r>
      <w:r>
        <w:rPr>
          <w:rFonts w:hint="eastAsia"/>
          <w:sz w:val="30"/>
          <w:szCs w:val="30"/>
        </w:rPr>
        <w:t>系张来为诉讼而制作，无邵秋生签字，内容明显错误。（二）张来诉称邵秋生违反《中华人民共和国公司法》关于股东忠实义务（竞业禁止）的理由存在矛盾。（三）一、二审中张来未向法院提出调查取证申请，张来的再审申请不符合《中华人民共和国民事诉讼法》第二百条第五项规定的情形。（四）张来认为一、二审认定事实错误，未提交任何新的证据推翻原审认定的事实。综上，张来的</w:t>
      </w:r>
      <w:r>
        <w:rPr>
          <w:rFonts w:hint="eastAsia"/>
          <w:sz w:val="30"/>
          <w:szCs w:val="30"/>
        </w:rPr>
        <w:t>再审申请缺乏事实与法律依据，请求予以驳回。</w:t>
      </w:r>
    </w:p>
    <w:p w:rsidR="00000000" w:rsidRDefault="00623277">
      <w:pPr>
        <w:spacing w:line="500" w:lineRule="atLeast"/>
        <w:ind w:firstLine="600"/>
        <w:divId w:val="572400699"/>
        <w:rPr>
          <w:rFonts w:hint="eastAsia"/>
          <w:sz w:val="30"/>
          <w:szCs w:val="30"/>
        </w:rPr>
      </w:pPr>
      <w:r>
        <w:rPr>
          <w:rFonts w:hint="eastAsia"/>
          <w:sz w:val="30"/>
          <w:szCs w:val="30"/>
        </w:rPr>
        <w:t>本院认为：本案系张来以明达公司监事身份代表明达公司提起的损害公司利益纠纷，争议在于林凤姣的配偶邵秋生（已于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13</w:t>
      </w:r>
      <w:r>
        <w:rPr>
          <w:rFonts w:hint="eastAsia"/>
          <w:sz w:val="30"/>
          <w:szCs w:val="30"/>
        </w:rPr>
        <w:t>日死亡）有无存在违反公司董事、高级管理人员对公司忠实义务的情形。经查，明达公司成立于</w:t>
      </w:r>
      <w:r>
        <w:rPr>
          <w:rFonts w:hint="eastAsia"/>
          <w:sz w:val="30"/>
          <w:szCs w:val="30"/>
        </w:rPr>
        <w:t>2001</w:t>
      </w:r>
      <w:r>
        <w:rPr>
          <w:rFonts w:hint="eastAsia"/>
          <w:sz w:val="30"/>
          <w:szCs w:val="30"/>
        </w:rPr>
        <w:t>年</w:t>
      </w:r>
      <w:r>
        <w:rPr>
          <w:rFonts w:hint="eastAsia"/>
          <w:sz w:val="30"/>
          <w:szCs w:val="30"/>
        </w:rPr>
        <w:t>11</w:t>
      </w:r>
      <w:r>
        <w:rPr>
          <w:rFonts w:hint="eastAsia"/>
          <w:sz w:val="30"/>
          <w:szCs w:val="30"/>
        </w:rPr>
        <w:t>月</w:t>
      </w:r>
      <w:r>
        <w:rPr>
          <w:rFonts w:hint="eastAsia"/>
          <w:sz w:val="30"/>
          <w:szCs w:val="30"/>
        </w:rPr>
        <w:t>28</w:t>
      </w:r>
      <w:r>
        <w:rPr>
          <w:rFonts w:hint="eastAsia"/>
          <w:sz w:val="30"/>
          <w:szCs w:val="30"/>
        </w:rPr>
        <w:t>日，工商登记的经营范围为“安全工程检测检验，安全工程评价，安全技术咨询，家电修理，网络技术服务”。泰达公司则成立于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日，工商登记的经营范围为“地下空间开发技术咨询，企业管理咨询，地下空间安全技术咨询，其它无需报经审批的一切合</w:t>
      </w:r>
      <w:r>
        <w:rPr>
          <w:rFonts w:hint="eastAsia"/>
          <w:sz w:val="30"/>
          <w:szCs w:val="30"/>
        </w:rPr>
        <w:t>法项目”。</w:t>
      </w:r>
      <w:r>
        <w:rPr>
          <w:rFonts w:hint="eastAsia"/>
          <w:sz w:val="30"/>
          <w:szCs w:val="30"/>
        </w:rPr>
        <w:t>2005</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w:t>
      </w:r>
      <w:r>
        <w:rPr>
          <w:rFonts w:hint="eastAsia"/>
          <w:sz w:val="30"/>
          <w:szCs w:val="30"/>
        </w:rPr>
        <w:t>2006</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w:t>
      </w:r>
      <w:r>
        <w:rPr>
          <w:rFonts w:hint="eastAsia"/>
          <w:sz w:val="30"/>
          <w:szCs w:val="30"/>
        </w:rPr>
        <w:t>2007</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日泰达公司的经营范围相继增加“煤炭开采和洗选业、金属、非金属矿及其他矿采选业的安全评价（乙级、有效期至</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日）”、“丙级</w:t>
      </w:r>
      <w:r>
        <w:rPr>
          <w:rFonts w:hint="eastAsia"/>
          <w:sz w:val="30"/>
          <w:szCs w:val="30"/>
        </w:rPr>
        <w:lastRenderedPageBreak/>
        <w:t>地质灾害危险性评估（有效期至</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日）”、“小型露天采石场开采方案编制（有效期至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w:t>
      </w: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日经营范围又变更为“服务：地下空间开发技术咨询，企业管理咨询，地下空间安全技术咨询，浙江省内的安全评价（具体经营范围见安全评价机构资质证书，乙级，有效期至</w:t>
      </w:r>
      <w:r>
        <w:rPr>
          <w:rFonts w:hint="eastAsia"/>
          <w:sz w:val="30"/>
          <w:szCs w:val="30"/>
        </w:rPr>
        <w:t>2008</w:t>
      </w:r>
      <w:r>
        <w:rPr>
          <w:rFonts w:hint="eastAsia"/>
          <w:sz w:val="30"/>
          <w:szCs w:val="30"/>
        </w:rPr>
        <w:t>年</w:t>
      </w:r>
      <w:r>
        <w:rPr>
          <w:rFonts w:hint="eastAsia"/>
          <w:sz w:val="30"/>
          <w:szCs w:val="30"/>
        </w:rPr>
        <w:t>4</w:t>
      </w:r>
      <w:r>
        <w:rPr>
          <w:rFonts w:hint="eastAsia"/>
          <w:sz w:val="30"/>
          <w:szCs w:val="30"/>
        </w:rPr>
        <w:t>月</w:t>
      </w:r>
      <w:r>
        <w:rPr>
          <w:rFonts w:hint="eastAsia"/>
          <w:sz w:val="30"/>
          <w:szCs w:val="30"/>
        </w:rPr>
        <w:t>28</w:t>
      </w:r>
      <w:r>
        <w:rPr>
          <w:rFonts w:hint="eastAsia"/>
          <w:sz w:val="30"/>
          <w:szCs w:val="30"/>
        </w:rPr>
        <w:t>日），</w:t>
      </w:r>
      <w:r>
        <w:rPr>
          <w:rFonts w:hint="eastAsia"/>
          <w:sz w:val="30"/>
          <w:szCs w:val="30"/>
        </w:rPr>
        <w:t>丙级地质灾害危险性评估（有效期至</w:t>
      </w:r>
      <w:r>
        <w:rPr>
          <w:rFonts w:hint="eastAsia"/>
          <w:sz w:val="30"/>
          <w:szCs w:val="30"/>
        </w:rPr>
        <w:t>2009</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日），小型露天采石场开采方案编制（有效期至</w:t>
      </w:r>
      <w:r>
        <w:rPr>
          <w:rFonts w:hint="eastAsia"/>
          <w:sz w:val="30"/>
          <w:szCs w:val="30"/>
        </w:rPr>
        <w:t>2010</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其他无需报经审批的一切合法项目”。邵秋生生前系明达公司股东，并担任明达公司执行董事兼经理。同时，邵秋生亦系泰达公司股东，并担任泰达公司经理。首先，从上述明达公司与泰达公司的经营范围比较，两者并不存在重合之处。一审庭审中张来认为明达公司与泰达公司的经营范围均涉及与矿山有关的安全工程评价和安全技术咨询，但根据有关规定，从事相关安全工程评价的机构需取得相应资质，由于明达公司并未取得相应资质，且本案亦</w:t>
      </w:r>
      <w:r>
        <w:rPr>
          <w:rFonts w:hint="eastAsia"/>
          <w:sz w:val="30"/>
          <w:szCs w:val="30"/>
        </w:rPr>
        <w:t>无证据证明明达公司已经从事相关的安全工程评价，故张来认为两公司经营范围相同的理由，与事实不符，不能成立。其次，根据泰达公司工商登记材料反映，邵秋生系以个人名义出资。张来认为邵秋生系受明达公司委托与其他自然人共同出资设立泰达公司，并由明达公司出资及提供有关资料、人员，缺乏相应证据证明，且如张来的主张成立，那么在明达公司明知且同意的情形下，由邵秋生对泰达公司出资并任职亦不属于违反公司董事、高级管理人员对公司忠实义务的情形。再次，虽然明达公司现未被注销工商登记，但杭州市中级人民法院于</w:t>
      </w:r>
      <w:r>
        <w:rPr>
          <w:rFonts w:hint="eastAsia"/>
          <w:sz w:val="30"/>
          <w:szCs w:val="30"/>
        </w:rPr>
        <w:t>2011</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日作出（</w:t>
      </w:r>
      <w:r>
        <w:rPr>
          <w:rFonts w:hint="eastAsia"/>
          <w:sz w:val="30"/>
          <w:szCs w:val="30"/>
        </w:rPr>
        <w:t>2</w:t>
      </w:r>
      <w:r>
        <w:rPr>
          <w:rFonts w:hint="eastAsia"/>
          <w:sz w:val="30"/>
          <w:szCs w:val="30"/>
        </w:rPr>
        <w:t>011</w:t>
      </w:r>
      <w:r>
        <w:rPr>
          <w:rFonts w:hint="eastAsia"/>
          <w:sz w:val="30"/>
          <w:szCs w:val="30"/>
        </w:rPr>
        <w:t>）浙杭商清（算）字第</w:t>
      </w:r>
      <w:r>
        <w:rPr>
          <w:rFonts w:hint="eastAsia"/>
          <w:sz w:val="30"/>
          <w:szCs w:val="30"/>
        </w:rPr>
        <w:t>3</w:t>
      </w:r>
      <w:r>
        <w:rPr>
          <w:rFonts w:hint="eastAsia"/>
          <w:sz w:val="30"/>
          <w:szCs w:val="30"/>
        </w:rPr>
        <w:t>号民事裁定，以“因明达公司及其清算义务人未能向清算组移交公司财产、印章、账册、重要文件等，也未能提供明确的线索，导致清算无法进行”为由，终结对明达公司的强制清算程序，该裁定还明确“张来可以向明达公司其他相关责任人主张有关权利”。根据上述民事裁定，张来应针对明达公司控股股东等实际控制公司的主体主张有关权利，且本案系张来以邵秋生违反忠实义务为由而提起的诉讼，泰达公司并非本案适格被告，故一、二审对张来提出的对泰达公司财务状况审计的申请不予准许，亦无不当。综上，因张来提交的证据并不足以证</w:t>
      </w:r>
      <w:r>
        <w:rPr>
          <w:rFonts w:hint="eastAsia"/>
          <w:sz w:val="30"/>
          <w:szCs w:val="30"/>
        </w:rPr>
        <w:t>明邵秋生存在违反公司董事、高级管理人员对公司忠实义务的情形，故张来诉请林凤姣归还邵秋生自泰达公司处已取得的收入</w:t>
      </w:r>
      <w:r>
        <w:rPr>
          <w:rFonts w:hint="eastAsia"/>
          <w:sz w:val="30"/>
          <w:szCs w:val="30"/>
        </w:rPr>
        <w:t>2</w:t>
      </w:r>
      <w:r>
        <w:rPr>
          <w:rFonts w:hint="eastAsia"/>
          <w:sz w:val="30"/>
          <w:szCs w:val="30"/>
        </w:rPr>
        <w:t>万元（具体按审计结果确定）给明达公司，及要求泰达公司将原登记在股东邵秋生名下</w:t>
      </w:r>
      <w:r>
        <w:rPr>
          <w:rFonts w:hint="eastAsia"/>
          <w:sz w:val="30"/>
          <w:szCs w:val="30"/>
        </w:rPr>
        <w:t>49.5%</w:t>
      </w:r>
      <w:r>
        <w:rPr>
          <w:rFonts w:hint="eastAsia"/>
          <w:sz w:val="30"/>
          <w:szCs w:val="30"/>
        </w:rPr>
        <w:t>出资额未支付红利</w:t>
      </w:r>
      <w:r>
        <w:rPr>
          <w:rFonts w:hint="eastAsia"/>
          <w:sz w:val="30"/>
          <w:szCs w:val="30"/>
        </w:rPr>
        <w:t>3</w:t>
      </w:r>
      <w:r>
        <w:rPr>
          <w:rFonts w:hint="eastAsia"/>
          <w:sz w:val="30"/>
          <w:szCs w:val="30"/>
        </w:rPr>
        <w:t>万元（具体按审计结果确定）及以后该出资额可得红利给明达公司，缺乏事实及法律依据，一、二审不予支持，并无不当。</w:t>
      </w:r>
    </w:p>
    <w:p w:rsidR="00000000" w:rsidRDefault="00623277">
      <w:pPr>
        <w:spacing w:line="500" w:lineRule="atLeast"/>
        <w:ind w:firstLine="600"/>
        <w:divId w:val="1910768215"/>
        <w:rPr>
          <w:rFonts w:hint="eastAsia"/>
          <w:sz w:val="30"/>
          <w:szCs w:val="30"/>
        </w:rPr>
      </w:pPr>
      <w:r>
        <w:rPr>
          <w:rFonts w:hint="eastAsia"/>
          <w:sz w:val="30"/>
          <w:szCs w:val="30"/>
        </w:rPr>
        <w:t>综上，张来的再审申请不符合《中华人民共和国民事诉讼法》第二百条第五项、第六项规定的情形。依照《中华人民共和国民事诉讼法》第二百零四条第一款之规定，裁定如下：</w:t>
      </w:r>
    </w:p>
    <w:p w:rsidR="00000000" w:rsidRDefault="00623277">
      <w:pPr>
        <w:spacing w:line="500" w:lineRule="atLeast"/>
        <w:ind w:firstLine="600"/>
        <w:divId w:val="1298340805"/>
        <w:rPr>
          <w:rFonts w:hint="eastAsia"/>
          <w:sz w:val="30"/>
          <w:szCs w:val="30"/>
        </w:rPr>
      </w:pPr>
      <w:r>
        <w:rPr>
          <w:rFonts w:hint="eastAsia"/>
          <w:sz w:val="30"/>
          <w:szCs w:val="30"/>
        </w:rPr>
        <w:t>驳回张来的再审申请。</w:t>
      </w:r>
    </w:p>
    <w:p w:rsidR="00000000" w:rsidRDefault="00623277">
      <w:pPr>
        <w:spacing w:line="500" w:lineRule="atLeast"/>
        <w:ind w:firstLine="600"/>
        <w:divId w:val="1389762605"/>
        <w:rPr>
          <w:rFonts w:hint="eastAsia"/>
          <w:sz w:val="30"/>
          <w:szCs w:val="30"/>
        </w:rPr>
      </w:pPr>
      <w:r>
        <w:rPr>
          <w:rFonts w:hint="eastAsia"/>
          <w:sz w:val="30"/>
          <w:szCs w:val="30"/>
        </w:rPr>
        <w:t>（此页</w:t>
      </w:r>
      <w:r>
        <w:rPr>
          <w:rFonts w:hint="eastAsia"/>
          <w:sz w:val="30"/>
          <w:szCs w:val="30"/>
        </w:rPr>
        <w:t>无正文）</w:t>
      </w:r>
    </w:p>
    <w:p w:rsidR="00000000" w:rsidRDefault="00623277">
      <w:pPr>
        <w:spacing w:line="500" w:lineRule="atLeast"/>
        <w:jc w:val="right"/>
        <w:divId w:val="207912009"/>
        <w:rPr>
          <w:rFonts w:hint="eastAsia"/>
          <w:sz w:val="30"/>
          <w:szCs w:val="30"/>
        </w:rPr>
      </w:pPr>
      <w:r>
        <w:rPr>
          <w:rFonts w:hint="eastAsia"/>
          <w:sz w:val="30"/>
          <w:szCs w:val="30"/>
        </w:rPr>
        <w:t>审　判　长　　孙光洁</w:t>
      </w:r>
    </w:p>
    <w:p w:rsidR="00000000" w:rsidRDefault="00623277">
      <w:pPr>
        <w:spacing w:line="500" w:lineRule="atLeast"/>
        <w:jc w:val="right"/>
        <w:divId w:val="596980175"/>
        <w:rPr>
          <w:rFonts w:hint="eastAsia"/>
          <w:sz w:val="30"/>
          <w:szCs w:val="30"/>
        </w:rPr>
      </w:pPr>
      <w:r>
        <w:rPr>
          <w:rFonts w:hint="eastAsia"/>
          <w:sz w:val="30"/>
          <w:szCs w:val="30"/>
        </w:rPr>
        <w:t>代理审判员　　刘　静</w:t>
      </w:r>
    </w:p>
    <w:p w:rsidR="00000000" w:rsidRDefault="00623277">
      <w:pPr>
        <w:spacing w:line="500" w:lineRule="atLeast"/>
        <w:jc w:val="right"/>
        <w:divId w:val="1691032629"/>
        <w:rPr>
          <w:rFonts w:hint="eastAsia"/>
          <w:sz w:val="30"/>
          <w:szCs w:val="30"/>
        </w:rPr>
      </w:pPr>
      <w:r>
        <w:rPr>
          <w:rFonts w:hint="eastAsia"/>
          <w:sz w:val="30"/>
          <w:szCs w:val="30"/>
        </w:rPr>
        <w:t>代理审判员　　周进海</w:t>
      </w:r>
    </w:p>
    <w:p w:rsidR="00000000" w:rsidRDefault="00623277">
      <w:pPr>
        <w:spacing w:line="500" w:lineRule="atLeast"/>
        <w:jc w:val="right"/>
        <w:divId w:val="992762203"/>
        <w:rPr>
          <w:rFonts w:hint="eastAsia"/>
          <w:sz w:val="30"/>
          <w:szCs w:val="30"/>
        </w:rPr>
      </w:pPr>
      <w:r>
        <w:rPr>
          <w:rFonts w:hint="eastAsia"/>
          <w:sz w:val="30"/>
          <w:szCs w:val="30"/>
        </w:rPr>
        <w:t>二〇一四年一月十三日</w:t>
      </w:r>
    </w:p>
    <w:p w:rsidR="00000000" w:rsidRDefault="00623277">
      <w:pPr>
        <w:spacing w:line="500" w:lineRule="atLeast"/>
        <w:jc w:val="right"/>
        <w:divId w:val="718550336"/>
        <w:rPr>
          <w:rFonts w:hint="eastAsia"/>
          <w:sz w:val="30"/>
          <w:szCs w:val="30"/>
        </w:rPr>
      </w:pPr>
      <w:r>
        <w:rPr>
          <w:rFonts w:hint="eastAsia"/>
          <w:sz w:val="30"/>
          <w:szCs w:val="30"/>
        </w:rPr>
        <w:t>书　记　员　　王曼菁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277" w:rsidRDefault="00623277" w:rsidP="00623277">
      <w:r>
        <w:separator/>
      </w:r>
    </w:p>
  </w:endnote>
  <w:endnote w:type="continuationSeparator" w:id="0">
    <w:p w:rsidR="00623277" w:rsidRDefault="00623277" w:rsidP="0062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277" w:rsidRDefault="00623277" w:rsidP="00623277">
      <w:r>
        <w:separator/>
      </w:r>
    </w:p>
  </w:footnote>
  <w:footnote w:type="continuationSeparator" w:id="0">
    <w:p w:rsidR="00623277" w:rsidRDefault="00623277" w:rsidP="006232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23277"/>
    <w:rsid w:val="00623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232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3277"/>
    <w:rPr>
      <w:rFonts w:ascii="宋体" w:eastAsia="宋体" w:hAnsi="宋体" w:cs="宋体"/>
      <w:sz w:val="18"/>
      <w:szCs w:val="18"/>
    </w:rPr>
  </w:style>
  <w:style w:type="paragraph" w:styleId="a5">
    <w:name w:val="footer"/>
    <w:basedOn w:val="a"/>
    <w:link w:val="a6"/>
    <w:uiPriority w:val="99"/>
    <w:unhideWhenUsed/>
    <w:rsid w:val="00623277"/>
    <w:pPr>
      <w:tabs>
        <w:tab w:val="center" w:pos="4153"/>
        <w:tab w:val="right" w:pos="8306"/>
      </w:tabs>
      <w:snapToGrid w:val="0"/>
    </w:pPr>
    <w:rPr>
      <w:sz w:val="18"/>
      <w:szCs w:val="18"/>
    </w:rPr>
  </w:style>
  <w:style w:type="character" w:customStyle="1" w:styleId="a6">
    <w:name w:val="页脚 字符"/>
    <w:basedOn w:val="a0"/>
    <w:link w:val="a5"/>
    <w:uiPriority w:val="99"/>
    <w:rsid w:val="0062327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12009">
      <w:marLeft w:val="0"/>
      <w:marRight w:val="720"/>
      <w:marTop w:val="10"/>
      <w:marBottom w:val="10"/>
      <w:divBdr>
        <w:top w:val="none" w:sz="0" w:space="0" w:color="auto"/>
        <w:left w:val="none" w:sz="0" w:space="0" w:color="auto"/>
        <w:bottom w:val="none" w:sz="0" w:space="0" w:color="auto"/>
        <w:right w:val="none" w:sz="0" w:space="0" w:color="auto"/>
      </w:divBdr>
    </w:div>
    <w:div w:id="245967150">
      <w:marLeft w:val="0"/>
      <w:marRight w:val="0"/>
      <w:marTop w:val="10"/>
      <w:marBottom w:val="10"/>
      <w:divBdr>
        <w:top w:val="none" w:sz="0" w:space="0" w:color="auto"/>
        <w:left w:val="none" w:sz="0" w:space="0" w:color="auto"/>
        <w:bottom w:val="none" w:sz="0" w:space="0" w:color="auto"/>
        <w:right w:val="none" w:sz="0" w:space="0" w:color="auto"/>
      </w:divBdr>
    </w:div>
    <w:div w:id="284116609">
      <w:marLeft w:val="0"/>
      <w:marRight w:val="0"/>
      <w:marTop w:val="10"/>
      <w:marBottom w:val="10"/>
      <w:divBdr>
        <w:top w:val="none" w:sz="0" w:space="0" w:color="auto"/>
        <w:left w:val="none" w:sz="0" w:space="0" w:color="auto"/>
        <w:bottom w:val="none" w:sz="0" w:space="0" w:color="auto"/>
        <w:right w:val="none" w:sz="0" w:space="0" w:color="auto"/>
      </w:divBdr>
    </w:div>
    <w:div w:id="572400699">
      <w:marLeft w:val="0"/>
      <w:marRight w:val="0"/>
      <w:marTop w:val="10"/>
      <w:marBottom w:val="10"/>
      <w:divBdr>
        <w:top w:val="none" w:sz="0" w:space="0" w:color="auto"/>
        <w:left w:val="none" w:sz="0" w:space="0" w:color="auto"/>
        <w:bottom w:val="none" w:sz="0" w:space="0" w:color="auto"/>
        <w:right w:val="none" w:sz="0" w:space="0" w:color="auto"/>
      </w:divBdr>
    </w:div>
    <w:div w:id="596980175">
      <w:marLeft w:val="0"/>
      <w:marRight w:val="720"/>
      <w:marTop w:val="10"/>
      <w:marBottom w:val="10"/>
      <w:divBdr>
        <w:top w:val="none" w:sz="0" w:space="0" w:color="auto"/>
        <w:left w:val="none" w:sz="0" w:space="0" w:color="auto"/>
        <w:bottom w:val="none" w:sz="0" w:space="0" w:color="auto"/>
        <w:right w:val="none" w:sz="0" w:space="0" w:color="auto"/>
      </w:divBdr>
    </w:div>
    <w:div w:id="718550336">
      <w:marLeft w:val="0"/>
      <w:marRight w:val="720"/>
      <w:marTop w:val="10"/>
      <w:marBottom w:val="10"/>
      <w:divBdr>
        <w:top w:val="none" w:sz="0" w:space="0" w:color="auto"/>
        <w:left w:val="none" w:sz="0" w:space="0" w:color="auto"/>
        <w:bottom w:val="none" w:sz="0" w:space="0" w:color="auto"/>
        <w:right w:val="none" w:sz="0" w:space="0" w:color="auto"/>
      </w:divBdr>
    </w:div>
    <w:div w:id="740448334">
      <w:marLeft w:val="0"/>
      <w:marRight w:val="0"/>
      <w:marTop w:val="10"/>
      <w:marBottom w:val="10"/>
      <w:divBdr>
        <w:top w:val="none" w:sz="0" w:space="0" w:color="auto"/>
        <w:left w:val="none" w:sz="0" w:space="0" w:color="auto"/>
        <w:bottom w:val="none" w:sz="0" w:space="0" w:color="auto"/>
        <w:right w:val="none" w:sz="0" w:space="0" w:color="auto"/>
      </w:divBdr>
    </w:div>
    <w:div w:id="925529774">
      <w:marLeft w:val="0"/>
      <w:marRight w:val="0"/>
      <w:marTop w:val="10"/>
      <w:marBottom w:val="10"/>
      <w:divBdr>
        <w:top w:val="none" w:sz="0" w:space="0" w:color="auto"/>
        <w:left w:val="none" w:sz="0" w:space="0" w:color="auto"/>
        <w:bottom w:val="none" w:sz="0" w:space="0" w:color="auto"/>
        <w:right w:val="none" w:sz="0" w:space="0" w:color="auto"/>
      </w:divBdr>
    </w:div>
    <w:div w:id="946738749">
      <w:marLeft w:val="0"/>
      <w:marRight w:val="0"/>
      <w:marTop w:val="10"/>
      <w:marBottom w:val="10"/>
      <w:divBdr>
        <w:top w:val="none" w:sz="0" w:space="0" w:color="auto"/>
        <w:left w:val="none" w:sz="0" w:space="0" w:color="auto"/>
        <w:bottom w:val="none" w:sz="0" w:space="0" w:color="auto"/>
        <w:right w:val="none" w:sz="0" w:space="0" w:color="auto"/>
      </w:divBdr>
    </w:div>
    <w:div w:id="992762203">
      <w:marLeft w:val="0"/>
      <w:marRight w:val="720"/>
      <w:marTop w:val="10"/>
      <w:marBottom w:val="10"/>
      <w:divBdr>
        <w:top w:val="none" w:sz="0" w:space="0" w:color="auto"/>
        <w:left w:val="none" w:sz="0" w:space="0" w:color="auto"/>
        <w:bottom w:val="none" w:sz="0" w:space="0" w:color="auto"/>
        <w:right w:val="none" w:sz="0" w:space="0" w:color="auto"/>
      </w:divBdr>
    </w:div>
    <w:div w:id="1105618814">
      <w:marLeft w:val="0"/>
      <w:marRight w:val="0"/>
      <w:marTop w:val="10"/>
      <w:marBottom w:val="10"/>
      <w:divBdr>
        <w:top w:val="none" w:sz="0" w:space="0" w:color="auto"/>
        <w:left w:val="none" w:sz="0" w:space="0" w:color="auto"/>
        <w:bottom w:val="none" w:sz="0" w:space="0" w:color="auto"/>
        <w:right w:val="none" w:sz="0" w:space="0" w:color="auto"/>
      </w:divBdr>
    </w:div>
    <w:div w:id="1170557175">
      <w:marLeft w:val="0"/>
      <w:marRight w:val="0"/>
      <w:marTop w:val="10"/>
      <w:marBottom w:val="10"/>
      <w:divBdr>
        <w:top w:val="none" w:sz="0" w:space="0" w:color="auto"/>
        <w:left w:val="none" w:sz="0" w:space="0" w:color="auto"/>
        <w:bottom w:val="none" w:sz="0" w:space="0" w:color="auto"/>
        <w:right w:val="none" w:sz="0" w:space="0" w:color="auto"/>
      </w:divBdr>
    </w:div>
    <w:div w:id="1246450465">
      <w:marLeft w:val="0"/>
      <w:marRight w:val="0"/>
      <w:marTop w:val="10"/>
      <w:marBottom w:val="10"/>
      <w:divBdr>
        <w:top w:val="none" w:sz="0" w:space="0" w:color="auto"/>
        <w:left w:val="none" w:sz="0" w:space="0" w:color="auto"/>
        <w:bottom w:val="none" w:sz="0" w:space="0" w:color="auto"/>
        <w:right w:val="none" w:sz="0" w:space="0" w:color="auto"/>
      </w:divBdr>
    </w:div>
    <w:div w:id="1298340805">
      <w:marLeft w:val="0"/>
      <w:marRight w:val="0"/>
      <w:marTop w:val="10"/>
      <w:marBottom w:val="10"/>
      <w:divBdr>
        <w:top w:val="none" w:sz="0" w:space="0" w:color="auto"/>
        <w:left w:val="none" w:sz="0" w:space="0" w:color="auto"/>
        <w:bottom w:val="none" w:sz="0" w:space="0" w:color="auto"/>
        <w:right w:val="none" w:sz="0" w:space="0" w:color="auto"/>
      </w:divBdr>
    </w:div>
    <w:div w:id="1389762605">
      <w:marLeft w:val="0"/>
      <w:marRight w:val="0"/>
      <w:marTop w:val="10"/>
      <w:marBottom w:val="10"/>
      <w:divBdr>
        <w:top w:val="none" w:sz="0" w:space="0" w:color="auto"/>
        <w:left w:val="none" w:sz="0" w:space="0" w:color="auto"/>
        <w:bottom w:val="none" w:sz="0" w:space="0" w:color="auto"/>
        <w:right w:val="none" w:sz="0" w:space="0" w:color="auto"/>
      </w:divBdr>
    </w:div>
    <w:div w:id="1399984572">
      <w:marLeft w:val="0"/>
      <w:marRight w:val="0"/>
      <w:marTop w:val="10"/>
      <w:marBottom w:val="10"/>
      <w:divBdr>
        <w:top w:val="none" w:sz="0" w:space="0" w:color="auto"/>
        <w:left w:val="none" w:sz="0" w:space="0" w:color="auto"/>
        <w:bottom w:val="none" w:sz="0" w:space="0" w:color="auto"/>
        <w:right w:val="none" w:sz="0" w:space="0" w:color="auto"/>
      </w:divBdr>
    </w:div>
    <w:div w:id="1481919631">
      <w:marLeft w:val="0"/>
      <w:marRight w:val="0"/>
      <w:marTop w:val="10"/>
      <w:marBottom w:val="10"/>
      <w:divBdr>
        <w:top w:val="none" w:sz="0" w:space="0" w:color="auto"/>
        <w:left w:val="none" w:sz="0" w:space="0" w:color="auto"/>
        <w:bottom w:val="none" w:sz="0" w:space="0" w:color="auto"/>
        <w:right w:val="none" w:sz="0" w:space="0" w:color="auto"/>
      </w:divBdr>
    </w:div>
    <w:div w:id="1636443030">
      <w:marLeft w:val="0"/>
      <w:marRight w:val="0"/>
      <w:marTop w:val="10"/>
      <w:marBottom w:val="10"/>
      <w:divBdr>
        <w:top w:val="none" w:sz="0" w:space="0" w:color="auto"/>
        <w:left w:val="none" w:sz="0" w:space="0" w:color="auto"/>
        <w:bottom w:val="none" w:sz="0" w:space="0" w:color="auto"/>
        <w:right w:val="none" w:sz="0" w:space="0" w:color="auto"/>
      </w:divBdr>
    </w:div>
    <w:div w:id="1691032629">
      <w:marLeft w:val="0"/>
      <w:marRight w:val="720"/>
      <w:marTop w:val="10"/>
      <w:marBottom w:val="10"/>
      <w:divBdr>
        <w:top w:val="none" w:sz="0" w:space="0" w:color="auto"/>
        <w:left w:val="none" w:sz="0" w:space="0" w:color="auto"/>
        <w:bottom w:val="none" w:sz="0" w:space="0" w:color="auto"/>
        <w:right w:val="none" w:sz="0" w:space="0" w:color="auto"/>
      </w:divBdr>
    </w:div>
    <w:div w:id="1752115928">
      <w:marLeft w:val="0"/>
      <w:marRight w:val="0"/>
      <w:marTop w:val="10"/>
      <w:marBottom w:val="10"/>
      <w:divBdr>
        <w:top w:val="none" w:sz="0" w:space="0" w:color="auto"/>
        <w:left w:val="none" w:sz="0" w:space="0" w:color="auto"/>
        <w:bottom w:val="none" w:sz="0" w:space="0" w:color="auto"/>
        <w:right w:val="none" w:sz="0" w:space="0" w:color="auto"/>
      </w:divBdr>
    </w:div>
    <w:div w:id="1760559235">
      <w:marLeft w:val="0"/>
      <w:marRight w:val="0"/>
      <w:marTop w:val="10"/>
      <w:marBottom w:val="10"/>
      <w:divBdr>
        <w:top w:val="none" w:sz="0" w:space="0" w:color="auto"/>
        <w:left w:val="none" w:sz="0" w:space="0" w:color="auto"/>
        <w:bottom w:val="none" w:sz="0" w:space="0" w:color="auto"/>
        <w:right w:val="none" w:sz="0" w:space="0" w:color="auto"/>
      </w:divBdr>
    </w:div>
    <w:div w:id="191076821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2144</Characters>
  <Application>Microsoft Office Word</Application>
  <DocSecurity>0</DocSecurity>
  <Lines>17</Lines>
  <Paragraphs>5</Paragraphs>
  <ScaleCrop>false</ScaleCrop>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