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96CFA">
      <w:pPr>
        <w:spacing w:line="500" w:lineRule="atLeast"/>
        <w:jc w:val="center"/>
        <w:divId w:val="1034886772"/>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E96CFA">
      <w:pPr>
        <w:spacing w:line="500" w:lineRule="atLeast"/>
        <w:jc w:val="center"/>
        <w:divId w:val="153133856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96CFA">
      <w:pPr>
        <w:spacing w:line="500" w:lineRule="atLeast"/>
        <w:jc w:val="right"/>
        <w:divId w:val="2010133631"/>
        <w:rPr>
          <w:rFonts w:hint="eastAsia"/>
          <w:sz w:val="30"/>
          <w:szCs w:val="30"/>
        </w:rPr>
      </w:pPr>
      <w:r>
        <w:rPr>
          <w:rFonts w:hint="eastAsia"/>
          <w:sz w:val="30"/>
          <w:szCs w:val="30"/>
        </w:rPr>
        <w:t>（</w:t>
      </w:r>
      <w:r>
        <w:rPr>
          <w:rFonts w:hint="eastAsia"/>
          <w:sz w:val="30"/>
          <w:szCs w:val="30"/>
        </w:rPr>
        <w:t>2016</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10666</w:t>
      </w:r>
      <w:r>
        <w:rPr>
          <w:rFonts w:hint="eastAsia"/>
          <w:sz w:val="30"/>
          <w:szCs w:val="30"/>
        </w:rPr>
        <w:t>号</w:t>
      </w:r>
    </w:p>
    <w:p w:rsidR="00000000" w:rsidRDefault="00E96CFA">
      <w:pPr>
        <w:spacing w:line="500" w:lineRule="atLeast"/>
        <w:ind w:firstLine="600"/>
        <w:divId w:val="1953828886"/>
        <w:rPr>
          <w:rFonts w:hint="eastAsia"/>
          <w:sz w:val="30"/>
          <w:szCs w:val="30"/>
        </w:rPr>
      </w:pPr>
      <w:r>
        <w:rPr>
          <w:rFonts w:hint="eastAsia"/>
          <w:sz w:val="30"/>
          <w:szCs w:val="30"/>
        </w:rPr>
        <w:t>上诉人（原审被告）：张言志，男，</w:t>
      </w:r>
      <w:r>
        <w:rPr>
          <w:rFonts w:hint="eastAsia"/>
          <w:sz w:val="30"/>
          <w:szCs w:val="30"/>
        </w:rPr>
        <w:t>1976</w:t>
      </w:r>
      <w:r>
        <w:rPr>
          <w:rFonts w:hint="eastAsia"/>
          <w:sz w:val="30"/>
          <w:szCs w:val="30"/>
        </w:rPr>
        <w:t>年</w:t>
      </w:r>
      <w:r>
        <w:rPr>
          <w:rFonts w:hint="eastAsia"/>
          <w:sz w:val="30"/>
          <w:szCs w:val="30"/>
        </w:rPr>
        <w:t>1</w:t>
      </w:r>
      <w:r>
        <w:rPr>
          <w:rFonts w:hint="eastAsia"/>
          <w:sz w:val="30"/>
          <w:szCs w:val="30"/>
        </w:rPr>
        <w:t>月</w:t>
      </w:r>
      <w:r>
        <w:rPr>
          <w:rFonts w:hint="eastAsia"/>
          <w:sz w:val="30"/>
          <w:szCs w:val="30"/>
        </w:rPr>
        <w:t>27</w:t>
      </w:r>
      <w:r>
        <w:rPr>
          <w:rFonts w:hint="eastAsia"/>
          <w:sz w:val="30"/>
          <w:szCs w:val="30"/>
        </w:rPr>
        <w:t>日出生。</w:t>
      </w:r>
    </w:p>
    <w:p w:rsidR="00000000" w:rsidRDefault="00E96CFA">
      <w:pPr>
        <w:spacing w:line="500" w:lineRule="atLeast"/>
        <w:ind w:firstLine="600"/>
        <w:divId w:val="438992614"/>
        <w:rPr>
          <w:rFonts w:hint="eastAsia"/>
          <w:sz w:val="30"/>
          <w:szCs w:val="30"/>
        </w:rPr>
      </w:pPr>
      <w:r>
        <w:rPr>
          <w:rFonts w:hint="eastAsia"/>
          <w:sz w:val="30"/>
          <w:szCs w:val="30"/>
        </w:rPr>
        <w:t>委托诉讼代理人：陈诺，北京市中银律师事务所律师。</w:t>
      </w:r>
    </w:p>
    <w:p w:rsidR="00000000" w:rsidRDefault="00E96CFA">
      <w:pPr>
        <w:spacing w:line="500" w:lineRule="atLeast"/>
        <w:ind w:firstLine="600"/>
        <w:divId w:val="1911232672"/>
        <w:rPr>
          <w:rFonts w:hint="eastAsia"/>
          <w:sz w:val="30"/>
          <w:szCs w:val="30"/>
        </w:rPr>
      </w:pPr>
      <w:r>
        <w:rPr>
          <w:rFonts w:hint="eastAsia"/>
          <w:sz w:val="30"/>
          <w:szCs w:val="30"/>
        </w:rPr>
        <w:t>被上诉人（原审原告）：朗易酩庄（北京）酒业有限公司，住所地北京市朝阳区广顺北大街</w:t>
      </w:r>
      <w:r>
        <w:rPr>
          <w:rFonts w:hint="eastAsia"/>
          <w:sz w:val="30"/>
          <w:szCs w:val="30"/>
        </w:rPr>
        <w:t>17</w:t>
      </w:r>
      <w:r>
        <w:rPr>
          <w:rFonts w:hint="eastAsia"/>
          <w:sz w:val="30"/>
          <w:szCs w:val="30"/>
        </w:rPr>
        <w:t>号</w:t>
      </w:r>
      <w:r>
        <w:rPr>
          <w:rFonts w:hint="eastAsia"/>
          <w:sz w:val="30"/>
          <w:szCs w:val="30"/>
        </w:rPr>
        <w:t>1</w:t>
      </w:r>
      <w:r>
        <w:rPr>
          <w:rFonts w:hint="eastAsia"/>
          <w:sz w:val="30"/>
          <w:szCs w:val="30"/>
        </w:rPr>
        <w:t>层</w:t>
      </w:r>
      <w:r>
        <w:rPr>
          <w:rFonts w:hint="eastAsia"/>
          <w:sz w:val="30"/>
          <w:szCs w:val="30"/>
        </w:rPr>
        <w:t>01</w:t>
      </w:r>
      <w:r>
        <w:rPr>
          <w:rFonts w:hint="eastAsia"/>
          <w:sz w:val="30"/>
          <w:szCs w:val="30"/>
        </w:rPr>
        <w:t>层</w:t>
      </w:r>
      <w:r>
        <w:rPr>
          <w:rFonts w:hint="eastAsia"/>
          <w:sz w:val="30"/>
          <w:szCs w:val="30"/>
        </w:rPr>
        <w:t>A03a</w:t>
      </w:r>
      <w:r>
        <w:rPr>
          <w:rFonts w:hint="eastAsia"/>
          <w:sz w:val="30"/>
          <w:szCs w:val="30"/>
        </w:rPr>
        <w:t>。</w:t>
      </w:r>
    </w:p>
    <w:p w:rsidR="00000000" w:rsidRDefault="00E96CFA">
      <w:pPr>
        <w:spacing w:line="500" w:lineRule="atLeast"/>
        <w:ind w:firstLine="600"/>
        <w:divId w:val="1191724445"/>
        <w:rPr>
          <w:rFonts w:hint="eastAsia"/>
          <w:sz w:val="30"/>
          <w:szCs w:val="30"/>
        </w:rPr>
      </w:pPr>
      <w:r>
        <w:rPr>
          <w:rFonts w:hint="eastAsia"/>
          <w:sz w:val="30"/>
          <w:szCs w:val="30"/>
        </w:rPr>
        <w:t>法定代表人：蒋×，总经理。</w:t>
      </w:r>
    </w:p>
    <w:p w:rsidR="00000000" w:rsidRDefault="00E96CFA">
      <w:pPr>
        <w:spacing w:line="500" w:lineRule="atLeast"/>
        <w:ind w:firstLine="600"/>
        <w:divId w:val="756906438"/>
        <w:rPr>
          <w:rFonts w:hint="eastAsia"/>
          <w:sz w:val="30"/>
          <w:szCs w:val="30"/>
        </w:rPr>
      </w:pPr>
      <w:r>
        <w:rPr>
          <w:rFonts w:hint="eastAsia"/>
          <w:sz w:val="30"/>
          <w:szCs w:val="30"/>
        </w:rPr>
        <w:t>委托诉讼代理人：常宏，北京华沛德权律师事务所律师。</w:t>
      </w:r>
    </w:p>
    <w:p w:rsidR="00000000" w:rsidRDefault="00E96CFA">
      <w:pPr>
        <w:spacing w:line="500" w:lineRule="atLeast"/>
        <w:ind w:firstLine="600"/>
        <w:divId w:val="1409571028"/>
        <w:rPr>
          <w:rFonts w:hint="eastAsia"/>
          <w:sz w:val="30"/>
          <w:szCs w:val="30"/>
        </w:rPr>
      </w:pPr>
      <w:r>
        <w:rPr>
          <w:rFonts w:hint="eastAsia"/>
          <w:sz w:val="30"/>
          <w:szCs w:val="30"/>
        </w:rPr>
        <w:t>上诉人张言志因与被上诉人朗易酩庄（北京）酒业有限公司（以下简称朗易酩庄公司）损害公司利益责任纠纷一案，不服北京市朝阳区人民法院（</w:t>
      </w:r>
      <w:r>
        <w:rPr>
          <w:rFonts w:hint="eastAsia"/>
          <w:sz w:val="30"/>
          <w:szCs w:val="30"/>
        </w:rPr>
        <w:t>2015</w:t>
      </w:r>
      <w:r>
        <w:rPr>
          <w:rFonts w:hint="eastAsia"/>
          <w:sz w:val="30"/>
          <w:szCs w:val="30"/>
        </w:rPr>
        <w:t>）朝民（商）初字第</w:t>
      </w:r>
      <w:r>
        <w:rPr>
          <w:rFonts w:hint="eastAsia"/>
          <w:sz w:val="30"/>
          <w:szCs w:val="30"/>
        </w:rPr>
        <w:t>21878</w:t>
      </w:r>
      <w:r>
        <w:rPr>
          <w:rFonts w:hint="eastAsia"/>
          <w:sz w:val="30"/>
          <w:szCs w:val="30"/>
        </w:rPr>
        <w:t>号民事判决，向本院提起上诉。本院于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日立案后，依法组成合议庭，开庭进行了审理。上诉人张言志的委托诉讼代理人陈诺、被上诉人朗易酩庄公司的委托诉讼代理人常宏到庭参加诉讼。本案现已审理终结。</w:t>
      </w:r>
    </w:p>
    <w:p w:rsidR="00000000" w:rsidRDefault="00E96CFA">
      <w:pPr>
        <w:spacing w:line="500" w:lineRule="atLeast"/>
        <w:ind w:firstLine="600"/>
        <w:divId w:val="1387147665"/>
        <w:rPr>
          <w:rFonts w:hint="eastAsia"/>
          <w:sz w:val="30"/>
          <w:szCs w:val="30"/>
        </w:rPr>
      </w:pPr>
      <w:r>
        <w:rPr>
          <w:rFonts w:hint="eastAsia"/>
          <w:sz w:val="30"/>
          <w:szCs w:val="30"/>
        </w:rPr>
        <w:t>张言志上诉请求：</w:t>
      </w:r>
      <w:r>
        <w:rPr>
          <w:rFonts w:hint="eastAsia"/>
          <w:sz w:val="30"/>
          <w:szCs w:val="30"/>
        </w:rPr>
        <w:t>1.</w:t>
      </w:r>
      <w:r>
        <w:rPr>
          <w:rFonts w:hint="eastAsia"/>
          <w:sz w:val="30"/>
          <w:szCs w:val="30"/>
        </w:rPr>
        <w:t>撤销一审判决并依法改判；</w:t>
      </w:r>
      <w:r>
        <w:rPr>
          <w:rFonts w:hint="eastAsia"/>
          <w:sz w:val="30"/>
          <w:szCs w:val="30"/>
        </w:rPr>
        <w:t>2.</w:t>
      </w:r>
      <w:r>
        <w:rPr>
          <w:rFonts w:hint="eastAsia"/>
          <w:sz w:val="30"/>
          <w:szCs w:val="30"/>
        </w:rPr>
        <w:t>一审、二审诉讼费由朗易酩庄公司承担。事实和理由：一、一审法院认定事实错误。一审法院认定张言志属于朗</w:t>
      </w:r>
      <w:r>
        <w:rPr>
          <w:rFonts w:hint="eastAsia"/>
          <w:sz w:val="30"/>
          <w:szCs w:val="30"/>
        </w:rPr>
        <w:t>易酩庄公司的高级管理人员，与事实不符，是错误的。</w:t>
      </w:r>
      <w:r>
        <w:rPr>
          <w:rFonts w:hint="eastAsia"/>
          <w:sz w:val="30"/>
          <w:szCs w:val="30"/>
        </w:rPr>
        <w:t>1.</w:t>
      </w:r>
      <w:r>
        <w:rPr>
          <w:rFonts w:hint="eastAsia"/>
          <w:sz w:val="30"/>
          <w:szCs w:val="30"/>
        </w:rPr>
        <w:t>根据工商登记信息，朗易酩庄公司是</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日登记成立的，蒋×担任执行董事、经理，张言志担任监事。朗易酩庄公司成立至今，没有进行变更登记。</w:t>
      </w:r>
      <w:r>
        <w:rPr>
          <w:rFonts w:hint="eastAsia"/>
          <w:sz w:val="30"/>
          <w:szCs w:val="30"/>
        </w:rPr>
        <w:t>2.</w:t>
      </w:r>
      <w:r>
        <w:rPr>
          <w:rFonts w:hint="eastAsia"/>
          <w:sz w:val="30"/>
          <w:szCs w:val="30"/>
        </w:rPr>
        <w:t>虽然蒋×与张言志签订的《合作协议书》中约定，张言志担任董事长，但实际上没有履行。朗易酩庄公司没有设董事会，也就不存在董事长一职。执行董事是由蒋×担任的。</w:t>
      </w:r>
      <w:r>
        <w:rPr>
          <w:rFonts w:hint="eastAsia"/>
          <w:sz w:val="30"/>
          <w:szCs w:val="30"/>
        </w:rPr>
        <w:t>3.</w:t>
      </w:r>
      <w:r>
        <w:rPr>
          <w:rFonts w:hint="eastAsia"/>
          <w:sz w:val="30"/>
          <w:szCs w:val="30"/>
        </w:rPr>
        <w:t>《合作协议书》中虽然约定“乙方负责进酒工作”，实</w:t>
      </w:r>
      <w:r>
        <w:rPr>
          <w:rFonts w:hint="eastAsia"/>
          <w:sz w:val="30"/>
          <w:szCs w:val="30"/>
        </w:rPr>
        <w:lastRenderedPageBreak/>
        <w:t>际上，蒋×是公司的实际控制人，进酒的种类和数量都由蒋×决定，然后通知张言志具体办理，张言志只是执行蒋×的决定</w:t>
      </w:r>
      <w:r>
        <w:rPr>
          <w:rFonts w:hint="eastAsia"/>
          <w:sz w:val="30"/>
          <w:szCs w:val="30"/>
        </w:rPr>
        <w:t>。因此，张言志不是朗易酩庄公司的高级管理人员。二、一审法院违反了《中华人民共和国公司法》（以下简称《公司法》）第五十一条的规定，适用法律错误。一审法院认定张言志属于朗易酩庄公司的高级管理人员，违反了《公司法》第五十一条高级管理人员不得兼任监事的规定。张言志不是朗易酩庄公司的董事、高级管理人员，不适用《公司法》第一百四十八条的规定。三、一审法院认定张言志违反了对朗易酩庄公司的忠实、勤勉义务，缺乏证据。</w:t>
      </w:r>
      <w:r>
        <w:rPr>
          <w:rFonts w:hint="eastAsia"/>
          <w:sz w:val="30"/>
          <w:szCs w:val="30"/>
        </w:rPr>
        <w:t>1.</w:t>
      </w:r>
      <w:r>
        <w:rPr>
          <w:rFonts w:hint="eastAsia"/>
          <w:sz w:val="30"/>
          <w:szCs w:val="30"/>
        </w:rPr>
        <w:t>朗易酩庄公司没有证据证明曾经安排或委托张言志负责朗易酩庄公司与北京德生源智医药有限公司（以下简称德生源智公</w:t>
      </w:r>
      <w:r>
        <w:rPr>
          <w:rFonts w:hint="eastAsia"/>
          <w:sz w:val="30"/>
          <w:szCs w:val="30"/>
        </w:rPr>
        <w:t>司）之间的《产品经销合同》业务。</w:t>
      </w:r>
      <w:r>
        <w:rPr>
          <w:rFonts w:hint="eastAsia"/>
          <w:sz w:val="30"/>
          <w:szCs w:val="30"/>
        </w:rPr>
        <w:t>2.</w:t>
      </w:r>
      <w:r>
        <w:rPr>
          <w:rFonts w:hint="eastAsia"/>
          <w:sz w:val="30"/>
          <w:szCs w:val="30"/>
        </w:rPr>
        <w:t>朗易酩庄公司没有证据证明是因为张言志的原因，德生源智公司解除了与朗易酩庄公司之间的合同。</w:t>
      </w:r>
      <w:r>
        <w:rPr>
          <w:rFonts w:hint="eastAsia"/>
          <w:sz w:val="30"/>
          <w:szCs w:val="30"/>
        </w:rPr>
        <w:t>3.</w:t>
      </w:r>
      <w:r>
        <w:rPr>
          <w:rFonts w:hint="eastAsia"/>
          <w:sz w:val="30"/>
          <w:szCs w:val="30"/>
        </w:rPr>
        <w:t>朗易酩庄公司在两次诉讼中存在前后矛盾的情形。第一次诉讼开庭中，蒋×称是其亲自办理进货并送货的，第二次诉讼又称是交给了张言志经办，称张言志将商业机会转给了北京酒易酩庄酒业有限公司（以下简称酒易酩庄公司）。朗易酩庄公司在两次诉讼中陈述前后矛盾，存在虚假诉讼的情形，应承担败诉的不利后果。四、一审判决与生效法律文书存在矛盾。</w:t>
      </w:r>
      <w:r>
        <w:rPr>
          <w:rFonts w:hint="eastAsia"/>
          <w:sz w:val="30"/>
          <w:szCs w:val="30"/>
        </w:rPr>
        <w:t>1.</w:t>
      </w:r>
      <w:r>
        <w:rPr>
          <w:rFonts w:hint="eastAsia"/>
          <w:sz w:val="30"/>
          <w:szCs w:val="30"/>
        </w:rPr>
        <w:t>（</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号判决书已经认定：“该院从证据</w:t>
      </w:r>
      <w:r>
        <w:rPr>
          <w:rFonts w:hint="eastAsia"/>
          <w:sz w:val="30"/>
          <w:szCs w:val="30"/>
        </w:rPr>
        <w:t>认定的角度上不能确认朗易酩庄公司对该案所涉货款享有权利。”本次诉讼中，朗易酩庄公司未提交新的证据，本案亦没有新的事实，同样不能确认朗易酩庄公司对所涉货款享有权利，既然对货款没有权利，对货款中的利润部分同样没有权利。</w:t>
      </w:r>
      <w:r>
        <w:rPr>
          <w:rFonts w:hint="eastAsia"/>
          <w:sz w:val="30"/>
          <w:szCs w:val="30"/>
        </w:rPr>
        <w:t>2.</w:t>
      </w:r>
      <w:r>
        <w:rPr>
          <w:rFonts w:hint="eastAsia"/>
          <w:sz w:val="30"/>
          <w:szCs w:val="30"/>
        </w:rPr>
        <w:t>（</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号案中的《情况说明》，充分证明了德生源智公司主动解除了与朗易酩庄公司进口</w:t>
      </w:r>
      <w:r>
        <w:rPr>
          <w:rFonts w:hint="eastAsia"/>
          <w:sz w:val="30"/>
          <w:szCs w:val="30"/>
        </w:rPr>
        <w:t>6</w:t>
      </w:r>
      <w:r>
        <w:rPr>
          <w:rFonts w:hint="eastAsia"/>
          <w:sz w:val="30"/>
          <w:szCs w:val="30"/>
        </w:rPr>
        <w:t>万瓶葡萄酒的合同，具体</w:t>
      </w:r>
      <w:r>
        <w:rPr>
          <w:rFonts w:hint="eastAsia"/>
          <w:sz w:val="30"/>
          <w:szCs w:val="30"/>
        </w:rPr>
        <w:lastRenderedPageBreak/>
        <w:t>原因是朗易酩庄公司不具备合同履行能力，而非张言志的原因导致合同解除。</w:t>
      </w:r>
    </w:p>
    <w:p w:rsidR="00000000" w:rsidRDefault="00E96CFA">
      <w:pPr>
        <w:spacing w:line="500" w:lineRule="atLeast"/>
        <w:ind w:firstLine="600"/>
        <w:divId w:val="619385608"/>
        <w:rPr>
          <w:rFonts w:hint="eastAsia"/>
          <w:sz w:val="30"/>
          <w:szCs w:val="30"/>
        </w:rPr>
      </w:pPr>
      <w:r>
        <w:rPr>
          <w:rFonts w:hint="eastAsia"/>
          <w:sz w:val="30"/>
          <w:szCs w:val="30"/>
        </w:rPr>
        <w:t>朗易酩庄公司辩称，一审法院认定事实清楚，适用法律正确。同意一审判决。关于张言志的上诉理由：一、朗</w:t>
      </w:r>
      <w:r>
        <w:rPr>
          <w:rFonts w:hint="eastAsia"/>
          <w:sz w:val="30"/>
          <w:szCs w:val="30"/>
        </w:rPr>
        <w:t>易酩庄公司的工商登记信息显示的张言志是监事，但并不能以此推定张言志不是高级管理人员，否则，与逻辑相悖。关于《合作协议书》中约定张言志任董事长与工商登记信息中张言志任监事的不一致之处，应当以事实为基础，工商登记信息是代理人随意写的，未经过股东会推选，且公司章程也未规定张言志为监事，工商登记信息只能对抗第三人，不能作为股东之间的抗辩理由。一审中经调查张言志为朗易酩庄公司事实上的高级管理人员。二、《合作协议书》中约定“蒋×负责进酒工作”只是字面意思的理解，根据上下文的意思，张言志对进酒工作有全权管理的权利，若蒋×</w:t>
      </w:r>
      <w:r>
        <w:rPr>
          <w:rFonts w:hint="eastAsia"/>
          <w:sz w:val="30"/>
          <w:szCs w:val="30"/>
        </w:rPr>
        <w:t>干涉则属于违约行为。三、张言志作为《合作协议书》中约定的董事长以及进酒的高级管理人员，将朗易酩庄公司与德生源智公司的业务机会转给了酒易酩庄公司，朗易酩庄公司提交的证据完全能够证明张言志利用负责进酒的机会将该业务转给了其实际控制的酒易酩庄公司。朗易酩庄公司有权依据《公司法》规定的归入权要求张言志将利润归还给朗易酩庄公司。四、关于张言志所称的德生源智公司提供的证明能够说明德生源智公司解除了与朗易酩庄公司的经销合同。朗易酩庄公司认为德生源智公司先后提交了两份内容相反的说明，张言志提交的生效法律文书中也明确说明该两</w:t>
      </w:r>
      <w:r>
        <w:rPr>
          <w:rFonts w:hint="eastAsia"/>
          <w:sz w:val="30"/>
          <w:szCs w:val="30"/>
        </w:rPr>
        <w:t>份证据前后矛盾，不应被采信。本案中，该两份证据即使经过质证，也不应被采信。四、（</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号案中，朗易酩庄公司称蒋×亲自办理的是与本案无关的</w:t>
      </w:r>
      <w:r>
        <w:rPr>
          <w:rFonts w:hint="eastAsia"/>
          <w:sz w:val="30"/>
          <w:szCs w:val="30"/>
        </w:rPr>
        <w:t>300</w:t>
      </w:r>
      <w:r>
        <w:rPr>
          <w:rFonts w:hint="eastAsia"/>
          <w:sz w:val="30"/>
          <w:szCs w:val="30"/>
        </w:rPr>
        <w:t>箱酒，已经另案起诉了，不能作为本案的事实予以认定。五、关于张言志所说的本案一审判决与（</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号判决相矛盾的理由，本案一审判决是在损害公司利益请求归还利润的基础上认定事实，行使的是归入权，而非简单的公司利润，与（</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号判决的法律依据不一致。</w:t>
      </w:r>
    </w:p>
    <w:p w:rsidR="00000000" w:rsidRDefault="00E96CFA">
      <w:pPr>
        <w:spacing w:line="500" w:lineRule="atLeast"/>
        <w:ind w:firstLine="600"/>
        <w:divId w:val="854685982"/>
        <w:rPr>
          <w:rFonts w:hint="eastAsia"/>
          <w:sz w:val="30"/>
          <w:szCs w:val="30"/>
        </w:rPr>
      </w:pPr>
      <w:r>
        <w:rPr>
          <w:rFonts w:hint="eastAsia"/>
          <w:sz w:val="30"/>
          <w:szCs w:val="30"/>
        </w:rPr>
        <w:t>朗易酩庄公司向一审法院起诉请求：要求张言志向朗易酩庄公司</w:t>
      </w:r>
      <w:r>
        <w:rPr>
          <w:rFonts w:hint="eastAsia"/>
          <w:sz w:val="30"/>
          <w:szCs w:val="30"/>
        </w:rPr>
        <w:t>归还利润所得</w:t>
      </w:r>
      <w:r>
        <w:rPr>
          <w:rFonts w:hint="eastAsia"/>
          <w:sz w:val="30"/>
          <w:szCs w:val="30"/>
        </w:rPr>
        <w:t>15</w:t>
      </w:r>
      <w:r>
        <w:rPr>
          <w:rFonts w:hint="eastAsia"/>
          <w:sz w:val="30"/>
          <w:szCs w:val="30"/>
        </w:rPr>
        <w:t>万元并承担该案诉讼费用。</w:t>
      </w:r>
    </w:p>
    <w:p w:rsidR="00000000" w:rsidRDefault="00E96CFA">
      <w:pPr>
        <w:spacing w:line="500" w:lineRule="atLeast"/>
        <w:ind w:firstLine="600"/>
        <w:divId w:val="629476360"/>
        <w:rPr>
          <w:rFonts w:hint="eastAsia"/>
          <w:sz w:val="30"/>
          <w:szCs w:val="30"/>
        </w:rPr>
      </w:pPr>
      <w:r>
        <w:rPr>
          <w:rFonts w:hint="eastAsia"/>
          <w:sz w:val="30"/>
          <w:szCs w:val="30"/>
        </w:rPr>
        <w:t>一审法院认定事实：</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蒋×作为甲方与作为乙方的张言志签订《合作协议书》，约定甲乙双方合作开发葡萄酒销售，现甲乙双方就葡萄酒销售公司的成立、葡萄酒销售的分工及投资等达成如下框架协议，并共同遵守：葡萄酒销售公司注册资金</w:t>
      </w:r>
      <w:r>
        <w:rPr>
          <w:rFonts w:hint="eastAsia"/>
          <w:sz w:val="30"/>
          <w:szCs w:val="30"/>
        </w:rPr>
        <w:t>100</w:t>
      </w:r>
      <w:r>
        <w:rPr>
          <w:rFonts w:hint="eastAsia"/>
          <w:sz w:val="30"/>
          <w:szCs w:val="30"/>
        </w:rPr>
        <w:t>万元，甲方出资</w:t>
      </w:r>
      <w:r>
        <w:rPr>
          <w:rFonts w:hint="eastAsia"/>
          <w:sz w:val="30"/>
          <w:szCs w:val="30"/>
        </w:rPr>
        <w:t>70</w:t>
      </w:r>
      <w:r>
        <w:rPr>
          <w:rFonts w:hint="eastAsia"/>
          <w:sz w:val="30"/>
          <w:szCs w:val="30"/>
        </w:rPr>
        <w:t>万元，占</w:t>
      </w:r>
      <w:r>
        <w:rPr>
          <w:rFonts w:hint="eastAsia"/>
          <w:sz w:val="30"/>
          <w:szCs w:val="30"/>
        </w:rPr>
        <w:t>70%</w:t>
      </w:r>
      <w:r>
        <w:rPr>
          <w:rFonts w:hint="eastAsia"/>
          <w:sz w:val="30"/>
          <w:szCs w:val="30"/>
        </w:rPr>
        <w:t>股份，乙方出资</w:t>
      </w:r>
      <w:r>
        <w:rPr>
          <w:rFonts w:hint="eastAsia"/>
          <w:sz w:val="30"/>
          <w:szCs w:val="30"/>
        </w:rPr>
        <w:t>30</w:t>
      </w:r>
      <w:r>
        <w:rPr>
          <w:rFonts w:hint="eastAsia"/>
          <w:sz w:val="30"/>
          <w:szCs w:val="30"/>
        </w:rPr>
        <w:t>万元，占</w:t>
      </w:r>
      <w:r>
        <w:rPr>
          <w:rFonts w:hint="eastAsia"/>
          <w:sz w:val="30"/>
          <w:szCs w:val="30"/>
        </w:rPr>
        <w:t>30%</w:t>
      </w:r>
      <w:r>
        <w:rPr>
          <w:rFonts w:hint="eastAsia"/>
          <w:sz w:val="30"/>
          <w:szCs w:val="30"/>
        </w:rPr>
        <w:t>股份，公司名称朗易酩庄公司；朗易酩庄公司增加投资须按本协议第</w:t>
      </w:r>
      <w:r>
        <w:rPr>
          <w:rFonts w:hint="eastAsia"/>
          <w:sz w:val="30"/>
          <w:szCs w:val="30"/>
        </w:rPr>
        <w:t>1</w:t>
      </w:r>
      <w:r>
        <w:rPr>
          <w:rFonts w:hint="eastAsia"/>
          <w:sz w:val="30"/>
          <w:szCs w:val="30"/>
        </w:rPr>
        <w:t>条的比例由甲乙双方共同出资；朗易酩庄公司的盈利分配和亏损承担均按本协议第</w:t>
      </w:r>
      <w:r>
        <w:rPr>
          <w:rFonts w:hint="eastAsia"/>
          <w:sz w:val="30"/>
          <w:szCs w:val="30"/>
        </w:rPr>
        <w:t>1</w:t>
      </w:r>
      <w:r>
        <w:rPr>
          <w:rFonts w:hint="eastAsia"/>
          <w:sz w:val="30"/>
          <w:szCs w:val="30"/>
        </w:rPr>
        <w:t>条的比例分配利润和承担亏损；甲方负</w:t>
      </w:r>
      <w:r>
        <w:rPr>
          <w:rFonts w:hint="eastAsia"/>
          <w:sz w:val="30"/>
          <w:szCs w:val="30"/>
        </w:rPr>
        <w:t>责公司的组建和公司的注册登记等工作；甲方负责销售工作，担任公司法定代表人，公司不向甲方个人支付工资，实现盈亏平衡后应当向甲方支付工资，工资数额及支付方式由甲乙双方共同协商确定；乙方负责进酒工作，乙方所进葡萄酒应当适合中国市场的口味和适合中国市场的营销价格；乙方担任董事长职务，公司不向乙方支付工资；所有的酒进入朗易酩庄公司必须有张言志认证证明；乙方负责朗易酩庄公司所有人员的技术培训；乙方负责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月之前进</w:t>
      </w:r>
      <w:r>
        <w:rPr>
          <w:rFonts w:hint="eastAsia"/>
          <w:sz w:val="30"/>
          <w:szCs w:val="30"/>
        </w:rPr>
        <w:t>6-9</w:t>
      </w:r>
      <w:r>
        <w:rPr>
          <w:rFonts w:hint="eastAsia"/>
          <w:sz w:val="30"/>
          <w:szCs w:val="30"/>
        </w:rPr>
        <w:t>款朗易酩庄公司代理的葡萄酒（即：阿尔萨斯、勃艮第及普罗旺斯各</w:t>
      </w:r>
      <w:r>
        <w:rPr>
          <w:rFonts w:hint="eastAsia"/>
          <w:sz w:val="30"/>
          <w:szCs w:val="30"/>
        </w:rPr>
        <w:t>2</w:t>
      </w:r>
      <w:r>
        <w:rPr>
          <w:rFonts w:hint="eastAsia"/>
          <w:sz w:val="30"/>
          <w:szCs w:val="30"/>
        </w:rPr>
        <w:t>至</w:t>
      </w:r>
      <w:r>
        <w:rPr>
          <w:rFonts w:hint="eastAsia"/>
          <w:sz w:val="30"/>
          <w:szCs w:val="30"/>
        </w:rPr>
        <w:t>3</w:t>
      </w:r>
      <w:r>
        <w:rPr>
          <w:rFonts w:hint="eastAsia"/>
          <w:sz w:val="30"/>
          <w:szCs w:val="30"/>
        </w:rPr>
        <w:t>款）；甲方在</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日以个人名义借给乙方</w:t>
      </w:r>
      <w:r>
        <w:rPr>
          <w:rFonts w:hint="eastAsia"/>
          <w:sz w:val="30"/>
          <w:szCs w:val="30"/>
        </w:rPr>
        <w:t>100</w:t>
      </w:r>
      <w:r>
        <w:rPr>
          <w:rFonts w:hint="eastAsia"/>
          <w:sz w:val="30"/>
          <w:szCs w:val="30"/>
        </w:rPr>
        <w:t>万元用于进口葡萄酒的资金，乙方使用期限为</w:t>
      </w:r>
      <w:r>
        <w:rPr>
          <w:rFonts w:hint="eastAsia"/>
          <w:sz w:val="30"/>
          <w:szCs w:val="30"/>
        </w:rPr>
        <w:t>1</w:t>
      </w:r>
      <w:r>
        <w:rPr>
          <w:rFonts w:hint="eastAsia"/>
          <w:sz w:val="30"/>
          <w:szCs w:val="30"/>
        </w:rPr>
        <w:t>年，乙方应于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日前归还甲方个人</w:t>
      </w:r>
      <w:r>
        <w:rPr>
          <w:rFonts w:hint="eastAsia"/>
          <w:sz w:val="30"/>
          <w:szCs w:val="30"/>
        </w:rPr>
        <w:t>100</w:t>
      </w:r>
      <w:r>
        <w:rPr>
          <w:rFonts w:hint="eastAsia"/>
          <w:sz w:val="30"/>
          <w:szCs w:val="30"/>
        </w:rPr>
        <w:t>万元，乙方应当按约定时间归还甲方借款，乙方未按约定时间归还甲方借款的，每迟延一天乙方应当向甲方支付借款总额</w:t>
      </w:r>
      <w:r>
        <w:rPr>
          <w:rFonts w:hint="eastAsia"/>
          <w:sz w:val="30"/>
          <w:szCs w:val="30"/>
        </w:rPr>
        <w:t>1</w:t>
      </w:r>
      <w:r>
        <w:rPr>
          <w:rFonts w:hint="eastAsia"/>
          <w:sz w:val="30"/>
          <w:szCs w:val="30"/>
        </w:rPr>
        <w:t>‰的违约金，乙方拿出</w:t>
      </w:r>
      <w:r>
        <w:rPr>
          <w:rFonts w:hint="eastAsia"/>
          <w:sz w:val="30"/>
          <w:szCs w:val="30"/>
        </w:rPr>
        <w:t>30</w:t>
      </w:r>
      <w:r>
        <w:rPr>
          <w:rFonts w:hint="eastAsia"/>
          <w:sz w:val="30"/>
          <w:szCs w:val="30"/>
        </w:rPr>
        <w:t>万元的进口葡萄酒作为甲方借乙方</w:t>
      </w:r>
      <w:r>
        <w:rPr>
          <w:rFonts w:hint="eastAsia"/>
          <w:sz w:val="30"/>
          <w:szCs w:val="30"/>
        </w:rPr>
        <w:t>100</w:t>
      </w:r>
      <w:r>
        <w:rPr>
          <w:rFonts w:hint="eastAsia"/>
          <w:sz w:val="30"/>
          <w:szCs w:val="30"/>
        </w:rPr>
        <w:t>万元的利息，从酒易酩庄公司至朗易酩庄公司的酒由甲方选定为准，滞销产品可以换货，应以成本价（包括酒底价、关税、库存、运输费用）给甲乙双方成立的公司即朗易酩庄公司，甲方和公司均不需向乙方支付首期</w:t>
      </w:r>
      <w:r>
        <w:rPr>
          <w:rFonts w:hint="eastAsia"/>
          <w:sz w:val="30"/>
          <w:szCs w:val="30"/>
        </w:rPr>
        <w:t>30</w:t>
      </w:r>
      <w:r>
        <w:rPr>
          <w:rFonts w:hint="eastAsia"/>
          <w:sz w:val="30"/>
          <w:szCs w:val="30"/>
        </w:rPr>
        <w:t>万元的葡萄酒货款，但甲</w:t>
      </w:r>
      <w:r>
        <w:rPr>
          <w:rFonts w:hint="eastAsia"/>
          <w:sz w:val="30"/>
          <w:szCs w:val="30"/>
        </w:rPr>
        <w:t>方销售后获得的利润归公司所有，从乙方进口第二批葡萄酒时当酒成本价每达到三个月结账期时由公司向乙方支付成本价货款（以外方合同及报关价为准）；所有从乙方进口的独家代理葡萄酒均需有正规发票（</w:t>
      </w:r>
      <w:r>
        <w:rPr>
          <w:rFonts w:hint="eastAsia"/>
          <w:sz w:val="30"/>
          <w:szCs w:val="30"/>
        </w:rPr>
        <w:t>1%-5%</w:t>
      </w:r>
      <w:r>
        <w:rPr>
          <w:rFonts w:hint="eastAsia"/>
          <w:sz w:val="30"/>
          <w:szCs w:val="30"/>
        </w:rPr>
        <w:t>税费）；乙方进口的葡萄酒应当符合国际和国内食品安全标准，出现质量问题并由此所造成的损失由乙方承担全部责任，需保证所有葡萄酒为原瓶原装进口，如发现有国内灌装产品，每瓶罚款一万；所有葡萄酒价格以乙方提供的财务报价为准，甲方有随时核查乙方公司财务底价的权利；为了合法经营，所有葡萄酒应当以朗易酩庄公司的名义进口，或者每只葡萄</w:t>
      </w:r>
      <w:r>
        <w:rPr>
          <w:rFonts w:hint="eastAsia"/>
          <w:sz w:val="30"/>
          <w:szCs w:val="30"/>
        </w:rPr>
        <w:t>酒至少有一批是以朗易酩庄公司的名义进口；所有进口葡萄酒的工作均由乙方负责，包括电子商务备案等工作，直接进口的产品，甲方需向乙方公司支付</w:t>
      </w:r>
      <w:r>
        <w:rPr>
          <w:rFonts w:hint="eastAsia"/>
          <w:sz w:val="30"/>
          <w:szCs w:val="30"/>
        </w:rPr>
        <w:t>1%</w:t>
      </w:r>
      <w:r>
        <w:rPr>
          <w:rFonts w:hint="eastAsia"/>
          <w:sz w:val="30"/>
          <w:szCs w:val="30"/>
        </w:rPr>
        <w:t>的代理费；朗易酩庄公司和酒易酩庄公司对外批发价和团购价格应一致；销售区域的开发与协调工作，双方视实际情况而定；合作期限</w:t>
      </w:r>
      <w:r>
        <w:rPr>
          <w:rFonts w:hint="eastAsia"/>
          <w:sz w:val="30"/>
          <w:szCs w:val="30"/>
        </w:rPr>
        <w:t>5</w:t>
      </w:r>
      <w:r>
        <w:rPr>
          <w:rFonts w:hint="eastAsia"/>
          <w:sz w:val="30"/>
          <w:szCs w:val="30"/>
        </w:rPr>
        <w:t>年，自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日止，合作期满后双方继续合作的续签合作协议。</w:t>
      </w:r>
    </w:p>
    <w:p w:rsidR="00000000" w:rsidRDefault="00E96CFA">
      <w:pPr>
        <w:spacing w:line="500" w:lineRule="atLeast"/>
        <w:ind w:firstLine="600"/>
        <w:divId w:val="152331452"/>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日，朗易酩庄公司成立，企业类型为有限责任公司（自然人投资或控股），注册资本</w:t>
      </w:r>
      <w:r>
        <w:rPr>
          <w:rFonts w:hint="eastAsia"/>
          <w:sz w:val="30"/>
          <w:szCs w:val="30"/>
        </w:rPr>
        <w:t>100</w:t>
      </w:r>
      <w:r>
        <w:rPr>
          <w:rFonts w:hint="eastAsia"/>
          <w:sz w:val="30"/>
          <w:szCs w:val="30"/>
        </w:rPr>
        <w:t>万元，股东及其出资为蒋×出资</w:t>
      </w:r>
      <w:r>
        <w:rPr>
          <w:rFonts w:hint="eastAsia"/>
          <w:sz w:val="30"/>
          <w:szCs w:val="30"/>
        </w:rPr>
        <w:t>70</w:t>
      </w:r>
      <w:r>
        <w:rPr>
          <w:rFonts w:hint="eastAsia"/>
          <w:sz w:val="30"/>
          <w:szCs w:val="30"/>
        </w:rPr>
        <w:t>万元，张言志出资</w:t>
      </w:r>
      <w:r>
        <w:rPr>
          <w:rFonts w:hint="eastAsia"/>
          <w:sz w:val="30"/>
          <w:szCs w:val="30"/>
        </w:rPr>
        <w:t>30</w:t>
      </w:r>
      <w:r>
        <w:rPr>
          <w:rFonts w:hint="eastAsia"/>
          <w:sz w:val="30"/>
          <w:szCs w:val="30"/>
        </w:rPr>
        <w:t>万元。朗易</w:t>
      </w:r>
      <w:r>
        <w:rPr>
          <w:rFonts w:hint="eastAsia"/>
          <w:sz w:val="30"/>
          <w:szCs w:val="30"/>
        </w:rPr>
        <w:t>酩庄公司工商登记的董事会成员、经理、监事任职证明显示，蒋×为执行董事、经理，张言志为监事。</w:t>
      </w:r>
    </w:p>
    <w:p w:rsidR="00000000" w:rsidRDefault="00E96CFA">
      <w:pPr>
        <w:spacing w:line="500" w:lineRule="atLeast"/>
        <w:ind w:firstLine="600"/>
        <w:divId w:val="907113333"/>
        <w:rPr>
          <w:rFonts w:hint="eastAsia"/>
          <w:sz w:val="30"/>
          <w:szCs w:val="30"/>
        </w:rPr>
      </w:pP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朗易酩庄公司作为甲方与作为乙方的德生源智公司签订《产品经销合同》，约定甲方授权乙方为授权经销商；销售的产品种类以及价格参见本协议附件二《产品价格单》，本协议续签或修订时，产品种类和价格可根据甲乙双方协商情况调整；对本协议的补充、修改，均应以书面方式作出并作为本协议的附录并由甲乙双方盖章后生效。附件二产品价格单：</w:t>
      </w:r>
      <w:r>
        <w:rPr>
          <w:rFonts w:hint="eastAsia"/>
          <w:sz w:val="30"/>
          <w:szCs w:val="30"/>
        </w:rPr>
        <w:t>1.</w:t>
      </w:r>
      <w:r>
        <w:rPr>
          <w:rFonts w:hint="eastAsia"/>
          <w:sz w:val="30"/>
          <w:szCs w:val="30"/>
        </w:rPr>
        <w:t>产品名称</w:t>
      </w:r>
      <w:r>
        <w:rPr>
          <w:rFonts w:hint="eastAsia"/>
          <w:sz w:val="30"/>
          <w:szCs w:val="30"/>
        </w:rPr>
        <w:t>Comtedetassin,</w:t>
      </w:r>
      <w:r>
        <w:rPr>
          <w:rFonts w:hint="eastAsia"/>
          <w:sz w:val="30"/>
          <w:szCs w:val="30"/>
        </w:rPr>
        <w:t>中文名称唐莎伯爵干红葡萄酒；</w:t>
      </w:r>
      <w:r>
        <w:rPr>
          <w:rFonts w:hint="eastAsia"/>
          <w:sz w:val="30"/>
          <w:szCs w:val="30"/>
        </w:rPr>
        <w:t>2.</w:t>
      </w:r>
      <w:r>
        <w:rPr>
          <w:rFonts w:hint="eastAsia"/>
          <w:sz w:val="30"/>
          <w:szCs w:val="30"/>
        </w:rPr>
        <w:t>产品等级波尔多</w:t>
      </w:r>
      <w:r>
        <w:rPr>
          <w:rFonts w:hint="eastAsia"/>
          <w:sz w:val="30"/>
          <w:szCs w:val="30"/>
        </w:rPr>
        <w:t>法定产区命名葡萄酒（</w:t>
      </w:r>
      <w:r>
        <w:rPr>
          <w:rFonts w:hint="eastAsia"/>
          <w:sz w:val="30"/>
          <w:szCs w:val="30"/>
        </w:rPr>
        <w:t>AOC</w:t>
      </w:r>
      <w:r>
        <w:rPr>
          <w:rFonts w:hint="eastAsia"/>
          <w:sz w:val="30"/>
          <w:szCs w:val="30"/>
        </w:rPr>
        <w:t>）</w:t>
      </w:r>
      <w:r>
        <w:rPr>
          <w:rFonts w:hint="eastAsia"/>
          <w:sz w:val="30"/>
          <w:szCs w:val="30"/>
        </w:rPr>
        <w:t>;3.</w:t>
      </w:r>
      <w:r>
        <w:rPr>
          <w:rFonts w:hint="eastAsia"/>
          <w:sz w:val="30"/>
          <w:szCs w:val="30"/>
        </w:rPr>
        <w:t>价格：双方约定以欧洲采购底价为基础，增加</w:t>
      </w:r>
      <w:r>
        <w:rPr>
          <w:rFonts w:hint="eastAsia"/>
          <w:sz w:val="30"/>
          <w:szCs w:val="30"/>
        </w:rPr>
        <w:t>2.5</w:t>
      </w:r>
      <w:r>
        <w:rPr>
          <w:rFonts w:hint="eastAsia"/>
          <w:sz w:val="30"/>
          <w:szCs w:val="30"/>
        </w:rPr>
        <w:t>元作为甲方服务费，其中，欧洲采购价为</w:t>
      </w:r>
      <w:r>
        <w:rPr>
          <w:rFonts w:hint="eastAsia"/>
          <w:sz w:val="30"/>
          <w:szCs w:val="30"/>
        </w:rPr>
        <w:t>1.5</w:t>
      </w:r>
      <w:r>
        <w:rPr>
          <w:rFonts w:hint="eastAsia"/>
          <w:sz w:val="30"/>
          <w:szCs w:val="30"/>
        </w:rPr>
        <w:t>欧元，中国完税价</w:t>
      </w:r>
      <w:r>
        <w:rPr>
          <w:rFonts w:hint="eastAsia"/>
          <w:sz w:val="30"/>
          <w:szCs w:val="30"/>
        </w:rPr>
        <w:t>21.45</w:t>
      </w:r>
      <w:r>
        <w:rPr>
          <w:rFonts w:hint="eastAsia"/>
          <w:sz w:val="30"/>
          <w:szCs w:val="30"/>
        </w:rPr>
        <w:t>元，结算汇率预计按</w:t>
      </w:r>
      <w:r>
        <w:rPr>
          <w:rFonts w:hint="eastAsia"/>
          <w:sz w:val="30"/>
          <w:szCs w:val="30"/>
        </w:rPr>
        <w:t>8.3</w:t>
      </w:r>
      <w:r>
        <w:rPr>
          <w:rFonts w:hint="eastAsia"/>
          <w:sz w:val="30"/>
          <w:szCs w:val="30"/>
        </w:rPr>
        <w:t>计算，实际结算以银行外汇单据为依据；</w:t>
      </w:r>
      <w:r>
        <w:rPr>
          <w:rFonts w:hint="eastAsia"/>
          <w:sz w:val="30"/>
          <w:szCs w:val="30"/>
        </w:rPr>
        <w:t>4.</w:t>
      </w:r>
      <w:r>
        <w:rPr>
          <w:rFonts w:hint="eastAsia"/>
          <w:sz w:val="30"/>
          <w:szCs w:val="30"/>
        </w:rPr>
        <w:t>开票：甲方向乙方开具购货总额的增值税专用发票，由于开票基数不同产生的税率差由乙方承担，甲方服务费产生的税费由甲方承担；</w:t>
      </w:r>
      <w:r>
        <w:rPr>
          <w:rFonts w:hint="eastAsia"/>
          <w:sz w:val="30"/>
          <w:szCs w:val="30"/>
        </w:rPr>
        <w:t>5.</w:t>
      </w:r>
      <w:r>
        <w:rPr>
          <w:rFonts w:hint="eastAsia"/>
          <w:sz w:val="30"/>
          <w:szCs w:val="30"/>
        </w:rPr>
        <w:t>订货量：</w:t>
      </w:r>
      <w:r>
        <w:rPr>
          <w:rFonts w:hint="eastAsia"/>
          <w:sz w:val="30"/>
          <w:szCs w:val="30"/>
        </w:rPr>
        <w:t>10000</w:t>
      </w:r>
      <w:r>
        <w:rPr>
          <w:rFonts w:hint="eastAsia"/>
          <w:sz w:val="30"/>
          <w:szCs w:val="30"/>
        </w:rPr>
        <w:t>箱</w:t>
      </w:r>
      <w:r>
        <w:rPr>
          <w:rFonts w:hint="eastAsia"/>
          <w:sz w:val="30"/>
          <w:szCs w:val="30"/>
        </w:rPr>
        <w:t>*6</w:t>
      </w:r>
      <w:r>
        <w:rPr>
          <w:rFonts w:hint="eastAsia"/>
          <w:sz w:val="30"/>
          <w:szCs w:val="30"/>
        </w:rPr>
        <w:t>瓶，</w:t>
      </w:r>
      <w:r>
        <w:rPr>
          <w:rFonts w:hint="eastAsia"/>
          <w:sz w:val="30"/>
          <w:szCs w:val="30"/>
        </w:rPr>
        <w:t>1*6</w:t>
      </w:r>
      <w:r>
        <w:rPr>
          <w:rFonts w:hint="eastAsia"/>
          <w:sz w:val="30"/>
          <w:szCs w:val="30"/>
        </w:rPr>
        <w:t>瓶纸箱包装；</w:t>
      </w:r>
      <w:r>
        <w:rPr>
          <w:rFonts w:hint="eastAsia"/>
          <w:sz w:val="30"/>
          <w:szCs w:val="30"/>
        </w:rPr>
        <w:t>6.</w:t>
      </w:r>
      <w:r>
        <w:rPr>
          <w:rFonts w:hint="eastAsia"/>
          <w:sz w:val="30"/>
          <w:szCs w:val="30"/>
        </w:rPr>
        <w:t>总金额：</w:t>
      </w:r>
      <w:r>
        <w:rPr>
          <w:rFonts w:hint="eastAsia"/>
          <w:sz w:val="30"/>
          <w:szCs w:val="30"/>
        </w:rPr>
        <w:t>23.95</w:t>
      </w:r>
      <w:r>
        <w:rPr>
          <w:rFonts w:hint="eastAsia"/>
          <w:sz w:val="30"/>
          <w:szCs w:val="30"/>
        </w:rPr>
        <w:t>元</w:t>
      </w:r>
      <w:r>
        <w:rPr>
          <w:rFonts w:hint="eastAsia"/>
          <w:sz w:val="30"/>
          <w:szCs w:val="30"/>
        </w:rPr>
        <w:t>*6</w:t>
      </w:r>
      <w:r>
        <w:rPr>
          <w:rFonts w:hint="eastAsia"/>
          <w:sz w:val="30"/>
          <w:szCs w:val="30"/>
        </w:rPr>
        <w:t>万瓶</w:t>
      </w:r>
      <w:r>
        <w:rPr>
          <w:rFonts w:hint="eastAsia"/>
          <w:sz w:val="30"/>
          <w:szCs w:val="30"/>
        </w:rPr>
        <w:t>=143.7</w:t>
      </w:r>
      <w:r>
        <w:rPr>
          <w:rFonts w:hint="eastAsia"/>
          <w:sz w:val="30"/>
          <w:szCs w:val="30"/>
        </w:rPr>
        <w:t>万元；</w:t>
      </w:r>
      <w:r>
        <w:rPr>
          <w:rFonts w:hint="eastAsia"/>
          <w:sz w:val="30"/>
          <w:szCs w:val="30"/>
        </w:rPr>
        <w:t>7.</w:t>
      </w:r>
      <w:r>
        <w:rPr>
          <w:rFonts w:hint="eastAsia"/>
          <w:sz w:val="30"/>
          <w:szCs w:val="30"/>
        </w:rPr>
        <w:t>付款：合同签订之日支付货款的</w:t>
      </w:r>
      <w:r>
        <w:rPr>
          <w:rFonts w:hint="eastAsia"/>
          <w:sz w:val="30"/>
          <w:szCs w:val="30"/>
        </w:rPr>
        <w:t>80%</w:t>
      </w:r>
      <w:r>
        <w:rPr>
          <w:rFonts w:hint="eastAsia"/>
          <w:sz w:val="30"/>
          <w:szCs w:val="30"/>
        </w:rPr>
        <w:t>，</w:t>
      </w:r>
      <w:r>
        <w:rPr>
          <w:rFonts w:hint="eastAsia"/>
          <w:sz w:val="30"/>
          <w:szCs w:val="30"/>
        </w:rPr>
        <w:t>114.96</w:t>
      </w:r>
      <w:r>
        <w:rPr>
          <w:rFonts w:hint="eastAsia"/>
          <w:sz w:val="30"/>
          <w:szCs w:val="30"/>
        </w:rPr>
        <w:t>万元，剩余货款在货物清完关</w:t>
      </w:r>
      <w:r>
        <w:rPr>
          <w:rFonts w:hint="eastAsia"/>
          <w:sz w:val="30"/>
          <w:szCs w:val="30"/>
        </w:rPr>
        <w:t>1</w:t>
      </w:r>
      <w:r>
        <w:rPr>
          <w:rFonts w:hint="eastAsia"/>
          <w:sz w:val="30"/>
          <w:szCs w:val="30"/>
        </w:rPr>
        <w:t>周</w:t>
      </w:r>
      <w:r>
        <w:rPr>
          <w:rFonts w:hint="eastAsia"/>
          <w:sz w:val="30"/>
          <w:szCs w:val="30"/>
        </w:rPr>
        <w:t>内结清；</w:t>
      </w:r>
      <w:r>
        <w:rPr>
          <w:rFonts w:hint="eastAsia"/>
          <w:sz w:val="30"/>
          <w:szCs w:val="30"/>
        </w:rPr>
        <w:t>8.</w:t>
      </w:r>
      <w:r>
        <w:rPr>
          <w:rFonts w:hint="eastAsia"/>
          <w:sz w:val="30"/>
          <w:szCs w:val="30"/>
        </w:rPr>
        <w:t>到货周期：合同签署且收到款项的</w:t>
      </w:r>
      <w:r>
        <w:rPr>
          <w:rFonts w:hint="eastAsia"/>
          <w:sz w:val="30"/>
          <w:szCs w:val="30"/>
        </w:rPr>
        <w:t>90</w:t>
      </w:r>
      <w:r>
        <w:rPr>
          <w:rFonts w:hint="eastAsia"/>
          <w:sz w:val="30"/>
          <w:szCs w:val="30"/>
        </w:rPr>
        <w:t>天到货；</w:t>
      </w:r>
      <w:r>
        <w:rPr>
          <w:rFonts w:hint="eastAsia"/>
          <w:sz w:val="30"/>
          <w:szCs w:val="30"/>
        </w:rPr>
        <w:t>9.</w:t>
      </w:r>
      <w:r>
        <w:rPr>
          <w:rFonts w:hint="eastAsia"/>
          <w:sz w:val="30"/>
          <w:szCs w:val="30"/>
        </w:rPr>
        <w:t>备注：该产品首次订单完成后，可作为乙方的独家代理产品。</w:t>
      </w:r>
    </w:p>
    <w:p w:rsidR="00000000" w:rsidRDefault="00E96CFA">
      <w:pPr>
        <w:spacing w:line="500" w:lineRule="atLeast"/>
        <w:ind w:firstLine="600"/>
        <w:divId w:val="1851917610"/>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日，酒易酩庄公司就葡萄酒进口进行海关申报，货物名称唐山伯爵干红葡萄酒</w:t>
      </w:r>
      <w:r>
        <w:rPr>
          <w:rFonts w:hint="eastAsia"/>
          <w:sz w:val="30"/>
          <w:szCs w:val="30"/>
        </w:rPr>
        <w:t>/COMTEDETASSIN</w:t>
      </w:r>
      <w:r>
        <w:rPr>
          <w:rFonts w:hint="eastAsia"/>
          <w:sz w:val="30"/>
          <w:szCs w:val="30"/>
        </w:rPr>
        <w:t>，数量</w:t>
      </w:r>
      <w:r>
        <w:rPr>
          <w:rFonts w:hint="eastAsia"/>
          <w:sz w:val="30"/>
          <w:szCs w:val="30"/>
        </w:rPr>
        <w:t>6</w:t>
      </w:r>
      <w:r>
        <w:rPr>
          <w:rFonts w:hint="eastAsia"/>
          <w:sz w:val="30"/>
          <w:szCs w:val="30"/>
        </w:rPr>
        <w:t>万瓶，原产国法国，单价</w:t>
      </w:r>
      <w:r>
        <w:rPr>
          <w:rFonts w:hint="eastAsia"/>
          <w:sz w:val="30"/>
          <w:szCs w:val="30"/>
        </w:rPr>
        <w:t>1.5</w:t>
      </w:r>
      <w:r>
        <w:rPr>
          <w:rFonts w:hint="eastAsia"/>
          <w:sz w:val="30"/>
          <w:szCs w:val="30"/>
        </w:rPr>
        <w:t>欧元。</w:t>
      </w:r>
    </w:p>
    <w:p w:rsidR="00000000" w:rsidRDefault="00E96CFA">
      <w:pPr>
        <w:spacing w:line="500" w:lineRule="atLeast"/>
        <w:ind w:firstLine="600"/>
        <w:divId w:val="400641100"/>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日，德生源智公司在酒易酩庄公司收货确认单盖章，确定收到酒易酩庄公司唐莎伯爵干红葡萄酒</w:t>
      </w:r>
      <w:r>
        <w:rPr>
          <w:rFonts w:hint="eastAsia"/>
          <w:sz w:val="30"/>
          <w:szCs w:val="30"/>
        </w:rPr>
        <w:t>2012</w:t>
      </w:r>
      <w:r>
        <w:rPr>
          <w:rFonts w:hint="eastAsia"/>
          <w:sz w:val="30"/>
          <w:szCs w:val="30"/>
        </w:rPr>
        <w:t>，数量</w:t>
      </w:r>
      <w:r>
        <w:rPr>
          <w:rFonts w:hint="eastAsia"/>
          <w:sz w:val="30"/>
          <w:szCs w:val="30"/>
        </w:rPr>
        <w:t>6</w:t>
      </w:r>
      <w:r>
        <w:rPr>
          <w:rFonts w:hint="eastAsia"/>
          <w:sz w:val="30"/>
          <w:szCs w:val="30"/>
        </w:rPr>
        <w:t>万瓶，单价</w:t>
      </w:r>
      <w:r>
        <w:rPr>
          <w:rFonts w:hint="eastAsia"/>
          <w:sz w:val="30"/>
          <w:szCs w:val="30"/>
        </w:rPr>
        <w:t>23.95</w:t>
      </w:r>
      <w:r>
        <w:rPr>
          <w:rFonts w:hint="eastAsia"/>
          <w:sz w:val="30"/>
          <w:szCs w:val="30"/>
        </w:rPr>
        <w:t>元，总金额</w:t>
      </w:r>
      <w:r>
        <w:rPr>
          <w:rFonts w:hint="eastAsia"/>
          <w:sz w:val="30"/>
          <w:szCs w:val="30"/>
        </w:rPr>
        <w:t>1437000</w:t>
      </w:r>
      <w:r>
        <w:rPr>
          <w:rFonts w:hint="eastAsia"/>
          <w:sz w:val="30"/>
          <w:szCs w:val="30"/>
        </w:rPr>
        <w:t>元。</w:t>
      </w:r>
    </w:p>
    <w:p w:rsidR="00000000" w:rsidRDefault="00E96CFA">
      <w:pPr>
        <w:spacing w:line="500" w:lineRule="atLeast"/>
        <w:ind w:firstLine="600"/>
        <w:divId w:val="510723324"/>
        <w:rPr>
          <w:rFonts w:hint="eastAsia"/>
          <w:sz w:val="30"/>
          <w:szCs w:val="30"/>
        </w:rPr>
      </w:pPr>
      <w:r>
        <w:rPr>
          <w:rFonts w:hint="eastAsia"/>
          <w:sz w:val="30"/>
          <w:szCs w:val="30"/>
        </w:rPr>
        <w:t>2014</w:t>
      </w:r>
      <w:r>
        <w:rPr>
          <w:rFonts w:hint="eastAsia"/>
          <w:sz w:val="30"/>
          <w:szCs w:val="30"/>
        </w:rPr>
        <w:t>年朗易酩庄公司以损害公司利益责任纠纷为由向一审法院起诉张言志，要</w:t>
      </w:r>
      <w:r>
        <w:rPr>
          <w:rFonts w:hint="eastAsia"/>
          <w:sz w:val="30"/>
          <w:szCs w:val="30"/>
        </w:rPr>
        <w:t>求张言志返还货款</w:t>
      </w:r>
      <w:r>
        <w:rPr>
          <w:rFonts w:hint="eastAsia"/>
          <w:sz w:val="30"/>
          <w:szCs w:val="30"/>
        </w:rPr>
        <w:t>143.7</w:t>
      </w:r>
      <w:r>
        <w:rPr>
          <w:rFonts w:hint="eastAsia"/>
          <w:sz w:val="30"/>
          <w:szCs w:val="30"/>
        </w:rPr>
        <w:t>万元。在该案审理过程中，朗易酩庄公司提交落款日期为</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日，德生源智公司盖章、张强签字的证明，内容为：兹证明德生源智公司于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日与朗易酩庄公司签订购销葡萄酒合同，购货款</w:t>
      </w:r>
      <w:r>
        <w:rPr>
          <w:rFonts w:hint="eastAsia"/>
          <w:sz w:val="30"/>
          <w:szCs w:val="30"/>
        </w:rPr>
        <w:t>147.3</w:t>
      </w:r>
      <w:r>
        <w:rPr>
          <w:rFonts w:hint="eastAsia"/>
          <w:sz w:val="30"/>
          <w:szCs w:val="30"/>
        </w:rPr>
        <w:t>万元，由朗易酩庄公司股东张言志收取；张言志提供一份</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日由德生源智公司盖章、张强签字的情况说明，主要内容为：德生源智公司于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日出具了一份证明，因德生源智公司不太了解具体情况，仓促出具的上述证明内容与实际情况有些出入，现特将实际情况说明如下：</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日，朗易酩庄公司与德生源智公司签订了进口</w:t>
      </w:r>
      <w:r>
        <w:rPr>
          <w:rFonts w:hint="eastAsia"/>
          <w:sz w:val="30"/>
          <w:szCs w:val="30"/>
        </w:rPr>
        <w:t>6</w:t>
      </w:r>
      <w:r>
        <w:rPr>
          <w:rFonts w:hint="eastAsia"/>
          <w:sz w:val="30"/>
          <w:szCs w:val="30"/>
        </w:rPr>
        <w:t>万瓶葡萄酒合同，购货款为</w:t>
      </w:r>
      <w:r>
        <w:rPr>
          <w:rFonts w:hint="eastAsia"/>
          <w:sz w:val="30"/>
          <w:szCs w:val="30"/>
        </w:rPr>
        <w:t>143.7</w:t>
      </w:r>
      <w:r>
        <w:rPr>
          <w:rFonts w:hint="eastAsia"/>
          <w:sz w:val="30"/>
          <w:szCs w:val="30"/>
        </w:rPr>
        <w:t>万元。当时德生源智公司正处于业务转型期，如货物无法及时交付，会对德生源智公司的经营产生影响。合同签订很短时间后，德生源智公司与朗易酩庄公司均担心新成立的朗易酩庄公司可能会因为手续不齐而无法按时进口并交付货物，后经双方协商一致，同意终止该份合同，该合同没有实际履行，朗易酩庄公司没有向德生源智公司供货，德生源智公司也没有向朗易酩庄公司支付货款。随后，德生源智公司与张言志所在的酒易酩庄公司就购酒合同达成一致，由德生源智公司向酒易</w:t>
      </w:r>
      <w:r>
        <w:rPr>
          <w:rFonts w:hint="eastAsia"/>
          <w:sz w:val="30"/>
          <w:szCs w:val="30"/>
        </w:rPr>
        <w:t>酩庄公司支付了货款</w:t>
      </w:r>
      <w:r>
        <w:rPr>
          <w:rFonts w:hint="eastAsia"/>
          <w:sz w:val="30"/>
          <w:szCs w:val="30"/>
        </w:rPr>
        <w:t>143.7</w:t>
      </w:r>
      <w:r>
        <w:rPr>
          <w:rFonts w:hint="eastAsia"/>
          <w:sz w:val="30"/>
          <w:szCs w:val="30"/>
        </w:rPr>
        <w:t>万元。因酒易酩庄公司委托张言志进行收款，德生源智公司将货款汇入张言志账号。该</w:t>
      </w:r>
      <w:r>
        <w:rPr>
          <w:rFonts w:hint="eastAsia"/>
          <w:sz w:val="30"/>
          <w:szCs w:val="30"/>
        </w:rPr>
        <w:t>143.7</w:t>
      </w:r>
      <w:r>
        <w:rPr>
          <w:rFonts w:hint="eastAsia"/>
          <w:sz w:val="30"/>
          <w:szCs w:val="30"/>
        </w:rPr>
        <w:t>万元货款与朗易酩庄公司无关，是支付给酒易酩庄公司的货款。</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r>
        <w:rPr>
          <w:rFonts w:hint="eastAsia"/>
          <w:sz w:val="30"/>
          <w:szCs w:val="30"/>
        </w:rPr>
        <w:t>日，该院依法作出（</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号民事判决书，驳回朗易酩庄公司的诉讼请求。</w:t>
      </w:r>
    </w:p>
    <w:p w:rsidR="00000000" w:rsidRDefault="00E96CFA">
      <w:pPr>
        <w:spacing w:line="500" w:lineRule="atLeast"/>
        <w:ind w:firstLine="600"/>
        <w:divId w:val="845094650"/>
        <w:rPr>
          <w:rFonts w:hint="eastAsia"/>
          <w:sz w:val="30"/>
          <w:szCs w:val="30"/>
        </w:rPr>
      </w:pPr>
      <w:r>
        <w:rPr>
          <w:rFonts w:hint="eastAsia"/>
          <w:sz w:val="30"/>
          <w:szCs w:val="30"/>
        </w:rPr>
        <w:t>另查，酒易酩庄公司成立于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日，公司类型为有限责任公司（自然人独资），股东及法定代表人为张言志。</w:t>
      </w:r>
    </w:p>
    <w:p w:rsidR="00000000" w:rsidRDefault="00E96CFA">
      <w:pPr>
        <w:spacing w:line="500" w:lineRule="atLeast"/>
        <w:ind w:firstLine="600"/>
        <w:divId w:val="1850749318"/>
        <w:rPr>
          <w:rFonts w:hint="eastAsia"/>
          <w:sz w:val="30"/>
          <w:szCs w:val="30"/>
        </w:rPr>
      </w:pPr>
      <w:r>
        <w:rPr>
          <w:rFonts w:hint="eastAsia"/>
          <w:sz w:val="30"/>
          <w:szCs w:val="30"/>
        </w:rPr>
        <w:t>一审法院认为，损害公司利益责任纠纷是指公司股东滥用股东权利或者董事、监事、高级管理人员违反法定义务，损害公司利益而引</w:t>
      </w:r>
      <w:r>
        <w:rPr>
          <w:rFonts w:hint="eastAsia"/>
          <w:sz w:val="30"/>
          <w:szCs w:val="30"/>
        </w:rPr>
        <w:t>发的纠纷。本案争议焦点在于：</w:t>
      </w:r>
    </w:p>
    <w:p w:rsidR="00000000" w:rsidRDefault="00E96CFA">
      <w:pPr>
        <w:spacing w:line="500" w:lineRule="atLeast"/>
        <w:ind w:firstLine="600"/>
        <w:divId w:val="125510251"/>
        <w:rPr>
          <w:rFonts w:hint="eastAsia"/>
          <w:sz w:val="30"/>
          <w:szCs w:val="30"/>
        </w:rPr>
      </w:pPr>
      <w:r>
        <w:rPr>
          <w:rFonts w:hint="eastAsia"/>
          <w:sz w:val="30"/>
          <w:szCs w:val="30"/>
        </w:rPr>
        <w:t>一、朗易酩庄公司提起的该次诉讼是否违反一事不再理原则。《最高人民法院关于适用的解释》第二百四十七条第一款规定“当事人就已经提起诉讼的事项在诉讼过程中或者裁判生效后再次起诉，同时符合下列条件的，构成重复起诉：（一）后诉与前诉的当事人相同；（二）后诉与前诉的诉讼标的相同；（三）后诉与前诉的诉讼请求相同，或者后诉的诉讼请求实质上否定前诉裁判结果”，虽该案当事人与（</w:t>
      </w:r>
      <w:r>
        <w:rPr>
          <w:rFonts w:hint="eastAsia"/>
          <w:sz w:val="30"/>
          <w:szCs w:val="30"/>
        </w:rPr>
        <w:t>2014</w:t>
      </w:r>
      <w:r>
        <w:rPr>
          <w:rFonts w:hint="eastAsia"/>
          <w:sz w:val="30"/>
          <w:szCs w:val="30"/>
        </w:rPr>
        <w:t>）朝民初字第</w:t>
      </w:r>
      <w:r>
        <w:rPr>
          <w:rFonts w:hint="eastAsia"/>
          <w:sz w:val="30"/>
          <w:szCs w:val="30"/>
        </w:rPr>
        <w:t>17448</w:t>
      </w:r>
      <w:r>
        <w:rPr>
          <w:rFonts w:hint="eastAsia"/>
          <w:sz w:val="30"/>
          <w:szCs w:val="30"/>
        </w:rPr>
        <w:t>号案件当事人相同，且均为损害公司利益责任纠纷，但前诉中朗易酩庄公司诉请的对象是货款，而该案朗</w:t>
      </w:r>
      <w:r>
        <w:rPr>
          <w:rFonts w:hint="eastAsia"/>
          <w:sz w:val="30"/>
          <w:szCs w:val="30"/>
        </w:rPr>
        <w:t>易酩庄公司主张的是利润损失，二者存在区别，故朗易酩庄公司提起的该次诉讼不违反一事不再理原则。</w:t>
      </w:r>
    </w:p>
    <w:p w:rsidR="00000000" w:rsidRDefault="00E96CFA">
      <w:pPr>
        <w:spacing w:line="500" w:lineRule="atLeast"/>
        <w:ind w:firstLine="600"/>
        <w:divId w:val="1828205697"/>
        <w:rPr>
          <w:rFonts w:hint="eastAsia"/>
          <w:sz w:val="30"/>
          <w:szCs w:val="30"/>
        </w:rPr>
      </w:pPr>
      <w:r>
        <w:rPr>
          <w:rFonts w:hint="eastAsia"/>
          <w:sz w:val="30"/>
          <w:szCs w:val="30"/>
        </w:rPr>
        <w:t>二、张言志是否属于朗易酩庄公司高级管理人员。《公司法》第二百一十六条第（一）项规定：“高级管理人员，是指公司的经理、副经理、财务负责人，上市公司董事会秘书和公司章程规定的其他人员”，本案中虽张言志在工商部门登记为朗易酩庄公司监事，但高级管理人员指对公司决策、经营、管理负有领导和指挥职责的自然人，高级管理人员岗位的认定应充分尊重公司自治，根据蒋×与张言志签订的《合作协议书》，蒋×与张言志共同出资设立朗易酩庄公司的目的</w:t>
      </w:r>
      <w:r>
        <w:rPr>
          <w:rFonts w:hint="eastAsia"/>
          <w:sz w:val="30"/>
          <w:szCs w:val="30"/>
        </w:rPr>
        <w:t>即为合作开发葡萄酒销售，张言志担任“董事长”职务，负责葡萄酒的进酒、朗易酩庄公司所有人员的技术培训等工作，故该院认定张言志属于朗易酩庄公司高级管理人员。</w:t>
      </w:r>
    </w:p>
    <w:p w:rsidR="00000000" w:rsidRDefault="00E96CFA">
      <w:pPr>
        <w:spacing w:line="500" w:lineRule="atLeast"/>
        <w:ind w:firstLine="600"/>
        <w:divId w:val="1647052042"/>
        <w:rPr>
          <w:rFonts w:hint="eastAsia"/>
          <w:sz w:val="30"/>
          <w:szCs w:val="30"/>
        </w:rPr>
      </w:pPr>
      <w:r>
        <w:rPr>
          <w:rFonts w:hint="eastAsia"/>
          <w:sz w:val="30"/>
          <w:szCs w:val="30"/>
        </w:rPr>
        <w:t>三、张言志是否负有向朗易酩庄公司赔偿利润损失的义务。公司董事、监事、高级管理人员对公司负有忠实、勤勉义务。《公司法》第一百四十八条第（五）项、第（八）项规定：“董事、高级管理人员不得有下列行为：（五）未经股东会或者股东大会同意，利用职务便利为自己或者他人谋取属于公司的商业机会，自营或者为他人经营与所任职公司同类的业务；（八）违反对公司忠实义务的其他行为”，</w:t>
      </w:r>
      <w:r>
        <w:rPr>
          <w:rFonts w:hint="eastAsia"/>
          <w:sz w:val="30"/>
          <w:szCs w:val="30"/>
        </w:rPr>
        <w:t>本案中，张言志作为朗易酩庄公司的监事、高级管理人员，负责朗易酩庄公司的进酒工作，但其在朗易酩庄公司与德生源智公司签订《产品经销合同》后，以其作为独任股东及法定代表人的酒易酩庄公司名义向德生源智公司提供进酒服务并收取德生源智公司货款，所进葡萄酒时间、种类、产地、单价、数量、总价均与《产品经销合同》一致，综合本案中德生源智公司出具的证明、情况说明等相关证据，可以认定张言志违反对朗易酩庄公司的忠实、勤勉义务。同时，鉴于张言志系酒易酩庄公司独任股东及法定代表人，其直接收取了相应的货款，且酒易酩庄公司在朗易酩庄公司与</w:t>
      </w:r>
      <w:r>
        <w:rPr>
          <w:rFonts w:hint="eastAsia"/>
          <w:sz w:val="30"/>
          <w:szCs w:val="30"/>
        </w:rPr>
        <w:t>德生源智公司签订《产品经销合同》后随即开展了葡萄酒的进口工作，时间上具有一致性，故张言志应向朗易酩庄公司赔偿利润损失，朗易酩庄公司要求张言志按照《产品经销合同》约定的服务费归还利润，合法有据，该院予以支持。张言志的答辩意见，缺乏事实和法律依据，该院不予采信。</w:t>
      </w:r>
    </w:p>
    <w:p w:rsidR="00000000" w:rsidRDefault="00E96CFA">
      <w:pPr>
        <w:spacing w:line="500" w:lineRule="atLeast"/>
        <w:ind w:firstLine="600"/>
        <w:divId w:val="1298413303"/>
        <w:rPr>
          <w:rFonts w:hint="eastAsia"/>
          <w:sz w:val="30"/>
          <w:szCs w:val="30"/>
        </w:rPr>
      </w:pPr>
      <w:r>
        <w:rPr>
          <w:rFonts w:hint="eastAsia"/>
          <w:sz w:val="30"/>
          <w:szCs w:val="30"/>
        </w:rPr>
        <w:t>综上，依照《中华人民共和国公司法》第一百四十八条，《最高人民法院关于适用＜中华人民共和国民事诉讼法＞的解释》第一百零八条、第二百四十七条第一款之规定，判决：张言志于判决生效之日起</w:t>
      </w:r>
      <w:r>
        <w:rPr>
          <w:rFonts w:hint="eastAsia"/>
          <w:sz w:val="30"/>
          <w:szCs w:val="30"/>
        </w:rPr>
        <w:t>10</w:t>
      </w:r>
      <w:r>
        <w:rPr>
          <w:rFonts w:hint="eastAsia"/>
          <w:sz w:val="30"/>
          <w:szCs w:val="30"/>
        </w:rPr>
        <w:t>日内给付朗易酩庄公司</w:t>
      </w:r>
      <w:r>
        <w:rPr>
          <w:rFonts w:hint="eastAsia"/>
          <w:sz w:val="30"/>
          <w:szCs w:val="30"/>
        </w:rPr>
        <w:t>15</w:t>
      </w:r>
      <w:r>
        <w:rPr>
          <w:rFonts w:hint="eastAsia"/>
          <w:sz w:val="30"/>
          <w:szCs w:val="30"/>
        </w:rPr>
        <w:t>万元。如果未按判决指定的期间履行给付金钱义务，</w:t>
      </w:r>
      <w:r>
        <w:rPr>
          <w:rFonts w:hint="eastAsia"/>
          <w:sz w:val="30"/>
          <w:szCs w:val="30"/>
        </w:rPr>
        <w:t>应当依照《中华人民共和国民事诉讼法》第二百五十三条之规定，加倍支付迟延履行期间的债务利息。</w:t>
      </w:r>
    </w:p>
    <w:p w:rsidR="00000000" w:rsidRDefault="00E96CFA">
      <w:pPr>
        <w:spacing w:line="500" w:lineRule="atLeast"/>
        <w:ind w:firstLine="600"/>
        <w:divId w:val="839855681"/>
        <w:rPr>
          <w:rFonts w:hint="eastAsia"/>
          <w:sz w:val="30"/>
          <w:szCs w:val="30"/>
        </w:rPr>
      </w:pPr>
      <w:r>
        <w:rPr>
          <w:rFonts w:hint="eastAsia"/>
          <w:sz w:val="30"/>
          <w:szCs w:val="30"/>
        </w:rPr>
        <w:t>本院二审期间，当事人围绕上诉请求依法提交了证据。本院组织当事人进行了证据交换和质证。张言志向本院提交了以下新的证据：证据</w:t>
      </w:r>
      <w:r>
        <w:rPr>
          <w:rFonts w:hint="eastAsia"/>
          <w:sz w:val="30"/>
          <w:szCs w:val="30"/>
        </w:rPr>
        <w:t>1HaoJIANG</w:t>
      </w:r>
      <w:r>
        <w:rPr>
          <w:rFonts w:hint="eastAsia"/>
          <w:sz w:val="30"/>
          <w:szCs w:val="30"/>
        </w:rPr>
        <w:t>的书面证言，证明张言志在朗易酩庄公司没有实际职务和决策权，不是该公司的高级管理人员；证据</w:t>
      </w:r>
      <w:r>
        <w:rPr>
          <w:rFonts w:hint="eastAsia"/>
          <w:sz w:val="30"/>
          <w:szCs w:val="30"/>
        </w:rPr>
        <w:t>2</w:t>
      </w:r>
      <w:r>
        <w:rPr>
          <w:rFonts w:hint="eastAsia"/>
          <w:sz w:val="30"/>
          <w:szCs w:val="30"/>
        </w:rPr>
        <w:t>中国海关企业基本情况查询，用以证明朗易酩庄公司进口货物手续不全，不具备进口葡萄酒的资质。朗易酩庄公司认为上述证据属于逾期提交的证据，不应当予以采信，且证据</w:t>
      </w:r>
      <w:r>
        <w:rPr>
          <w:rFonts w:hint="eastAsia"/>
          <w:sz w:val="30"/>
          <w:szCs w:val="30"/>
        </w:rPr>
        <w:t>1</w:t>
      </w:r>
      <w:r>
        <w:rPr>
          <w:rFonts w:hint="eastAsia"/>
          <w:sz w:val="30"/>
          <w:szCs w:val="30"/>
        </w:rPr>
        <w:t>未经证人当×出庭核实，该证言不应当被</w:t>
      </w:r>
      <w:r>
        <w:rPr>
          <w:rFonts w:hint="eastAsia"/>
          <w:sz w:val="30"/>
          <w:szCs w:val="30"/>
        </w:rPr>
        <w:t>采信；证据</w:t>
      </w:r>
      <w:r>
        <w:rPr>
          <w:rFonts w:hint="eastAsia"/>
          <w:sz w:val="30"/>
          <w:szCs w:val="30"/>
        </w:rPr>
        <w:t>2</w:t>
      </w:r>
      <w:r>
        <w:rPr>
          <w:rFonts w:hint="eastAsia"/>
          <w:sz w:val="30"/>
          <w:szCs w:val="30"/>
        </w:rPr>
        <w:t>没有原件，对该证据的真实性不予认可，且该证据无法证明朗易酩庄公司没有进酒的资格，按照一般的交易常识，朗易酩庄公司即使没有进酒权，也可以委托他人进行。本院认为，证据</w:t>
      </w:r>
      <w:r>
        <w:rPr>
          <w:rFonts w:hint="eastAsia"/>
          <w:sz w:val="30"/>
          <w:szCs w:val="30"/>
        </w:rPr>
        <w:t>1</w:t>
      </w:r>
      <w:r>
        <w:rPr>
          <w:rFonts w:hint="eastAsia"/>
          <w:sz w:val="30"/>
          <w:szCs w:val="30"/>
        </w:rPr>
        <w:t>书面证言未经本人出庭核实，本院对其真实性不予认可；证据</w:t>
      </w:r>
      <w:r>
        <w:rPr>
          <w:rFonts w:hint="eastAsia"/>
          <w:sz w:val="30"/>
          <w:szCs w:val="30"/>
        </w:rPr>
        <w:t>2</w:t>
      </w:r>
      <w:r>
        <w:rPr>
          <w:rFonts w:hint="eastAsia"/>
          <w:sz w:val="30"/>
          <w:szCs w:val="30"/>
        </w:rPr>
        <w:t>系电子打印的证据，无法对其真实性予以确认，故本院对证据</w:t>
      </w:r>
      <w:r>
        <w:rPr>
          <w:rFonts w:hint="eastAsia"/>
          <w:sz w:val="30"/>
          <w:szCs w:val="30"/>
        </w:rPr>
        <w:t>2</w:t>
      </w:r>
      <w:r>
        <w:rPr>
          <w:rFonts w:hint="eastAsia"/>
          <w:sz w:val="30"/>
          <w:szCs w:val="30"/>
        </w:rPr>
        <w:t>的真实性不予认可。</w:t>
      </w:r>
    </w:p>
    <w:p w:rsidR="00000000" w:rsidRDefault="00E96CFA">
      <w:pPr>
        <w:spacing w:line="500" w:lineRule="atLeast"/>
        <w:ind w:firstLine="600"/>
        <w:divId w:val="304893183"/>
        <w:rPr>
          <w:rFonts w:hint="eastAsia"/>
          <w:sz w:val="30"/>
          <w:szCs w:val="30"/>
        </w:rPr>
      </w:pPr>
      <w:r>
        <w:rPr>
          <w:rFonts w:hint="eastAsia"/>
          <w:sz w:val="30"/>
          <w:szCs w:val="30"/>
        </w:rPr>
        <w:t>本院二审期间依法补充查明以下事实：经庭审询问，张言志称朗易酩庄公司不设董事会，蒋×是执行董事和经理，张言志是监事，但张言志并未实际履行监事职责，其负责的是朗易酩庄公司的业务板块。</w:t>
      </w:r>
    </w:p>
    <w:p w:rsidR="00000000" w:rsidRDefault="00E96CFA">
      <w:pPr>
        <w:spacing w:line="500" w:lineRule="atLeast"/>
        <w:ind w:firstLine="600"/>
        <w:divId w:val="1969511046"/>
        <w:rPr>
          <w:rFonts w:hint="eastAsia"/>
          <w:sz w:val="30"/>
          <w:szCs w:val="30"/>
        </w:rPr>
      </w:pPr>
      <w:r>
        <w:rPr>
          <w:rFonts w:hint="eastAsia"/>
          <w:sz w:val="30"/>
          <w:szCs w:val="30"/>
        </w:rPr>
        <w:t>关于合同的履行情况，朗易酩庄公司与德生源智公司签订《产品经销合同》后，该合同并未实际履行，朗易酩庄公司未进口涉诉葡萄酒，本案涉诉葡萄酒是张言志以酒易酩庄公司的名义进口的。</w:t>
      </w:r>
    </w:p>
    <w:p w:rsidR="00000000" w:rsidRDefault="00E96CFA">
      <w:pPr>
        <w:spacing w:line="500" w:lineRule="atLeast"/>
        <w:ind w:firstLine="600"/>
        <w:divId w:val="1623028796"/>
        <w:rPr>
          <w:rFonts w:hint="eastAsia"/>
          <w:sz w:val="30"/>
          <w:szCs w:val="30"/>
        </w:rPr>
      </w:pPr>
      <w:r>
        <w:rPr>
          <w:rFonts w:hint="eastAsia"/>
          <w:sz w:val="30"/>
          <w:szCs w:val="30"/>
        </w:rPr>
        <w:t>关于涉诉葡萄酒的利润，张言志认可按照《产品经销合同》附件二中约定的标准计算，利润共计</w:t>
      </w:r>
      <w:r>
        <w:rPr>
          <w:rFonts w:hint="eastAsia"/>
          <w:sz w:val="30"/>
          <w:szCs w:val="30"/>
        </w:rPr>
        <w:t>15</w:t>
      </w:r>
      <w:r>
        <w:rPr>
          <w:rFonts w:hint="eastAsia"/>
          <w:sz w:val="30"/>
          <w:szCs w:val="30"/>
        </w:rPr>
        <w:t>万元，但主张即便认定张言志应返还利润，也应在</w:t>
      </w:r>
      <w:r>
        <w:rPr>
          <w:rFonts w:hint="eastAsia"/>
          <w:sz w:val="30"/>
          <w:szCs w:val="30"/>
        </w:rPr>
        <w:t>15</w:t>
      </w:r>
      <w:r>
        <w:rPr>
          <w:rFonts w:hint="eastAsia"/>
          <w:sz w:val="30"/>
          <w:szCs w:val="30"/>
        </w:rPr>
        <w:t>万元基础上扣除</w:t>
      </w:r>
      <w:r>
        <w:rPr>
          <w:rFonts w:hint="eastAsia"/>
          <w:sz w:val="30"/>
          <w:szCs w:val="30"/>
        </w:rPr>
        <w:t>2.5%</w:t>
      </w:r>
      <w:r>
        <w:rPr>
          <w:rFonts w:hint="eastAsia"/>
          <w:sz w:val="30"/>
          <w:szCs w:val="30"/>
        </w:rPr>
        <w:t>至</w:t>
      </w:r>
      <w:r>
        <w:rPr>
          <w:rFonts w:hint="eastAsia"/>
          <w:sz w:val="30"/>
          <w:szCs w:val="30"/>
        </w:rPr>
        <w:t>5%</w:t>
      </w:r>
      <w:r>
        <w:rPr>
          <w:rFonts w:hint="eastAsia"/>
          <w:sz w:val="30"/>
          <w:szCs w:val="30"/>
        </w:rPr>
        <w:t>的代理费。</w:t>
      </w:r>
    </w:p>
    <w:p w:rsidR="00000000" w:rsidRDefault="00E96CFA">
      <w:pPr>
        <w:spacing w:line="500" w:lineRule="atLeast"/>
        <w:ind w:firstLine="600"/>
        <w:divId w:val="1524325587"/>
        <w:rPr>
          <w:rFonts w:hint="eastAsia"/>
          <w:sz w:val="30"/>
          <w:szCs w:val="30"/>
        </w:rPr>
      </w:pPr>
      <w:r>
        <w:rPr>
          <w:rFonts w:hint="eastAsia"/>
          <w:sz w:val="30"/>
          <w:szCs w:val="30"/>
        </w:rPr>
        <w:t>关于朗易酩庄公司的具体经营范围，张言志称除营业执照上的主要经营范围之外，还包括葡萄酒进口批发业务、葡萄酒零售业务以及葡萄酒代理进口业务。</w:t>
      </w:r>
    </w:p>
    <w:p w:rsidR="00000000" w:rsidRDefault="00E96CFA">
      <w:pPr>
        <w:spacing w:line="500" w:lineRule="atLeast"/>
        <w:ind w:firstLine="600"/>
        <w:divId w:val="611977778"/>
        <w:rPr>
          <w:rFonts w:hint="eastAsia"/>
          <w:sz w:val="30"/>
          <w:szCs w:val="30"/>
        </w:rPr>
      </w:pPr>
      <w:r>
        <w:rPr>
          <w:rFonts w:hint="eastAsia"/>
          <w:sz w:val="30"/>
          <w:szCs w:val="30"/>
        </w:rPr>
        <w:t>本院对一审查明的其他事实予</w:t>
      </w:r>
      <w:r>
        <w:rPr>
          <w:rFonts w:hint="eastAsia"/>
          <w:sz w:val="30"/>
          <w:szCs w:val="30"/>
        </w:rPr>
        <w:t>以确认。</w:t>
      </w:r>
    </w:p>
    <w:p w:rsidR="00000000" w:rsidRDefault="00E96CFA">
      <w:pPr>
        <w:spacing w:line="500" w:lineRule="atLeast"/>
        <w:ind w:firstLine="600"/>
        <w:divId w:val="416488311"/>
        <w:rPr>
          <w:rFonts w:hint="eastAsia"/>
          <w:sz w:val="30"/>
          <w:szCs w:val="30"/>
        </w:rPr>
      </w:pPr>
      <w:r>
        <w:rPr>
          <w:rFonts w:hint="eastAsia"/>
          <w:sz w:val="30"/>
          <w:szCs w:val="30"/>
        </w:rPr>
        <w:t>本院认为，根据我国《公司法》的相关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本案中，张言志称其并非朗易酩庄公司的高级管理人员，亦未违反忠实义务剥夺朗易酩庄公司的商业机会，则本案的争议焦点为：</w:t>
      </w:r>
      <w:r>
        <w:rPr>
          <w:rFonts w:hint="eastAsia"/>
          <w:sz w:val="30"/>
          <w:szCs w:val="30"/>
        </w:rPr>
        <w:t>1.</w:t>
      </w:r>
      <w:r>
        <w:rPr>
          <w:rFonts w:hint="eastAsia"/>
          <w:sz w:val="30"/>
          <w:szCs w:val="30"/>
        </w:rPr>
        <w:t>张言志是否属于朗易酩庄公司的高级管理人员；</w:t>
      </w:r>
      <w:r>
        <w:rPr>
          <w:rFonts w:hint="eastAsia"/>
          <w:sz w:val="30"/>
          <w:szCs w:val="30"/>
        </w:rPr>
        <w:t>2.</w:t>
      </w:r>
      <w:r>
        <w:rPr>
          <w:rFonts w:hint="eastAsia"/>
          <w:sz w:val="30"/>
          <w:szCs w:val="30"/>
        </w:rPr>
        <w:t>张言志是否违反了《公司法》规定的忠实义务；</w:t>
      </w:r>
      <w:r>
        <w:rPr>
          <w:rFonts w:hint="eastAsia"/>
          <w:sz w:val="30"/>
          <w:szCs w:val="30"/>
        </w:rPr>
        <w:t>3.</w:t>
      </w:r>
      <w:r>
        <w:rPr>
          <w:rFonts w:hint="eastAsia"/>
          <w:sz w:val="30"/>
          <w:szCs w:val="30"/>
        </w:rPr>
        <w:t>张言志是否应当向朗易酩庄公司返还利润。</w:t>
      </w:r>
    </w:p>
    <w:p w:rsidR="00000000" w:rsidRDefault="00E96CFA">
      <w:pPr>
        <w:spacing w:line="500" w:lineRule="atLeast"/>
        <w:ind w:firstLine="600"/>
        <w:divId w:val="753864963"/>
        <w:rPr>
          <w:rFonts w:hint="eastAsia"/>
          <w:sz w:val="30"/>
          <w:szCs w:val="30"/>
        </w:rPr>
      </w:pPr>
      <w:r>
        <w:rPr>
          <w:rFonts w:hint="eastAsia"/>
          <w:sz w:val="30"/>
          <w:szCs w:val="30"/>
        </w:rPr>
        <w:t>一、关于张</w:t>
      </w:r>
      <w:r>
        <w:rPr>
          <w:rFonts w:hint="eastAsia"/>
          <w:sz w:val="30"/>
          <w:szCs w:val="30"/>
        </w:rPr>
        <w:t>言志是否属于朗易酩庄公司的高级管理人员。张言志称其为朗易酩庄公司的监事，根据法律规定，高级管理人员与其监事的身份相违背，故其不属于朗易酩庄公司的高级管理人员。本院认为，《公司法》第二百一十六条第（一）项规定：“高级管理人员，是指公司的经理、副经理、财务负责人，上市公司董事会秘书和公司章程规定的其他人员。”张言志是否属于朗易酩庄公司的高级管理人员，应当从以下两个方面认定：第一，虽然朗易酩庄公司的工商登记信息显示张言志为监事，但经庭审询问，张言志称其在朗易酩庄公司未实际履行监事职责，具体负责业务板块。故不能仅以</w:t>
      </w:r>
      <w:r>
        <w:rPr>
          <w:rFonts w:hint="eastAsia"/>
          <w:sz w:val="30"/>
          <w:szCs w:val="30"/>
        </w:rPr>
        <w:t>工商登记的信息即认定其是否为高级管理人员。第二，关于张言志的具体岗位职责，蒋×与张言志签订的《合作协议书》对此进行了约定，其中包括“乙方负责进酒工作，乙方所进葡萄酒应当适合中国市场的口味和适合中国市场的营销价格；乙方担任董事长职务，公司不向乙方支付工资；所有的酒进入朗易酩庄公司必须有张言志认证证明；乙方负责朗易酩庄公司所有人员的技术培训……”。张言志认可朗易酩庄公司的经营范围包括葡萄酒进口业务，张言志作为朗易酩庄公司的两个股东之一，负责进口葡萄酒、培训公司所有人员等重要事项，实际上符合高级管理人员的职责。综</w:t>
      </w:r>
      <w:r>
        <w:rPr>
          <w:rFonts w:hint="eastAsia"/>
          <w:sz w:val="30"/>
          <w:szCs w:val="30"/>
        </w:rPr>
        <w:t>上，从张言志的具体职务来看，张言志属于朗易酩庄公司的高级管理人员。一审法院认定正确，本院予以确认。</w:t>
      </w:r>
    </w:p>
    <w:p w:rsidR="00000000" w:rsidRDefault="00E96CFA">
      <w:pPr>
        <w:spacing w:line="500" w:lineRule="atLeast"/>
        <w:ind w:firstLine="600"/>
        <w:divId w:val="758675049"/>
        <w:rPr>
          <w:rFonts w:hint="eastAsia"/>
          <w:sz w:val="30"/>
          <w:szCs w:val="30"/>
        </w:rPr>
      </w:pPr>
      <w:r>
        <w:rPr>
          <w:rFonts w:hint="eastAsia"/>
          <w:sz w:val="30"/>
          <w:szCs w:val="30"/>
        </w:rPr>
        <w:t>二、关于张言志是否违反法律规定的忠实义务。《公司法》第一百四十七条规定：“董事、监事、高级管理人员应当遵守法律、行政法规和公司章程，对公司负有忠实义务和勤勉义务。”第一百四十八条第一款第（五）项规定：“董事、高级管理人员不得有下列行为：未经股东会或股东大会同意，利用职务便利为自己或者他人谋取属于公司的商业机会，自营或者为他人经营与所任职公司同类的业务。”本案中，根据查明的事实，张言志同时为酒易酩庄公司的股东且</w:t>
      </w:r>
      <w:r>
        <w:rPr>
          <w:rFonts w:hint="eastAsia"/>
          <w:sz w:val="30"/>
          <w:szCs w:val="30"/>
        </w:rPr>
        <w:t>为酒易酩庄公司的法定代表人。在朗易酩庄公司与德生源智公司签订《产品经销合同》后，双方并未实际履行该合同，相反，张言志以酒易酩庄公司的名义向德生源智公司提供了进酒服务并收取了相关货款，其所进葡萄酒的时间、种类、产地、单价、数量、总价均与《产品经销合同》一致，致使其所在的朗易酩庄公司失去了该次商业机会。张言志作为负责进酒工作的高级管理人员，其行为违背了《公司法》规定的忠实义务，给朗易酩庄公司造成了损失。一审法院对此认定正确，本院予以确认。</w:t>
      </w:r>
    </w:p>
    <w:p w:rsidR="00000000" w:rsidRDefault="00E96CFA">
      <w:pPr>
        <w:spacing w:line="500" w:lineRule="atLeast"/>
        <w:ind w:firstLine="600"/>
        <w:divId w:val="1107851115"/>
        <w:rPr>
          <w:rFonts w:hint="eastAsia"/>
          <w:sz w:val="30"/>
          <w:szCs w:val="30"/>
        </w:rPr>
      </w:pPr>
      <w:r>
        <w:rPr>
          <w:rFonts w:hint="eastAsia"/>
          <w:sz w:val="30"/>
          <w:szCs w:val="30"/>
        </w:rPr>
        <w:t>三、关于张言志是否应当向朗易酩庄公司返还利润。根据上述认定的事实，张言志</w:t>
      </w:r>
      <w:r>
        <w:rPr>
          <w:rFonts w:hint="eastAsia"/>
          <w:sz w:val="30"/>
          <w:szCs w:val="30"/>
        </w:rPr>
        <w:t>作为朗易酩庄公司的高级管理人员，违背了法律规定的忠实义务，给朗易酩庄公司造成了利润损失。《公司法》第一百四十八条第二款规定：“董事、高级管理人员违反前款规定所得的收入应当归公司所有。”因张言志认可按照《产品经销合同》附件二规定的标准计算利润，并称根据该标准计算的利润为</w:t>
      </w:r>
      <w:r>
        <w:rPr>
          <w:rFonts w:hint="eastAsia"/>
          <w:sz w:val="30"/>
          <w:szCs w:val="30"/>
        </w:rPr>
        <w:t>15</w:t>
      </w:r>
      <w:r>
        <w:rPr>
          <w:rFonts w:hint="eastAsia"/>
          <w:sz w:val="30"/>
          <w:szCs w:val="30"/>
        </w:rPr>
        <w:t>万元，但需扣除</w:t>
      </w:r>
      <w:r>
        <w:rPr>
          <w:rFonts w:hint="eastAsia"/>
          <w:sz w:val="30"/>
          <w:szCs w:val="30"/>
        </w:rPr>
        <w:t>2.5%</w:t>
      </w:r>
      <w:r>
        <w:rPr>
          <w:rFonts w:hint="eastAsia"/>
          <w:sz w:val="30"/>
          <w:szCs w:val="30"/>
        </w:rPr>
        <w:t>至</w:t>
      </w:r>
      <w:r>
        <w:rPr>
          <w:rFonts w:hint="eastAsia"/>
          <w:sz w:val="30"/>
          <w:szCs w:val="30"/>
        </w:rPr>
        <w:t>5%</w:t>
      </w:r>
      <w:r>
        <w:rPr>
          <w:rFonts w:hint="eastAsia"/>
          <w:sz w:val="30"/>
          <w:szCs w:val="30"/>
        </w:rPr>
        <w:t>的代理费。现张言志未能举证证明扣除代理费的相关依据，故张言志应当向朗易酩庄公司返还利润</w:t>
      </w:r>
      <w:r>
        <w:rPr>
          <w:rFonts w:hint="eastAsia"/>
          <w:sz w:val="30"/>
          <w:szCs w:val="30"/>
        </w:rPr>
        <w:t>15</w:t>
      </w:r>
      <w:r>
        <w:rPr>
          <w:rFonts w:hint="eastAsia"/>
          <w:sz w:val="30"/>
          <w:szCs w:val="30"/>
        </w:rPr>
        <w:t>万元。一审法院对此认定正确，本院予以确认。</w:t>
      </w:r>
    </w:p>
    <w:p w:rsidR="00000000" w:rsidRDefault="00E96CFA">
      <w:pPr>
        <w:spacing w:line="500" w:lineRule="atLeast"/>
        <w:ind w:firstLine="600"/>
        <w:divId w:val="1741781333"/>
        <w:rPr>
          <w:rFonts w:hint="eastAsia"/>
          <w:sz w:val="30"/>
          <w:szCs w:val="30"/>
        </w:rPr>
      </w:pPr>
      <w:r>
        <w:rPr>
          <w:rFonts w:hint="eastAsia"/>
          <w:sz w:val="30"/>
          <w:szCs w:val="30"/>
        </w:rPr>
        <w:t>综上所述，张言志的上诉请求不能成立，应予驳回；一审判决认定事实清楚，适用法律正</w:t>
      </w:r>
      <w:r>
        <w:rPr>
          <w:rFonts w:hint="eastAsia"/>
          <w:sz w:val="30"/>
          <w:szCs w:val="30"/>
        </w:rPr>
        <w:t>确，应予维持。依照《中华人民共和国民事诉讼法》第一百七十条第一款第（一）项规定，判决如下：</w:t>
      </w:r>
    </w:p>
    <w:p w:rsidR="00000000" w:rsidRDefault="00E96CFA">
      <w:pPr>
        <w:spacing w:line="500" w:lineRule="atLeast"/>
        <w:ind w:firstLine="600"/>
        <w:divId w:val="1384866615"/>
        <w:rPr>
          <w:rFonts w:hint="eastAsia"/>
          <w:sz w:val="30"/>
          <w:szCs w:val="30"/>
        </w:rPr>
      </w:pPr>
      <w:r>
        <w:rPr>
          <w:rFonts w:hint="eastAsia"/>
          <w:sz w:val="30"/>
          <w:szCs w:val="30"/>
        </w:rPr>
        <w:t>驳回上诉，维持原判。</w:t>
      </w:r>
    </w:p>
    <w:p w:rsidR="00000000" w:rsidRDefault="00E96CFA">
      <w:pPr>
        <w:spacing w:line="500" w:lineRule="atLeast"/>
        <w:ind w:firstLine="600"/>
        <w:divId w:val="1412502271"/>
        <w:rPr>
          <w:rFonts w:hint="eastAsia"/>
          <w:sz w:val="30"/>
          <w:szCs w:val="30"/>
        </w:rPr>
      </w:pPr>
      <w:r>
        <w:rPr>
          <w:rFonts w:hint="eastAsia"/>
          <w:sz w:val="30"/>
          <w:szCs w:val="30"/>
        </w:rPr>
        <w:t>二审案件受理费</w:t>
      </w:r>
      <w:r>
        <w:rPr>
          <w:rFonts w:hint="eastAsia"/>
          <w:sz w:val="30"/>
          <w:szCs w:val="30"/>
        </w:rPr>
        <w:t>3300</w:t>
      </w:r>
      <w:r>
        <w:rPr>
          <w:rFonts w:hint="eastAsia"/>
          <w:sz w:val="30"/>
          <w:szCs w:val="30"/>
        </w:rPr>
        <w:t>元，由张言志负担（已交纳）。</w:t>
      </w:r>
    </w:p>
    <w:p w:rsidR="00000000" w:rsidRDefault="00E96CFA">
      <w:pPr>
        <w:spacing w:line="500" w:lineRule="atLeast"/>
        <w:ind w:firstLine="600"/>
        <w:divId w:val="1079137951"/>
        <w:rPr>
          <w:rFonts w:hint="eastAsia"/>
          <w:sz w:val="30"/>
          <w:szCs w:val="30"/>
        </w:rPr>
      </w:pPr>
      <w:r>
        <w:rPr>
          <w:rFonts w:hint="eastAsia"/>
          <w:sz w:val="30"/>
          <w:szCs w:val="30"/>
        </w:rPr>
        <w:t>本判决为终审判决。</w:t>
      </w:r>
    </w:p>
    <w:p w:rsidR="00000000" w:rsidRDefault="00E96CFA">
      <w:pPr>
        <w:spacing w:line="500" w:lineRule="atLeast"/>
        <w:jc w:val="right"/>
        <w:divId w:val="1119488368"/>
        <w:rPr>
          <w:rFonts w:hint="eastAsia"/>
          <w:sz w:val="30"/>
          <w:szCs w:val="30"/>
        </w:rPr>
      </w:pPr>
      <w:r>
        <w:rPr>
          <w:rFonts w:hint="eastAsia"/>
          <w:sz w:val="30"/>
          <w:szCs w:val="30"/>
        </w:rPr>
        <w:t>审　判　长　侯　军</w:t>
      </w:r>
    </w:p>
    <w:p w:rsidR="00000000" w:rsidRDefault="00E96CFA">
      <w:pPr>
        <w:spacing w:line="500" w:lineRule="atLeast"/>
        <w:jc w:val="right"/>
        <w:divId w:val="340857815"/>
        <w:rPr>
          <w:rFonts w:hint="eastAsia"/>
          <w:sz w:val="30"/>
          <w:szCs w:val="30"/>
        </w:rPr>
      </w:pPr>
      <w:r>
        <w:rPr>
          <w:rFonts w:hint="eastAsia"/>
          <w:sz w:val="30"/>
          <w:szCs w:val="30"/>
        </w:rPr>
        <w:t xml:space="preserve">代理审判员　　　　</w:t>
      </w:r>
    </w:p>
    <w:p w:rsidR="00000000" w:rsidRDefault="00E96CFA">
      <w:pPr>
        <w:spacing w:line="500" w:lineRule="atLeast"/>
        <w:jc w:val="right"/>
        <w:divId w:val="789201744"/>
        <w:rPr>
          <w:rFonts w:hint="eastAsia"/>
          <w:sz w:val="30"/>
          <w:szCs w:val="30"/>
        </w:rPr>
      </w:pPr>
      <w:r>
        <w:rPr>
          <w:rFonts w:hint="eastAsia"/>
          <w:sz w:val="30"/>
          <w:szCs w:val="30"/>
        </w:rPr>
        <w:t>郑慧媛</w:t>
      </w:r>
    </w:p>
    <w:p w:rsidR="00000000" w:rsidRDefault="00E96CFA">
      <w:pPr>
        <w:spacing w:line="500" w:lineRule="atLeast"/>
        <w:jc w:val="right"/>
        <w:divId w:val="1830320035"/>
        <w:rPr>
          <w:rFonts w:hint="eastAsia"/>
          <w:sz w:val="30"/>
          <w:szCs w:val="30"/>
        </w:rPr>
      </w:pPr>
      <w:r>
        <w:rPr>
          <w:rFonts w:hint="eastAsia"/>
          <w:sz w:val="30"/>
          <w:szCs w:val="30"/>
        </w:rPr>
        <w:t xml:space="preserve">代理审判员　　　　</w:t>
      </w:r>
    </w:p>
    <w:p w:rsidR="00000000" w:rsidRDefault="00E96CFA">
      <w:pPr>
        <w:spacing w:line="500" w:lineRule="atLeast"/>
        <w:jc w:val="right"/>
        <w:divId w:val="1706902699"/>
        <w:rPr>
          <w:rFonts w:hint="eastAsia"/>
          <w:sz w:val="30"/>
          <w:szCs w:val="30"/>
        </w:rPr>
      </w:pPr>
      <w:r>
        <w:rPr>
          <w:rFonts w:hint="eastAsia"/>
          <w:sz w:val="30"/>
          <w:szCs w:val="30"/>
        </w:rPr>
        <w:t>孙承松</w:t>
      </w:r>
    </w:p>
    <w:p w:rsidR="00000000" w:rsidRDefault="00E96CFA">
      <w:pPr>
        <w:spacing w:line="500" w:lineRule="atLeast"/>
        <w:jc w:val="right"/>
        <w:divId w:val="37359632"/>
        <w:rPr>
          <w:rFonts w:hint="eastAsia"/>
          <w:sz w:val="30"/>
          <w:szCs w:val="30"/>
        </w:rPr>
      </w:pPr>
      <w:r>
        <w:rPr>
          <w:rFonts w:hint="eastAsia"/>
          <w:sz w:val="30"/>
          <w:szCs w:val="30"/>
        </w:rPr>
        <w:t>二〇一六年十二月二十一日</w:t>
      </w:r>
    </w:p>
    <w:p w:rsidR="00000000" w:rsidRDefault="00E96CFA">
      <w:pPr>
        <w:spacing w:line="500" w:lineRule="atLeast"/>
        <w:jc w:val="right"/>
        <w:divId w:val="961152076"/>
        <w:rPr>
          <w:rFonts w:hint="eastAsia"/>
          <w:sz w:val="30"/>
          <w:szCs w:val="30"/>
        </w:rPr>
      </w:pPr>
      <w:r>
        <w:rPr>
          <w:rFonts w:hint="eastAsia"/>
          <w:sz w:val="30"/>
          <w:szCs w:val="30"/>
        </w:rPr>
        <w:t>书　记　员　陈　萌</w:t>
      </w:r>
    </w:p>
    <w:p w:rsidR="00000000" w:rsidRDefault="00E96CFA">
      <w:pPr>
        <w:spacing w:line="500" w:lineRule="atLeast"/>
        <w:jc w:val="right"/>
        <w:divId w:val="1369181168"/>
        <w:rPr>
          <w:rFonts w:hint="eastAsia"/>
          <w:sz w:val="30"/>
          <w:szCs w:val="30"/>
        </w:rPr>
      </w:pPr>
      <w:r>
        <w:rPr>
          <w:rFonts w:hint="eastAsia"/>
          <w:sz w:val="30"/>
          <w:szCs w:val="30"/>
        </w:rPr>
        <w:t>书　记　员　夏海曼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CFA" w:rsidRDefault="00E96CFA" w:rsidP="00E96CFA">
      <w:r>
        <w:separator/>
      </w:r>
    </w:p>
  </w:endnote>
  <w:endnote w:type="continuationSeparator" w:id="0">
    <w:p w:rsidR="00E96CFA" w:rsidRDefault="00E96CFA" w:rsidP="00E9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CFA" w:rsidRDefault="00E96CFA" w:rsidP="00E96CFA">
      <w:r>
        <w:separator/>
      </w:r>
    </w:p>
  </w:footnote>
  <w:footnote w:type="continuationSeparator" w:id="0">
    <w:p w:rsidR="00E96CFA" w:rsidRDefault="00E96CFA" w:rsidP="00E96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96CFA"/>
    <w:rsid w:val="00E9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E96C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96CFA"/>
    <w:rPr>
      <w:rFonts w:ascii="宋体" w:eastAsia="宋体" w:hAnsi="宋体" w:cs="宋体"/>
      <w:sz w:val="18"/>
      <w:szCs w:val="18"/>
    </w:rPr>
  </w:style>
  <w:style w:type="paragraph" w:styleId="a6">
    <w:name w:val="footer"/>
    <w:basedOn w:val="a"/>
    <w:link w:val="a7"/>
    <w:uiPriority w:val="99"/>
    <w:unhideWhenUsed/>
    <w:rsid w:val="00E96CFA"/>
    <w:pPr>
      <w:tabs>
        <w:tab w:val="center" w:pos="4153"/>
        <w:tab w:val="right" w:pos="8306"/>
      </w:tabs>
      <w:snapToGrid w:val="0"/>
    </w:pPr>
    <w:rPr>
      <w:sz w:val="18"/>
      <w:szCs w:val="18"/>
    </w:rPr>
  </w:style>
  <w:style w:type="character" w:customStyle="1" w:styleId="a7">
    <w:name w:val="页脚 字符"/>
    <w:basedOn w:val="a0"/>
    <w:link w:val="a6"/>
    <w:uiPriority w:val="99"/>
    <w:rsid w:val="00E96CF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632">
      <w:marLeft w:val="0"/>
      <w:marRight w:val="720"/>
      <w:marTop w:val="10"/>
      <w:marBottom w:val="10"/>
      <w:divBdr>
        <w:top w:val="none" w:sz="0" w:space="0" w:color="auto"/>
        <w:left w:val="none" w:sz="0" w:space="0" w:color="auto"/>
        <w:bottom w:val="none" w:sz="0" w:space="0" w:color="auto"/>
        <w:right w:val="none" w:sz="0" w:space="0" w:color="auto"/>
      </w:divBdr>
    </w:div>
    <w:div w:id="125510251">
      <w:marLeft w:val="0"/>
      <w:marRight w:val="0"/>
      <w:marTop w:val="10"/>
      <w:marBottom w:val="10"/>
      <w:divBdr>
        <w:top w:val="none" w:sz="0" w:space="0" w:color="auto"/>
        <w:left w:val="none" w:sz="0" w:space="0" w:color="auto"/>
        <w:bottom w:val="none" w:sz="0" w:space="0" w:color="auto"/>
        <w:right w:val="none" w:sz="0" w:space="0" w:color="auto"/>
      </w:divBdr>
    </w:div>
    <w:div w:id="152331452">
      <w:marLeft w:val="0"/>
      <w:marRight w:val="0"/>
      <w:marTop w:val="10"/>
      <w:marBottom w:val="10"/>
      <w:divBdr>
        <w:top w:val="none" w:sz="0" w:space="0" w:color="auto"/>
        <w:left w:val="none" w:sz="0" w:space="0" w:color="auto"/>
        <w:bottom w:val="none" w:sz="0" w:space="0" w:color="auto"/>
        <w:right w:val="none" w:sz="0" w:space="0" w:color="auto"/>
      </w:divBdr>
    </w:div>
    <w:div w:id="304893183">
      <w:marLeft w:val="0"/>
      <w:marRight w:val="0"/>
      <w:marTop w:val="10"/>
      <w:marBottom w:val="10"/>
      <w:divBdr>
        <w:top w:val="none" w:sz="0" w:space="0" w:color="auto"/>
        <w:left w:val="none" w:sz="0" w:space="0" w:color="auto"/>
        <w:bottom w:val="none" w:sz="0" w:space="0" w:color="auto"/>
        <w:right w:val="none" w:sz="0" w:space="0" w:color="auto"/>
      </w:divBdr>
    </w:div>
    <w:div w:id="340857815">
      <w:marLeft w:val="0"/>
      <w:marRight w:val="720"/>
      <w:marTop w:val="10"/>
      <w:marBottom w:val="10"/>
      <w:divBdr>
        <w:top w:val="none" w:sz="0" w:space="0" w:color="auto"/>
        <w:left w:val="none" w:sz="0" w:space="0" w:color="auto"/>
        <w:bottom w:val="none" w:sz="0" w:space="0" w:color="auto"/>
        <w:right w:val="none" w:sz="0" w:space="0" w:color="auto"/>
      </w:divBdr>
    </w:div>
    <w:div w:id="400641100">
      <w:marLeft w:val="0"/>
      <w:marRight w:val="0"/>
      <w:marTop w:val="10"/>
      <w:marBottom w:val="10"/>
      <w:divBdr>
        <w:top w:val="none" w:sz="0" w:space="0" w:color="auto"/>
        <w:left w:val="none" w:sz="0" w:space="0" w:color="auto"/>
        <w:bottom w:val="none" w:sz="0" w:space="0" w:color="auto"/>
        <w:right w:val="none" w:sz="0" w:space="0" w:color="auto"/>
      </w:divBdr>
    </w:div>
    <w:div w:id="416488311">
      <w:marLeft w:val="0"/>
      <w:marRight w:val="0"/>
      <w:marTop w:val="10"/>
      <w:marBottom w:val="10"/>
      <w:divBdr>
        <w:top w:val="none" w:sz="0" w:space="0" w:color="auto"/>
        <w:left w:val="none" w:sz="0" w:space="0" w:color="auto"/>
        <w:bottom w:val="none" w:sz="0" w:space="0" w:color="auto"/>
        <w:right w:val="none" w:sz="0" w:space="0" w:color="auto"/>
      </w:divBdr>
    </w:div>
    <w:div w:id="438992614">
      <w:marLeft w:val="0"/>
      <w:marRight w:val="0"/>
      <w:marTop w:val="10"/>
      <w:marBottom w:val="10"/>
      <w:divBdr>
        <w:top w:val="none" w:sz="0" w:space="0" w:color="auto"/>
        <w:left w:val="none" w:sz="0" w:space="0" w:color="auto"/>
        <w:bottom w:val="none" w:sz="0" w:space="0" w:color="auto"/>
        <w:right w:val="none" w:sz="0" w:space="0" w:color="auto"/>
      </w:divBdr>
    </w:div>
    <w:div w:id="510723324">
      <w:marLeft w:val="0"/>
      <w:marRight w:val="0"/>
      <w:marTop w:val="10"/>
      <w:marBottom w:val="10"/>
      <w:divBdr>
        <w:top w:val="none" w:sz="0" w:space="0" w:color="auto"/>
        <w:left w:val="none" w:sz="0" w:space="0" w:color="auto"/>
        <w:bottom w:val="none" w:sz="0" w:space="0" w:color="auto"/>
        <w:right w:val="none" w:sz="0" w:space="0" w:color="auto"/>
      </w:divBdr>
    </w:div>
    <w:div w:id="611977778">
      <w:marLeft w:val="0"/>
      <w:marRight w:val="0"/>
      <w:marTop w:val="10"/>
      <w:marBottom w:val="10"/>
      <w:divBdr>
        <w:top w:val="none" w:sz="0" w:space="0" w:color="auto"/>
        <w:left w:val="none" w:sz="0" w:space="0" w:color="auto"/>
        <w:bottom w:val="none" w:sz="0" w:space="0" w:color="auto"/>
        <w:right w:val="none" w:sz="0" w:space="0" w:color="auto"/>
      </w:divBdr>
    </w:div>
    <w:div w:id="619385608">
      <w:marLeft w:val="0"/>
      <w:marRight w:val="0"/>
      <w:marTop w:val="10"/>
      <w:marBottom w:val="10"/>
      <w:divBdr>
        <w:top w:val="none" w:sz="0" w:space="0" w:color="auto"/>
        <w:left w:val="none" w:sz="0" w:space="0" w:color="auto"/>
        <w:bottom w:val="none" w:sz="0" w:space="0" w:color="auto"/>
        <w:right w:val="none" w:sz="0" w:space="0" w:color="auto"/>
      </w:divBdr>
    </w:div>
    <w:div w:id="629476360">
      <w:marLeft w:val="0"/>
      <w:marRight w:val="0"/>
      <w:marTop w:val="10"/>
      <w:marBottom w:val="10"/>
      <w:divBdr>
        <w:top w:val="none" w:sz="0" w:space="0" w:color="auto"/>
        <w:left w:val="none" w:sz="0" w:space="0" w:color="auto"/>
        <w:bottom w:val="none" w:sz="0" w:space="0" w:color="auto"/>
        <w:right w:val="none" w:sz="0" w:space="0" w:color="auto"/>
      </w:divBdr>
    </w:div>
    <w:div w:id="753864963">
      <w:marLeft w:val="0"/>
      <w:marRight w:val="0"/>
      <w:marTop w:val="10"/>
      <w:marBottom w:val="10"/>
      <w:divBdr>
        <w:top w:val="none" w:sz="0" w:space="0" w:color="auto"/>
        <w:left w:val="none" w:sz="0" w:space="0" w:color="auto"/>
        <w:bottom w:val="none" w:sz="0" w:space="0" w:color="auto"/>
        <w:right w:val="none" w:sz="0" w:space="0" w:color="auto"/>
      </w:divBdr>
    </w:div>
    <w:div w:id="756906438">
      <w:marLeft w:val="0"/>
      <w:marRight w:val="0"/>
      <w:marTop w:val="10"/>
      <w:marBottom w:val="10"/>
      <w:divBdr>
        <w:top w:val="none" w:sz="0" w:space="0" w:color="auto"/>
        <w:left w:val="none" w:sz="0" w:space="0" w:color="auto"/>
        <w:bottom w:val="none" w:sz="0" w:space="0" w:color="auto"/>
        <w:right w:val="none" w:sz="0" w:space="0" w:color="auto"/>
      </w:divBdr>
    </w:div>
    <w:div w:id="758675049">
      <w:marLeft w:val="0"/>
      <w:marRight w:val="0"/>
      <w:marTop w:val="10"/>
      <w:marBottom w:val="10"/>
      <w:divBdr>
        <w:top w:val="none" w:sz="0" w:space="0" w:color="auto"/>
        <w:left w:val="none" w:sz="0" w:space="0" w:color="auto"/>
        <w:bottom w:val="none" w:sz="0" w:space="0" w:color="auto"/>
        <w:right w:val="none" w:sz="0" w:space="0" w:color="auto"/>
      </w:divBdr>
    </w:div>
    <w:div w:id="789201744">
      <w:marLeft w:val="0"/>
      <w:marRight w:val="720"/>
      <w:marTop w:val="10"/>
      <w:marBottom w:val="10"/>
      <w:divBdr>
        <w:top w:val="none" w:sz="0" w:space="0" w:color="auto"/>
        <w:left w:val="none" w:sz="0" w:space="0" w:color="auto"/>
        <w:bottom w:val="none" w:sz="0" w:space="0" w:color="auto"/>
        <w:right w:val="none" w:sz="0" w:space="0" w:color="auto"/>
      </w:divBdr>
    </w:div>
    <w:div w:id="839855681">
      <w:marLeft w:val="0"/>
      <w:marRight w:val="0"/>
      <w:marTop w:val="10"/>
      <w:marBottom w:val="10"/>
      <w:divBdr>
        <w:top w:val="none" w:sz="0" w:space="0" w:color="auto"/>
        <w:left w:val="none" w:sz="0" w:space="0" w:color="auto"/>
        <w:bottom w:val="none" w:sz="0" w:space="0" w:color="auto"/>
        <w:right w:val="none" w:sz="0" w:space="0" w:color="auto"/>
      </w:divBdr>
    </w:div>
    <w:div w:id="845094650">
      <w:marLeft w:val="0"/>
      <w:marRight w:val="0"/>
      <w:marTop w:val="10"/>
      <w:marBottom w:val="10"/>
      <w:divBdr>
        <w:top w:val="none" w:sz="0" w:space="0" w:color="auto"/>
        <w:left w:val="none" w:sz="0" w:space="0" w:color="auto"/>
        <w:bottom w:val="none" w:sz="0" w:space="0" w:color="auto"/>
        <w:right w:val="none" w:sz="0" w:space="0" w:color="auto"/>
      </w:divBdr>
    </w:div>
    <w:div w:id="854685982">
      <w:marLeft w:val="0"/>
      <w:marRight w:val="0"/>
      <w:marTop w:val="10"/>
      <w:marBottom w:val="10"/>
      <w:divBdr>
        <w:top w:val="none" w:sz="0" w:space="0" w:color="auto"/>
        <w:left w:val="none" w:sz="0" w:space="0" w:color="auto"/>
        <w:bottom w:val="none" w:sz="0" w:space="0" w:color="auto"/>
        <w:right w:val="none" w:sz="0" w:space="0" w:color="auto"/>
      </w:divBdr>
    </w:div>
    <w:div w:id="907113333">
      <w:marLeft w:val="0"/>
      <w:marRight w:val="0"/>
      <w:marTop w:val="10"/>
      <w:marBottom w:val="10"/>
      <w:divBdr>
        <w:top w:val="none" w:sz="0" w:space="0" w:color="auto"/>
        <w:left w:val="none" w:sz="0" w:space="0" w:color="auto"/>
        <w:bottom w:val="none" w:sz="0" w:space="0" w:color="auto"/>
        <w:right w:val="none" w:sz="0" w:space="0" w:color="auto"/>
      </w:divBdr>
    </w:div>
    <w:div w:id="961152076">
      <w:marLeft w:val="0"/>
      <w:marRight w:val="720"/>
      <w:marTop w:val="10"/>
      <w:marBottom w:val="10"/>
      <w:divBdr>
        <w:top w:val="none" w:sz="0" w:space="0" w:color="auto"/>
        <w:left w:val="none" w:sz="0" w:space="0" w:color="auto"/>
        <w:bottom w:val="none" w:sz="0" w:space="0" w:color="auto"/>
        <w:right w:val="none" w:sz="0" w:space="0" w:color="auto"/>
      </w:divBdr>
    </w:div>
    <w:div w:id="1034886772">
      <w:marLeft w:val="0"/>
      <w:marRight w:val="0"/>
      <w:marTop w:val="10"/>
      <w:marBottom w:val="10"/>
      <w:divBdr>
        <w:top w:val="none" w:sz="0" w:space="0" w:color="auto"/>
        <w:left w:val="none" w:sz="0" w:space="0" w:color="auto"/>
        <w:bottom w:val="none" w:sz="0" w:space="0" w:color="auto"/>
        <w:right w:val="none" w:sz="0" w:space="0" w:color="auto"/>
      </w:divBdr>
    </w:div>
    <w:div w:id="1079137951">
      <w:marLeft w:val="0"/>
      <w:marRight w:val="0"/>
      <w:marTop w:val="10"/>
      <w:marBottom w:val="10"/>
      <w:divBdr>
        <w:top w:val="none" w:sz="0" w:space="0" w:color="auto"/>
        <w:left w:val="none" w:sz="0" w:space="0" w:color="auto"/>
        <w:bottom w:val="none" w:sz="0" w:space="0" w:color="auto"/>
        <w:right w:val="none" w:sz="0" w:space="0" w:color="auto"/>
      </w:divBdr>
    </w:div>
    <w:div w:id="1107851115">
      <w:marLeft w:val="0"/>
      <w:marRight w:val="0"/>
      <w:marTop w:val="10"/>
      <w:marBottom w:val="10"/>
      <w:divBdr>
        <w:top w:val="none" w:sz="0" w:space="0" w:color="auto"/>
        <w:left w:val="none" w:sz="0" w:space="0" w:color="auto"/>
        <w:bottom w:val="none" w:sz="0" w:space="0" w:color="auto"/>
        <w:right w:val="none" w:sz="0" w:space="0" w:color="auto"/>
      </w:divBdr>
    </w:div>
    <w:div w:id="1119488368">
      <w:marLeft w:val="0"/>
      <w:marRight w:val="720"/>
      <w:marTop w:val="10"/>
      <w:marBottom w:val="10"/>
      <w:divBdr>
        <w:top w:val="none" w:sz="0" w:space="0" w:color="auto"/>
        <w:left w:val="none" w:sz="0" w:space="0" w:color="auto"/>
        <w:bottom w:val="none" w:sz="0" w:space="0" w:color="auto"/>
        <w:right w:val="none" w:sz="0" w:space="0" w:color="auto"/>
      </w:divBdr>
    </w:div>
    <w:div w:id="1191724445">
      <w:marLeft w:val="0"/>
      <w:marRight w:val="0"/>
      <w:marTop w:val="10"/>
      <w:marBottom w:val="10"/>
      <w:divBdr>
        <w:top w:val="none" w:sz="0" w:space="0" w:color="auto"/>
        <w:left w:val="none" w:sz="0" w:space="0" w:color="auto"/>
        <w:bottom w:val="none" w:sz="0" w:space="0" w:color="auto"/>
        <w:right w:val="none" w:sz="0" w:space="0" w:color="auto"/>
      </w:divBdr>
    </w:div>
    <w:div w:id="1298413303">
      <w:marLeft w:val="0"/>
      <w:marRight w:val="0"/>
      <w:marTop w:val="10"/>
      <w:marBottom w:val="10"/>
      <w:divBdr>
        <w:top w:val="none" w:sz="0" w:space="0" w:color="auto"/>
        <w:left w:val="none" w:sz="0" w:space="0" w:color="auto"/>
        <w:bottom w:val="none" w:sz="0" w:space="0" w:color="auto"/>
        <w:right w:val="none" w:sz="0" w:space="0" w:color="auto"/>
      </w:divBdr>
    </w:div>
    <w:div w:id="1369181168">
      <w:marLeft w:val="0"/>
      <w:marRight w:val="720"/>
      <w:marTop w:val="10"/>
      <w:marBottom w:val="10"/>
      <w:divBdr>
        <w:top w:val="none" w:sz="0" w:space="0" w:color="auto"/>
        <w:left w:val="none" w:sz="0" w:space="0" w:color="auto"/>
        <w:bottom w:val="none" w:sz="0" w:space="0" w:color="auto"/>
        <w:right w:val="none" w:sz="0" w:space="0" w:color="auto"/>
      </w:divBdr>
    </w:div>
    <w:div w:id="1384866615">
      <w:marLeft w:val="0"/>
      <w:marRight w:val="0"/>
      <w:marTop w:val="10"/>
      <w:marBottom w:val="10"/>
      <w:divBdr>
        <w:top w:val="none" w:sz="0" w:space="0" w:color="auto"/>
        <w:left w:val="none" w:sz="0" w:space="0" w:color="auto"/>
        <w:bottom w:val="none" w:sz="0" w:space="0" w:color="auto"/>
        <w:right w:val="none" w:sz="0" w:space="0" w:color="auto"/>
      </w:divBdr>
    </w:div>
    <w:div w:id="1387147665">
      <w:marLeft w:val="0"/>
      <w:marRight w:val="0"/>
      <w:marTop w:val="10"/>
      <w:marBottom w:val="10"/>
      <w:divBdr>
        <w:top w:val="none" w:sz="0" w:space="0" w:color="auto"/>
        <w:left w:val="none" w:sz="0" w:space="0" w:color="auto"/>
        <w:bottom w:val="none" w:sz="0" w:space="0" w:color="auto"/>
        <w:right w:val="none" w:sz="0" w:space="0" w:color="auto"/>
      </w:divBdr>
    </w:div>
    <w:div w:id="1409571028">
      <w:marLeft w:val="0"/>
      <w:marRight w:val="0"/>
      <w:marTop w:val="10"/>
      <w:marBottom w:val="10"/>
      <w:divBdr>
        <w:top w:val="none" w:sz="0" w:space="0" w:color="auto"/>
        <w:left w:val="none" w:sz="0" w:space="0" w:color="auto"/>
        <w:bottom w:val="none" w:sz="0" w:space="0" w:color="auto"/>
        <w:right w:val="none" w:sz="0" w:space="0" w:color="auto"/>
      </w:divBdr>
    </w:div>
    <w:div w:id="1412502271">
      <w:marLeft w:val="0"/>
      <w:marRight w:val="0"/>
      <w:marTop w:val="10"/>
      <w:marBottom w:val="10"/>
      <w:divBdr>
        <w:top w:val="none" w:sz="0" w:space="0" w:color="auto"/>
        <w:left w:val="none" w:sz="0" w:space="0" w:color="auto"/>
        <w:bottom w:val="none" w:sz="0" w:space="0" w:color="auto"/>
        <w:right w:val="none" w:sz="0" w:space="0" w:color="auto"/>
      </w:divBdr>
    </w:div>
    <w:div w:id="1524325587">
      <w:marLeft w:val="0"/>
      <w:marRight w:val="0"/>
      <w:marTop w:val="10"/>
      <w:marBottom w:val="10"/>
      <w:divBdr>
        <w:top w:val="none" w:sz="0" w:space="0" w:color="auto"/>
        <w:left w:val="none" w:sz="0" w:space="0" w:color="auto"/>
        <w:bottom w:val="none" w:sz="0" w:space="0" w:color="auto"/>
        <w:right w:val="none" w:sz="0" w:space="0" w:color="auto"/>
      </w:divBdr>
    </w:div>
    <w:div w:id="1531338565">
      <w:marLeft w:val="0"/>
      <w:marRight w:val="0"/>
      <w:marTop w:val="10"/>
      <w:marBottom w:val="10"/>
      <w:divBdr>
        <w:top w:val="none" w:sz="0" w:space="0" w:color="auto"/>
        <w:left w:val="none" w:sz="0" w:space="0" w:color="auto"/>
        <w:bottom w:val="none" w:sz="0" w:space="0" w:color="auto"/>
        <w:right w:val="none" w:sz="0" w:space="0" w:color="auto"/>
      </w:divBdr>
    </w:div>
    <w:div w:id="1623028796">
      <w:marLeft w:val="0"/>
      <w:marRight w:val="0"/>
      <w:marTop w:val="10"/>
      <w:marBottom w:val="10"/>
      <w:divBdr>
        <w:top w:val="none" w:sz="0" w:space="0" w:color="auto"/>
        <w:left w:val="none" w:sz="0" w:space="0" w:color="auto"/>
        <w:bottom w:val="none" w:sz="0" w:space="0" w:color="auto"/>
        <w:right w:val="none" w:sz="0" w:space="0" w:color="auto"/>
      </w:divBdr>
    </w:div>
    <w:div w:id="1647052042">
      <w:marLeft w:val="0"/>
      <w:marRight w:val="0"/>
      <w:marTop w:val="10"/>
      <w:marBottom w:val="10"/>
      <w:divBdr>
        <w:top w:val="none" w:sz="0" w:space="0" w:color="auto"/>
        <w:left w:val="none" w:sz="0" w:space="0" w:color="auto"/>
        <w:bottom w:val="none" w:sz="0" w:space="0" w:color="auto"/>
        <w:right w:val="none" w:sz="0" w:space="0" w:color="auto"/>
      </w:divBdr>
    </w:div>
    <w:div w:id="1706902699">
      <w:marLeft w:val="0"/>
      <w:marRight w:val="720"/>
      <w:marTop w:val="10"/>
      <w:marBottom w:val="10"/>
      <w:divBdr>
        <w:top w:val="none" w:sz="0" w:space="0" w:color="auto"/>
        <w:left w:val="none" w:sz="0" w:space="0" w:color="auto"/>
        <w:bottom w:val="none" w:sz="0" w:space="0" w:color="auto"/>
        <w:right w:val="none" w:sz="0" w:space="0" w:color="auto"/>
      </w:divBdr>
    </w:div>
    <w:div w:id="1741781333">
      <w:marLeft w:val="0"/>
      <w:marRight w:val="0"/>
      <w:marTop w:val="10"/>
      <w:marBottom w:val="10"/>
      <w:divBdr>
        <w:top w:val="none" w:sz="0" w:space="0" w:color="auto"/>
        <w:left w:val="none" w:sz="0" w:space="0" w:color="auto"/>
        <w:bottom w:val="none" w:sz="0" w:space="0" w:color="auto"/>
        <w:right w:val="none" w:sz="0" w:space="0" w:color="auto"/>
      </w:divBdr>
    </w:div>
    <w:div w:id="1828205697">
      <w:marLeft w:val="0"/>
      <w:marRight w:val="0"/>
      <w:marTop w:val="10"/>
      <w:marBottom w:val="10"/>
      <w:divBdr>
        <w:top w:val="none" w:sz="0" w:space="0" w:color="auto"/>
        <w:left w:val="none" w:sz="0" w:space="0" w:color="auto"/>
        <w:bottom w:val="none" w:sz="0" w:space="0" w:color="auto"/>
        <w:right w:val="none" w:sz="0" w:space="0" w:color="auto"/>
      </w:divBdr>
    </w:div>
    <w:div w:id="1830320035">
      <w:marLeft w:val="0"/>
      <w:marRight w:val="720"/>
      <w:marTop w:val="10"/>
      <w:marBottom w:val="10"/>
      <w:divBdr>
        <w:top w:val="none" w:sz="0" w:space="0" w:color="auto"/>
        <w:left w:val="none" w:sz="0" w:space="0" w:color="auto"/>
        <w:bottom w:val="none" w:sz="0" w:space="0" w:color="auto"/>
        <w:right w:val="none" w:sz="0" w:space="0" w:color="auto"/>
      </w:divBdr>
    </w:div>
    <w:div w:id="1850749318">
      <w:marLeft w:val="0"/>
      <w:marRight w:val="0"/>
      <w:marTop w:val="10"/>
      <w:marBottom w:val="10"/>
      <w:divBdr>
        <w:top w:val="none" w:sz="0" w:space="0" w:color="auto"/>
        <w:left w:val="none" w:sz="0" w:space="0" w:color="auto"/>
        <w:bottom w:val="none" w:sz="0" w:space="0" w:color="auto"/>
        <w:right w:val="none" w:sz="0" w:space="0" w:color="auto"/>
      </w:divBdr>
    </w:div>
    <w:div w:id="1851917610">
      <w:marLeft w:val="0"/>
      <w:marRight w:val="0"/>
      <w:marTop w:val="10"/>
      <w:marBottom w:val="10"/>
      <w:divBdr>
        <w:top w:val="none" w:sz="0" w:space="0" w:color="auto"/>
        <w:left w:val="none" w:sz="0" w:space="0" w:color="auto"/>
        <w:bottom w:val="none" w:sz="0" w:space="0" w:color="auto"/>
        <w:right w:val="none" w:sz="0" w:space="0" w:color="auto"/>
      </w:divBdr>
    </w:div>
    <w:div w:id="1911232672">
      <w:marLeft w:val="0"/>
      <w:marRight w:val="0"/>
      <w:marTop w:val="10"/>
      <w:marBottom w:val="10"/>
      <w:divBdr>
        <w:top w:val="none" w:sz="0" w:space="0" w:color="auto"/>
        <w:left w:val="none" w:sz="0" w:space="0" w:color="auto"/>
        <w:bottom w:val="none" w:sz="0" w:space="0" w:color="auto"/>
        <w:right w:val="none" w:sz="0" w:space="0" w:color="auto"/>
      </w:divBdr>
    </w:div>
    <w:div w:id="1953828886">
      <w:marLeft w:val="0"/>
      <w:marRight w:val="0"/>
      <w:marTop w:val="10"/>
      <w:marBottom w:val="10"/>
      <w:divBdr>
        <w:top w:val="none" w:sz="0" w:space="0" w:color="auto"/>
        <w:left w:val="none" w:sz="0" w:space="0" w:color="auto"/>
        <w:bottom w:val="none" w:sz="0" w:space="0" w:color="auto"/>
        <w:right w:val="none" w:sz="0" w:space="0" w:color="auto"/>
      </w:divBdr>
    </w:div>
    <w:div w:id="1969511046">
      <w:marLeft w:val="0"/>
      <w:marRight w:val="0"/>
      <w:marTop w:val="10"/>
      <w:marBottom w:val="10"/>
      <w:divBdr>
        <w:top w:val="none" w:sz="0" w:space="0" w:color="auto"/>
        <w:left w:val="none" w:sz="0" w:space="0" w:color="auto"/>
        <w:bottom w:val="none" w:sz="0" w:space="0" w:color="auto"/>
        <w:right w:val="none" w:sz="0" w:space="0" w:color="auto"/>
      </w:divBdr>
    </w:div>
    <w:div w:id="20101336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