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A3338">
      <w:pPr>
        <w:pStyle w:val="a3"/>
      </w:pPr>
      <w:bookmarkStart w:id="0" w:name="_GoBack"/>
      <w:bookmarkEnd w:id="0"/>
      <w:r>
        <w:t> </w:t>
      </w:r>
    </w:p>
    <w:p w:rsidR="00000000" w:rsidRDefault="003A3338">
      <w:pPr>
        <w:spacing w:line="500" w:lineRule="atLeast"/>
        <w:jc w:val="center"/>
        <w:divId w:val="2078284205"/>
        <w:rPr>
          <w:rFonts w:ascii="黑体" w:eastAsia="黑体" w:hAnsi="黑体"/>
          <w:sz w:val="36"/>
          <w:szCs w:val="36"/>
        </w:rPr>
      </w:pPr>
      <w:r>
        <w:rPr>
          <w:rFonts w:ascii="黑体" w:eastAsia="黑体" w:hAnsi="黑体" w:hint="eastAsia"/>
          <w:sz w:val="36"/>
          <w:szCs w:val="36"/>
        </w:rPr>
        <w:t>江苏省高级人民法院</w:t>
      </w:r>
    </w:p>
    <w:p w:rsidR="00000000" w:rsidRDefault="003A3338">
      <w:pPr>
        <w:spacing w:line="500" w:lineRule="atLeast"/>
        <w:jc w:val="center"/>
        <w:divId w:val="57196448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A3338">
      <w:pPr>
        <w:spacing w:line="500" w:lineRule="atLeast"/>
        <w:jc w:val="right"/>
        <w:divId w:val="1899320382"/>
        <w:rPr>
          <w:rFonts w:hint="eastAsia"/>
          <w:sz w:val="30"/>
          <w:szCs w:val="30"/>
        </w:rPr>
      </w:pPr>
      <w:r>
        <w:rPr>
          <w:rFonts w:hint="eastAsia"/>
          <w:sz w:val="30"/>
          <w:szCs w:val="30"/>
        </w:rPr>
        <w:t>(2016)</w:t>
      </w:r>
      <w:r>
        <w:rPr>
          <w:rFonts w:hint="eastAsia"/>
          <w:sz w:val="30"/>
          <w:szCs w:val="30"/>
        </w:rPr>
        <w:t>苏民申</w:t>
      </w:r>
      <w:r>
        <w:rPr>
          <w:rFonts w:hint="eastAsia"/>
          <w:sz w:val="30"/>
          <w:szCs w:val="30"/>
        </w:rPr>
        <w:t>1599</w:t>
      </w:r>
      <w:r>
        <w:rPr>
          <w:rFonts w:hint="eastAsia"/>
          <w:sz w:val="30"/>
          <w:szCs w:val="30"/>
        </w:rPr>
        <w:t>号</w:t>
      </w:r>
    </w:p>
    <w:p w:rsidR="00000000" w:rsidRDefault="003A3338">
      <w:pPr>
        <w:spacing w:line="500" w:lineRule="atLeast"/>
        <w:ind w:firstLine="600"/>
        <w:divId w:val="1797291595"/>
        <w:rPr>
          <w:rFonts w:hint="eastAsia"/>
          <w:sz w:val="30"/>
          <w:szCs w:val="30"/>
        </w:rPr>
      </w:pPr>
      <w:r>
        <w:rPr>
          <w:rFonts w:hint="eastAsia"/>
          <w:sz w:val="30"/>
          <w:szCs w:val="30"/>
        </w:rPr>
        <w:t>再审申请人（一审原告、二审上诉人）：徐宁古。</w:t>
      </w:r>
    </w:p>
    <w:p w:rsidR="00000000" w:rsidRDefault="003A3338">
      <w:pPr>
        <w:spacing w:line="500" w:lineRule="atLeast"/>
        <w:ind w:firstLine="600"/>
        <w:divId w:val="569732022"/>
        <w:rPr>
          <w:rFonts w:hint="eastAsia"/>
          <w:sz w:val="30"/>
          <w:szCs w:val="30"/>
        </w:rPr>
      </w:pPr>
      <w:r>
        <w:rPr>
          <w:rFonts w:hint="eastAsia"/>
          <w:sz w:val="30"/>
          <w:szCs w:val="30"/>
        </w:rPr>
        <w:t>被申请人（一审被告、二审被上诉人）：温春义。</w:t>
      </w:r>
    </w:p>
    <w:p w:rsidR="00000000" w:rsidRDefault="003A3338">
      <w:pPr>
        <w:spacing w:line="500" w:lineRule="atLeast"/>
        <w:ind w:firstLine="600"/>
        <w:divId w:val="1119182562"/>
        <w:rPr>
          <w:rFonts w:hint="eastAsia"/>
          <w:sz w:val="30"/>
          <w:szCs w:val="30"/>
        </w:rPr>
      </w:pPr>
      <w:r>
        <w:rPr>
          <w:rFonts w:hint="eastAsia"/>
          <w:sz w:val="30"/>
          <w:szCs w:val="30"/>
        </w:rPr>
        <w:t>被申请人（一审被告、二审被上诉人）：王树玲。</w:t>
      </w:r>
    </w:p>
    <w:p w:rsidR="00000000" w:rsidRDefault="003A3338">
      <w:pPr>
        <w:spacing w:line="500" w:lineRule="atLeast"/>
        <w:ind w:firstLine="600"/>
        <w:divId w:val="489440971"/>
        <w:rPr>
          <w:rFonts w:hint="eastAsia"/>
          <w:sz w:val="30"/>
          <w:szCs w:val="30"/>
        </w:rPr>
      </w:pPr>
      <w:r>
        <w:rPr>
          <w:rFonts w:hint="eastAsia"/>
          <w:sz w:val="30"/>
          <w:szCs w:val="30"/>
        </w:rPr>
        <w:t>被申请人（原审第三人）南京鑫三源新型建材有限公司，住所地南京市雨花台区板桥大方工业园内。</w:t>
      </w:r>
    </w:p>
    <w:p w:rsidR="00000000" w:rsidRDefault="003A3338">
      <w:pPr>
        <w:spacing w:line="500" w:lineRule="atLeast"/>
        <w:ind w:firstLine="600"/>
        <w:divId w:val="1852331810"/>
        <w:rPr>
          <w:rFonts w:hint="eastAsia"/>
          <w:sz w:val="30"/>
          <w:szCs w:val="30"/>
        </w:rPr>
      </w:pPr>
      <w:r>
        <w:rPr>
          <w:rFonts w:hint="eastAsia"/>
          <w:sz w:val="30"/>
          <w:szCs w:val="30"/>
        </w:rPr>
        <w:t>法定代表人温春义，该公司董事长。</w:t>
      </w:r>
    </w:p>
    <w:p w:rsidR="00000000" w:rsidRDefault="003A3338">
      <w:pPr>
        <w:spacing w:line="500" w:lineRule="atLeast"/>
        <w:ind w:firstLine="600"/>
        <w:divId w:val="1664817460"/>
        <w:rPr>
          <w:rFonts w:hint="eastAsia"/>
          <w:sz w:val="30"/>
          <w:szCs w:val="30"/>
        </w:rPr>
      </w:pPr>
      <w:r>
        <w:rPr>
          <w:rFonts w:hint="eastAsia"/>
          <w:sz w:val="30"/>
          <w:szCs w:val="30"/>
        </w:rPr>
        <w:t>再审申请人徐宁古因与被申请人温春义、王树玲、南京鑫三源新型建材有限公司（以下简称鑫三源公司）损害公司利益责任纠纷一案，不服江苏省南京市中级人民法院（</w:t>
      </w:r>
      <w:r>
        <w:rPr>
          <w:rFonts w:hint="eastAsia"/>
          <w:sz w:val="30"/>
          <w:szCs w:val="30"/>
        </w:rPr>
        <w:t>2015</w:t>
      </w:r>
      <w:r>
        <w:rPr>
          <w:rFonts w:hint="eastAsia"/>
          <w:sz w:val="30"/>
          <w:szCs w:val="30"/>
        </w:rPr>
        <w:t>）宁商终字第</w:t>
      </w:r>
      <w:r>
        <w:rPr>
          <w:rFonts w:hint="eastAsia"/>
          <w:sz w:val="30"/>
          <w:szCs w:val="30"/>
        </w:rPr>
        <w:t>784</w:t>
      </w:r>
      <w:r>
        <w:rPr>
          <w:rFonts w:hint="eastAsia"/>
          <w:sz w:val="30"/>
          <w:szCs w:val="30"/>
        </w:rPr>
        <w:t>号民事判决，向本院申请再审。本院依法组成合议庭对本案进行了审查，现已审查终结。</w:t>
      </w:r>
    </w:p>
    <w:p w:rsidR="00000000" w:rsidRDefault="003A3338">
      <w:pPr>
        <w:spacing w:line="500" w:lineRule="atLeast"/>
        <w:ind w:firstLine="600"/>
        <w:divId w:val="1714383443"/>
        <w:rPr>
          <w:rFonts w:hint="eastAsia"/>
          <w:sz w:val="30"/>
          <w:szCs w:val="30"/>
        </w:rPr>
      </w:pPr>
      <w:r>
        <w:rPr>
          <w:rFonts w:hint="eastAsia"/>
          <w:sz w:val="30"/>
          <w:szCs w:val="30"/>
        </w:rPr>
        <w:t>徐宁古申请再审称，</w:t>
      </w:r>
      <w:r>
        <w:rPr>
          <w:rFonts w:hint="eastAsia"/>
          <w:sz w:val="30"/>
          <w:szCs w:val="30"/>
        </w:rPr>
        <w:t>1</w:t>
      </w:r>
      <w:r>
        <w:rPr>
          <w:rFonts w:hint="eastAsia"/>
          <w:sz w:val="30"/>
          <w:szCs w:val="30"/>
        </w:rPr>
        <w:t>、一、二审法院并未核实温春义、王树玲提交的</w:t>
      </w:r>
      <w:r>
        <w:rPr>
          <w:rFonts w:hint="eastAsia"/>
          <w:sz w:val="30"/>
          <w:szCs w:val="30"/>
        </w:rPr>
        <w:t>355</w:t>
      </w:r>
      <w:r>
        <w:rPr>
          <w:rFonts w:hint="eastAsia"/>
          <w:sz w:val="30"/>
          <w:szCs w:val="30"/>
        </w:rPr>
        <w:t>份白条是否为公司真实支出，即认定“温春义、王树玲实际控制公司期间以公司名义向外支付的款项已高于</w:t>
      </w:r>
      <w:r>
        <w:rPr>
          <w:rFonts w:hint="eastAsia"/>
          <w:sz w:val="30"/>
          <w:szCs w:val="30"/>
        </w:rPr>
        <w:t>1265582.9</w:t>
      </w:r>
      <w:r>
        <w:rPr>
          <w:rFonts w:hint="eastAsia"/>
          <w:sz w:val="30"/>
          <w:szCs w:val="30"/>
        </w:rPr>
        <w:t>元”，没有事实依据。</w:t>
      </w:r>
      <w:r>
        <w:rPr>
          <w:rFonts w:hint="eastAsia"/>
          <w:sz w:val="30"/>
          <w:szCs w:val="30"/>
        </w:rPr>
        <w:t>2</w:t>
      </w:r>
      <w:r>
        <w:rPr>
          <w:rFonts w:hint="eastAsia"/>
          <w:sz w:val="30"/>
          <w:szCs w:val="30"/>
        </w:rPr>
        <w:t>、一、二审法院发现经济犯罪未移送，仍坚持民事判决违反有关</w:t>
      </w:r>
      <w:r>
        <w:rPr>
          <w:rFonts w:hint="eastAsia"/>
          <w:sz w:val="30"/>
          <w:szCs w:val="30"/>
        </w:rPr>
        <w:t>法律规定。请求撤销一、二审判决，发回再审或将本案移送公安机关处理。</w:t>
      </w:r>
    </w:p>
    <w:p w:rsidR="00000000" w:rsidRDefault="003A3338">
      <w:pPr>
        <w:spacing w:line="500" w:lineRule="atLeast"/>
        <w:ind w:firstLine="600"/>
        <w:divId w:val="133648798"/>
        <w:rPr>
          <w:rFonts w:hint="eastAsia"/>
          <w:sz w:val="30"/>
          <w:szCs w:val="30"/>
        </w:rPr>
      </w:pPr>
      <w:r>
        <w:rPr>
          <w:rFonts w:hint="eastAsia"/>
          <w:sz w:val="30"/>
          <w:szCs w:val="30"/>
        </w:rPr>
        <w:t>本院经审查认为，判断徐宁古在本案中以鑫三源公司股东的身份主张归入权，要求温春义、王树玲向鑫三源公司返还库存现金</w:t>
      </w:r>
      <w:r>
        <w:rPr>
          <w:rFonts w:hint="eastAsia"/>
          <w:sz w:val="30"/>
          <w:szCs w:val="30"/>
        </w:rPr>
        <w:t>1462941.72</w:t>
      </w:r>
      <w:r>
        <w:rPr>
          <w:rFonts w:hint="eastAsia"/>
          <w:sz w:val="30"/>
          <w:szCs w:val="30"/>
        </w:rPr>
        <w:t>元的诉讼请求能否得到支持的关键在于，现有证据是否能够证明温春义、王树玲应当向鑫三源公司返还相应款项。</w:t>
      </w:r>
    </w:p>
    <w:p w:rsidR="00000000" w:rsidRDefault="003A3338">
      <w:pPr>
        <w:spacing w:line="500" w:lineRule="atLeast"/>
        <w:ind w:firstLine="600"/>
        <w:divId w:val="819661911"/>
        <w:rPr>
          <w:rFonts w:hint="eastAsia"/>
          <w:sz w:val="30"/>
          <w:szCs w:val="30"/>
        </w:rPr>
      </w:pPr>
      <w:r>
        <w:rPr>
          <w:rFonts w:hint="eastAsia"/>
          <w:sz w:val="30"/>
          <w:szCs w:val="30"/>
        </w:rPr>
        <w:lastRenderedPageBreak/>
        <w:t>首先，根据《南京鑫三源新型建材有限公司（</w:t>
      </w:r>
      <w:r>
        <w:rPr>
          <w:rFonts w:hint="eastAsia"/>
          <w:sz w:val="30"/>
          <w:szCs w:val="30"/>
        </w:rPr>
        <w:t>2009.3-2009.8</w:t>
      </w:r>
      <w:r>
        <w:rPr>
          <w:rFonts w:hint="eastAsia"/>
          <w:sz w:val="30"/>
          <w:szCs w:val="30"/>
        </w:rPr>
        <w:t>）生产经营时期现金来源明细表》（以下简称《现金来源表》）记载：“截止</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日，鑫三源公司仍有库存现金</w:t>
      </w:r>
      <w:r>
        <w:rPr>
          <w:rFonts w:hint="eastAsia"/>
          <w:sz w:val="30"/>
          <w:szCs w:val="30"/>
        </w:rPr>
        <w:t>1773080.00</w:t>
      </w:r>
      <w:r>
        <w:rPr>
          <w:rFonts w:hint="eastAsia"/>
          <w:sz w:val="30"/>
          <w:szCs w:val="30"/>
        </w:rPr>
        <w:t>元”，且该事实</w:t>
      </w:r>
      <w:r>
        <w:rPr>
          <w:rFonts w:hint="eastAsia"/>
          <w:sz w:val="30"/>
          <w:szCs w:val="30"/>
        </w:rPr>
        <w:t>亦得到双方当事人的确认，故可以认定鑫三源公司账册上存在过徐宁古所主张归入的相应款项。</w:t>
      </w:r>
    </w:p>
    <w:p w:rsidR="00000000" w:rsidRDefault="003A3338">
      <w:pPr>
        <w:spacing w:line="500" w:lineRule="atLeast"/>
        <w:ind w:firstLine="600"/>
        <w:divId w:val="1827626764"/>
        <w:rPr>
          <w:rFonts w:hint="eastAsia"/>
          <w:sz w:val="30"/>
          <w:szCs w:val="30"/>
        </w:rPr>
      </w:pPr>
      <w:r>
        <w:rPr>
          <w:rFonts w:hint="eastAsia"/>
          <w:sz w:val="30"/>
          <w:szCs w:val="30"/>
        </w:rPr>
        <w:t>其次，温春义、王树玲辩称上述鑫三源公司账册上的</w:t>
      </w:r>
      <w:r>
        <w:rPr>
          <w:rFonts w:hint="eastAsia"/>
          <w:sz w:val="30"/>
          <w:szCs w:val="30"/>
        </w:rPr>
        <w:t>1773080.00</w:t>
      </w:r>
      <w:r>
        <w:rPr>
          <w:rFonts w:hint="eastAsia"/>
          <w:sz w:val="30"/>
          <w:szCs w:val="30"/>
        </w:rPr>
        <w:t>元现金已经被全部用于鑫三源公司的支出，并为此提交了</w:t>
      </w:r>
      <w:r>
        <w:rPr>
          <w:rFonts w:hint="eastAsia"/>
          <w:sz w:val="30"/>
          <w:szCs w:val="30"/>
        </w:rPr>
        <w:t>355</w:t>
      </w:r>
      <w:r>
        <w:rPr>
          <w:rFonts w:hint="eastAsia"/>
          <w:sz w:val="30"/>
          <w:szCs w:val="30"/>
        </w:rPr>
        <w:t>份支出凭证为据。徐宁古对其中</w:t>
      </w:r>
      <w:r>
        <w:rPr>
          <w:rFonts w:hint="eastAsia"/>
          <w:sz w:val="30"/>
          <w:szCs w:val="30"/>
        </w:rPr>
        <w:t>99</w:t>
      </w:r>
      <w:r>
        <w:rPr>
          <w:rFonts w:hint="eastAsia"/>
          <w:sz w:val="30"/>
          <w:szCs w:val="30"/>
        </w:rPr>
        <w:t>笔支出合计金额</w:t>
      </w:r>
      <w:r>
        <w:rPr>
          <w:rFonts w:hint="eastAsia"/>
          <w:sz w:val="30"/>
          <w:szCs w:val="30"/>
        </w:rPr>
        <w:t>507497.1</w:t>
      </w:r>
      <w:r>
        <w:rPr>
          <w:rFonts w:hint="eastAsia"/>
          <w:sz w:val="30"/>
          <w:szCs w:val="30"/>
        </w:rPr>
        <w:t>元予以认可，并于二审阶段将诉请改为请求判令温春义、王树玲返还鑫三源公司</w:t>
      </w:r>
      <w:r>
        <w:rPr>
          <w:rFonts w:hint="eastAsia"/>
          <w:sz w:val="30"/>
          <w:szCs w:val="30"/>
        </w:rPr>
        <w:t>1265582.9</w:t>
      </w:r>
      <w:r>
        <w:rPr>
          <w:rFonts w:hint="eastAsia"/>
          <w:sz w:val="30"/>
          <w:szCs w:val="30"/>
        </w:rPr>
        <w:t>元。然据温春义、王树玲提交的相关证据，除徐宁古已认可的</w:t>
      </w:r>
      <w:r>
        <w:rPr>
          <w:rFonts w:hint="eastAsia"/>
          <w:sz w:val="30"/>
          <w:szCs w:val="30"/>
        </w:rPr>
        <w:t>507497.1</w:t>
      </w:r>
      <w:r>
        <w:rPr>
          <w:rFonts w:hint="eastAsia"/>
          <w:sz w:val="30"/>
          <w:szCs w:val="30"/>
        </w:rPr>
        <w:t>元外，温春义、王树玲在实际控制公司期间以鑫三源公司名义向外支付的其他款项金额已高于</w:t>
      </w:r>
      <w:r>
        <w:rPr>
          <w:rFonts w:hint="eastAsia"/>
          <w:sz w:val="30"/>
          <w:szCs w:val="30"/>
        </w:rPr>
        <w:t>1</w:t>
      </w:r>
      <w:r>
        <w:rPr>
          <w:rFonts w:hint="eastAsia"/>
          <w:sz w:val="30"/>
          <w:szCs w:val="30"/>
        </w:rPr>
        <w:t>265582.9</w:t>
      </w:r>
      <w:r>
        <w:rPr>
          <w:rFonts w:hint="eastAsia"/>
          <w:sz w:val="30"/>
          <w:szCs w:val="30"/>
        </w:rPr>
        <w:t>元，故一、二审法院认为《现金来源表》上所记载的鑫三源公司库存现金已全部对外支出，并在此基础上驳回了徐宁古的诉讼请求并无不当。</w:t>
      </w:r>
    </w:p>
    <w:p w:rsidR="00000000" w:rsidRDefault="003A3338">
      <w:pPr>
        <w:spacing w:line="500" w:lineRule="atLeast"/>
        <w:ind w:firstLine="600"/>
        <w:divId w:val="76051584"/>
        <w:rPr>
          <w:rFonts w:hint="eastAsia"/>
          <w:sz w:val="30"/>
          <w:szCs w:val="30"/>
        </w:rPr>
      </w:pPr>
      <w:r>
        <w:rPr>
          <w:rFonts w:hint="eastAsia"/>
          <w:sz w:val="30"/>
          <w:szCs w:val="30"/>
        </w:rPr>
        <w:t>第三，徐宁古在一、二审以及申请再审过程中，均认为温春义、王树玲提交的相关支出凭证并非鑫三源公司的真实支出，故不能作为鑫三源公司支出的证据。对此本院认为，徐宁古仅以在</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这一时间点上，鑫三源公司账册中已有的现金数额作为主张归入权的依据，本身即存在不合理的地方：鑫三源公司作为一家有对外业务的公司，《现金来源表》仅能反映公司的现金来源情况，不能全面反映公司的</w:t>
      </w:r>
      <w:r>
        <w:rPr>
          <w:rFonts w:hint="eastAsia"/>
          <w:sz w:val="30"/>
          <w:szCs w:val="30"/>
        </w:rPr>
        <w:t>资产负债情况。从徐宁古对温春义、王树玲提交的鑫三源公司支出证据中的部分来看，温春义、王树玲确有为鑫三源公司支出现金的事实。要确定温春义、王树玲提交其余凭证上记载的支出是否为鑫三源公司的真实支出，以及温春义、王树玲是否存在</w:t>
      </w:r>
      <w:r>
        <w:rPr>
          <w:rFonts w:hint="eastAsia"/>
          <w:sz w:val="30"/>
          <w:szCs w:val="30"/>
        </w:rPr>
        <w:lastRenderedPageBreak/>
        <w:t>侵占公司财产的犯罪行为，需要建立在对鑫三源公司进行全面的资产盘点、清算的基础上才能进行，否则无法查明真实情况。二审法院释明徐宁古应在清算或强制清算程序中，对其与温春义、王树玲之间就鑫三源公司存续期间的所有财产、债权债务关系进行统一处理，并无不当。</w:t>
      </w:r>
    </w:p>
    <w:p w:rsidR="00000000" w:rsidRDefault="003A3338">
      <w:pPr>
        <w:spacing w:line="500" w:lineRule="atLeast"/>
        <w:ind w:firstLine="600"/>
        <w:divId w:val="1966807386"/>
        <w:rPr>
          <w:rFonts w:hint="eastAsia"/>
          <w:sz w:val="30"/>
          <w:szCs w:val="30"/>
        </w:rPr>
      </w:pPr>
      <w:r>
        <w:rPr>
          <w:rFonts w:hint="eastAsia"/>
          <w:sz w:val="30"/>
          <w:szCs w:val="30"/>
        </w:rPr>
        <w:t>综上，徐宁古的再审申请不符合《中华人民共和国</w:t>
      </w:r>
      <w:r>
        <w:rPr>
          <w:rFonts w:hint="eastAsia"/>
          <w:sz w:val="30"/>
          <w:szCs w:val="30"/>
        </w:rPr>
        <w:t>民事诉讼法》第二百条规定的情形。依照《中华人民共和国民事诉讼法》第二百零四条第一款之规定，裁定如下：</w:t>
      </w:r>
    </w:p>
    <w:p w:rsidR="00000000" w:rsidRDefault="003A3338">
      <w:pPr>
        <w:spacing w:line="500" w:lineRule="atLeast"/>
        <w:ind w:firstLine="600"/>
        <w:divId w:val="655916589"/>
        <w:rPr>
          <w:rFonts w:hint="eastAsia"/>
          <w:sz w:val="30"/>
          <w:szCs w:val="30"/>
        </w:rPr>
      </w:pPr>
      <w:r>
        <w:rPr>
          <w:rFonts w:hint="eastAsia"/>
          <w:sz w:val="30"/>
          <w:szCs w:val="30"/>
        </w:rPr>
        <w:t>驳回徐宁古的再审申请。</w:t>
      </w:r>
    </w:p>
    <w:p w:rsidR="00000000" w:rsidRDefault="003A3338">
      <w:pPr>
        <w:spacing w:line="500" w:lineRule="atLeast"/>
        <w:jc w:val="right"/>
        <w:divId w:val="1147818245"/>
        <w:rPr>
          <w:rFonts w:hint="eastAsia"/>
          <w:sz w:val="30"/>
          <w:szCs w:val="30"/>
        </w:rPr>
      </w:pPr>
      <w:r>
        <w:rPr>
          <w:rFonts w:hint="eastAsia"/>
          <w:sz w:val="30"/>
          <w:szCs w:val="30"/>
        </w:rPr>
        <w:t>审　判　长　　施国伟</w:t>
      </w:r>
    </w:p>
    <w:p w:rsidR="00000000" w:rsidRDefault="003A3338">
      <w:pPr>
        <w:spacing w:line="500" w:lineRule="atLeast"/>
        <w:jc w:val="right"/>
        <w:divId w:val="990862734"/>
        <w:rPr>
          <w:rFonts w:hint="eastAsia"/>
          <w:sz w:val="30"/>
          <w:szCs w:val="30"/>
        </w:rPr>
      </w:pPr>
      <w:r>
        <w:rPr>
          <w:rFonts w:hint="eastAsia"/>
          <w:sz w:val="30"/>
          <w:szCs w:val="30"/>
        </w:rPr>
        <w:t>代理审判员　　张长琦</w:t>
      </w:r>
    </w:p>
    <w:p w:rsidR="00000000" w:rsidRDefault="003A3338">
      <w:pPr>
        <w:spacing w:line="500" w:lineRule="atLeast"/>
        <w:jc w:val="right"/>
        <w:divId w:val="972906157"/>
        <w:rPr>
          <w:rFonts w:hint="eastAsia"/>
          <w:sz w:val="30"/>
          <w:szCs w:val="30"/>
        </w:rPr>
      </w:pPr>
      <w:r>
        <w:rPr>
          <w:rFonts w:hint="eastAsia"/>
          <w:sz w:val="30"/>
          <w:szCs w:val="30"/>
        </w:rPr>
        <w:t>代理审判员　　张晓阳</w:t>
      </w:r>
    </w:p>
    <w:p w:rsidR="00000000" w:rsidRDefault="003A3338">
      <w:pPr>
        <w:spacing w:line="500" w:lineRule="atLeast"/>
        <w:jc w:val="right"/>
        <w:divId w:val="1110588479"/>
        <w:rPr>
          <w:rFonts w:hint="eastAsia"/>
          <w:sz w:val="30"/>
          <w:szCs w:val="30"/>
        </w:rPr>
      </w:pPr>
      <w:r>
        <w:rPr>
          <w:rFonts w:hint="eastAsia"/>
          <w:sz w:val="30"/>
          <w:szCs w:val="30"/>
        </w:rPr>
        <w:t>二〇一六年十二月五日</w:t>
      </w:r>
    </w:p>
    <w:p w:rsidR="00000000" w:rsidRDefault="003A3338">
      <w:pPr>
        <w:spacing w:line="500" w:lineRule="atLeast"/>
        <w:jc w:val="right"/>
        <w:divId w:val="1552616818"/>
        <w:rPr>
          <w:rFonts w:hint="eastAsia"/>
          <w:sz w:val="30"/>
          <w:szCs w:val="30"/>
        </w:rPr>
      </w:pPr>
      <w:r>
        <w:rPr>
          <w:rFonts w:hint="eastAsia"/>
          <w:sz w:val="30"/>
          <w:szCs w:val="30"/>
        </w:rPr>
        <w:t>书　记　员　　王方玮</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338" w:rsidRDefault="003A3338" w:rsidP="003A3338">
      <w:r>
        <w:separator/>
      </w:r>
    </w:p>
  </w:endnote>
  <w:endnote w:type="continuationSeparator" w:id="0">
    <w:p w:rsidR="003A3338" w:rsidRDefault="003A3338" w:rsidP="003A3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338" w:rsidRDefault="003A3338" w:rsidP="003A3338">
      <w:r>
        <w:separator/>
      </w:r>
    </w:p>
  </w:footnote>
  <w:footnote w:type="continuationSeparator" w:id="0">
    <w:p w:rsidR="003A3338" w:rsidRDefault="003A3338" w:rsidP="003A33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A3338"/>
    <w:rsid w:val="003A3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3A33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A3338"/>
    <w:rPr>
      <w:rFonts w:ascii="宋体" w:eastAsia="宋体" w:hAnsi="宋体" w:cs="宋体"/>
      <w:sz w:val="18"/>
      <w:szCs w:val="18"/>
    </w:rPr>
  </w:style>
  <w:style w:type="paragraph" w:styleId="a6">
    <w:name w:val="footer"/>
    <w:basedOn w:val="a"/>
    <w:link w:val="a7"/>
    <w:uiPriority w:val="99"/>
    <w:unhideWhenUsed/>
    <w:rsid w:val="003A3338"/>
    <w:pPr>
      <w:tabs>
        <w:tab w:val="center" w:pos="4153"/>
        <w:tab w:val="right" w:pos="8306"/>
      </w:tabs>
      <w:snapToGrid w:val="0"/>
    </w:pPr>
    <w:rPr>
      <w:sz w:val="18"/>
      <w:szCs w:val="18"/>
    </w:rPr>
  </w:style>
  <w:style w:type="character" w:customStyle="1" w:styleId="a7">
    <w:name w:val="页脚 字符"/>
    <w:basedOn w:val="a0"/>
    <w:link w:val="a6"/>
    <w:uiPriority w:val="99"/>
    <w:rsid w:val="003A333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51584">
      <w:marLeft w:val="0"/>
      <w:marRight w:val="0"/>
      <w:marTop w:val="10"/>
      <w:marBottom w:val="10"/>
      <w:divBdr>
        <w:top w:val="none" w:sz="0" w:space="0" w:color="auto"/>
        <w:left w:val="none" w:sz="0" w:space="0" w:color="auto"/>
        <w:bottom w:val="none" w:sz="0" w:space="0" w:color="auto"/>
        <w:right w:val="none" w:sz="0" w:space="0" w:color="auto"/>
      </w:divBdr>
    </w:div>
    <w:div w:id="133648798">
      <w:marLeft w:val="0"/>
      <w:marRight w:val="0"/>
      <w:marTop w:val="10"/>
      <w:marBottom w:val="10"/>
      <w:divBdr>
        <w:top w:val="none" w:sz="0" w:space="0" w:color="auto"/>
        <w:left w:val="none" w:sz="0" w:space="0" w:color="auto"/>
        <w:bottom w:val="none" w:sz="0" w:space="0" w:color="auto"/>
        <w:right w:val="none" w:sz="0" w:space="0" w:color="auto"/>
      </w:divBdr>
    </w:div>
    <w:div w:id="489440971">
      <w:marLeft w:val="0"/>
      <w:marRight w:val="0"/>
      <w:marTop w:val="10"/>
      <w:marBottom w:val="10"/>
      <w:divBdr>
        <w:top w:val="none" w:sz="0" w:space="0" w:color="auto"/>
        <w:left w:val="none" w:sz="0" w:space="0" w:color="auto"/>
        <w:bottom w:val="none" w:sz="0" w:space="0" w:color="auto"/>
        <w:right w:val="none" w:sz="0" w:space="0" w:color="auto"/>
      </w:divBdr>
    </w:div>
    <w:div w:id="569732022">
      <w:marLeft w:val="0"/>
      <w:marRight w:val="0"/>
      <w:marTop w:val="10"/>
      <w:marBottom w:val="10"/>
      <w:divBdr>
        <w:top w:val="none" w:sz="0" w:space="0" w:color="auto"/>
        <w:left w:val="none" w:sz="0" w:space="0" w:color="auto"/>
        <w:bottom w:val="none" w:sz="0" w:space="0" w:color="auto"/>
        <w:right w:val="none" w:sz="0" w:space="0" w:color="auto"/>
      </w:divBdr>
    </w:div>
    <w:div w:id="571964481">
      <w:marLeft w:val="0"/>
      <w:marRight w:val="0"/>
      <w:marTop w:val="10"/>
      <w:marBottom w:val="10"/>
      <w:divBdr>
        <w:top w:val="none" w:sz="0" w:space="0" w:color="auto"/>
        <w:left w:val="none" w:sz="0" w:space="0" w:color="auto"/>
        <w:bottom w:val="none" w:sz="0" w:space="0" w:color="auto"/>
        <w:right w:val="none" w:sz="0" w:space="0" w:color="auto"/>
      </w:divBdr>
    </w:div>
    <w:div w:id="655916589">
      <w:marLeft w:val="0"/>
      <w:marRight w:val="0"/>
      <w:marTop w:val="10"/>
      <w:marBottom w:val="10"/>
      <w:divBdr>
        <w:top w:val="none" w:sz="0" w:space="0" w:color="auto"/>
        <w:left w:val="none" w:sz="0" w:space="0" w:color="auto"/>
        <w:bottom w:val="none" w:sz="0" w:space="0" w:color="auto"/>
        <w:right w:val="none" w:sz="0" w:space="0" w:color="auto"/>
      </w:divBdr>
    </w:div>
    <w:div w:id="819661911">
      <w:marLeft w:val="0"/>
      <w:marRight w:val="0"/>
      <w:marTop w:val="10"/>
      <w:marBottom w:val="10"/>
      <w:divBdr>
        <w:top w:val="none" w:sz="0" w:space="0" w:color="auto"/>
        <w:left w:val="none" w:sz="0" w:space="0" w:color="auto"/>
        <w:bottom w:val="none" w:sz="0" w:space="0" w:color="auto"/>
        <w:right w:val="none" w:sz="0" w:space="0" w:color="auto"/>
      </w:divBdr>
    </w:div>
    <w:div w:id="972906157">
      <w:marLeft w:val="0"/>
      <w:marRight w:val="720"/>
      <w:marTop w:val="10"/>
      <w:marBottom w:val="10"/>
      <w:divBdr>
        <w:top w:val="none" w:sz="0" w:space="0" w:color="auto"/>
        <w:left w:val="none" w:sz="0" w:space="0" w:color="auto"/>
        <w:bottom w:val="none" w:sz="0" w:space="0" w:color="auto"/>
        <w:right w:val="none" w:sz="0" w:space="0" w:color="auto"/>
      </w:divBdr>
    </w:div>
    <w:div w:id="990862734">
      <w:marLeft w:val="0"/>
      <w:marRight w:val="720"/>
      <w:marTop w:val="10"/>
      <w:marBottom w:val="10"/>
      <w:divBdr>
        <w:top w:val="none" w:sz="0" w:space="0" w:color="auto"/>
        <w:left w:val="none" w:sz="0" w:space="0" w:color="auto"/>
        <w:bottom w:val="none" w:sz="0" w:space="0" w:color="auto"/>
        <w:right w:val="none" w:sz="0" w:space="0" w:color="auto"/>
      </w:divBdr>
    </w:div>
    <w:div w:id="1110588479">
      <w:marLeft w:val="0"/>
      <w:marRight w:val="720"/>
      <w:marTop w:val="10"/>
      <w:marBottom w:val="10"/>
      <w:divBdr>
        <w:top w:val="none" w:sz="0" w:space="0" w:color="auto"/>
        <w:left w:val="none" w:sz="0" w:space="0" w:color="auto"/>
        <w:bottom w:val="none" w:sz="0" w:space="0" w:color="auto"/>
        <w:right w:val="none" w:sz="0" w:space="0" w:color="auto"/>
      </w:divBdr>
    </w:div>
    <w:div w:id="1119182562">
      <w:marLeft w:val="0"/>
      <w:marRight w:val="0"/>
      <w:marTop w:val="10"/>
      <w:marBottom w:val="10"/>
      <w:divBdr>
        <w:top w:val="none" w:sz="0" w:space="0" w:color="auto"/>
        <w:left w:val="none" w:sz="0" w:space="0" w:color="auto"/>
        <w:bottom w:val="none" w:sz="0" w:space="0" w:color="auto"/>
        <w:right w:val="none" w:sz="0" w:space="0" w:color="auto"/>
      </w:divBdr>
    </w:div>
    <w:div w:id="1147818245">
      <w:marLeft w:val="0"/>
      <w:marRight w:val="720"/>
      <w:marTop w:val="10"/>
      <w:marBottom w:val="10"/>
      <w:divBdr>
        <w:top w:val="none" w:sz="0" w:space="0" w:color="auto"/>
        <w:left w:val="none" w:sz="0" w:space="0" w:color="auto"/>
        <w:bottom w:val="none" w:sz="0" w:space="0" w:color="auto"/>
        <w:right w:val="none" w:sz="0" w:space="0" w:color="auto"/>
      </w:divBdr>
    </w:div>
    <w:div w:id="1552616818">
      <w:marLeft w:val="0"/>
      <w:marRight w:val="720"/>
      <w:marTop w:val="10"/>
      <w:marBottom w:val="10"/>
      <w:divBdr>
        <w:top w:val="none" w:sz="0" w:space="0" w:color="auto"/>
        <w:left w:val="none" w:sz="0" w:space="0" w:color="auto"/>
        <w:bottom w:val="none" w:sz="0" w:space="0" w:color="auto"/>
        <w:right w:val="none" w:sz="0" w:space="0" w:color="auto"/>
      </w:divBdr>
    </w:div>
    <w:div w:id="1664817460">
      <w:marLeft w:val="0"/>
      <w:marRight w:val="0"/>
      <w:marTop w:val="10"/>
      <w:marBottom w:val="10"/>
      <w:divBdr>
        <w:top w:val="none" w:sz="0" w:space="0" w:color="auto"/>
        <w:left w:val="none" w:sz="0" w:space="0" w:color="auto"/>
        <w:bottom w:val="none" w:sz="0" w:space="0" w:color="auto"/>
        <w:right w:val="none" w:sz="0" w:space="0" w:color="auto"/>
      </w:divBdr>
    </w:div>
    <w:div w:id="1714383443">
      <w:marLeft w:val="0"/>
      <w:marRight w:val="0"/>
      <w:marTop w:val="10"/>
      <w:marBottom w:val="10"/>
      <w:divBdr>
        <w:top w:val="none" w:sz="0" w:space="0" w:color="auto"/>
        <w:left w:val="none" w:sz="0" w:space="0" w:color="auto"/>
        <w:bottom w:val="none" w:sz="0" w:space="0" w:color="auto"/>
        <w:right w:val="none" w:sz="0" w:space="0" w:color="auto"/>
      </w:divBdr>
    </w:div>
    <w:div w:id="1797291595">
      <w:marLeft w:val="0"/>
      <w:marRight w:val="0"/>
      <w:marTop w:val="10"/>
      <w:marBottom w:val="10"/>
      <w:divBdr>
        <w:top w:val="none" w:sz="0" w:space="0" w:color="auto"/>
        <w:left w:val="none" w:sz="0" w:space="0" w:color="auto"/>
        <w:bottom w:val="none" w:sz="0" w:space="0" w:color="auto"/>
        <w:right w:val="none" w:sz="0" w:space="0" w:color="auto"/>
      </w:divBdr>
    </w:div>
    <w:div w:id="1827626764">
      <w:marLeft w:val="0"/>
      <w:marRight w:val="0"/>
      <w:marTop w:val="10"/>
      <w:marBottom w:val="10"/>
      <w:divBdr>
        <w:top w:val="none" w:sz="0" w:space="0" w:color="auto"/>
        <w:left w:val="none" w:sz="0" w:space="0" w:color="auto"/>
        <w:bottom w:val="none" w:sz="0" w:space="0" w:color="auto"/>
        <w:right w:val="none" w:sz="0" w:space="0" w:color="auto"/>
      </w:divBdr>
    </w:div>
    <w:div w:id="1852331810">
      <w:marLeft w:val="0"/>
      <w:marRight w:val="0"/>
      <w:marTop w:val="10"/>
      <w:marBottom w:val="10"/>
      <w:divBdr>
        <w:top w:val="none" w:sz="0" w:space="0" w:color="auto"/>
        <w:left w:val="none" w:sz="0" w:space="0" w:color="auto"/>
        <w:bottom w:val="none" w:sz="0" w:space="0" w:color="auto"/>
        <w:right w:val="none" w:sz="0" w:space="0" w:color="auto"/>
      </w:divBdr>
    </w:div>
    <w:div w:id="1899320382">
      <w:marLeft w:val="0"/>
      <w:marRight w:val="0"/>
      <w:marTop w:val="10"/>
      <w:marBottom w:val="10"/>
      <w:divBdr>
        <w:top w:val="none" w:sz="0" w:space="0" w:color="auto"/>
        <w:left w:val="none" w:sz="0" w:space="0" w:color="auto"/>
        <w:bottom w:val="none" w:sz="0" w:space="0" w:color="auto"/>
        <w:right w:val="none" w:sz="0" w:space="0" w:color="auto"/>
      </w:divBdr>
    </w:div>
    <w:div w:id="1966807386">
      <w:marLeft w:val="0"/>
      <w:marRight w:val="0"/>
      <w:marTop w:val="10"/>
      <w:marBottom w:val="10"/>
      <w:divBdr>
        <w:top w:val="none" w:sz="0" w:space="0" w:color="auto"/>
        <w:left w:val="none" w:sz="0" w:space="0" w:color="auto"/>
        <w:bottom w:val="none" w:sz="0" w:space="0" w:color="auto"/>
        <w:right w:val="none" w:sz="0" w:space="0" w:color="auto"/>
      </w:divBdr>
    </w:div>
    <w:div w:id="207828420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