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321E9">
      <w:pPr>
        <w:spacing w:line="500" w:lineRule="atLeast"/>
        <w:jc w:val="center"/>
        <w:divId w:val="435638173"/>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6321E9">
      <w:pPr>
        <w:spacing w:line="500" w:lineRule="atLeast"/>
        <w:jc w:val="center"/>
        <w:divId w:val="135889303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321E9">
      <w:pPr>
        <w:spacing w:line="500" w:lineRule="atLeast"/>
        <w:jc w:val="right"/>
        <w:divId w:val="1100301811"/>
        <w:rPr>
          <w:rFonts w:hint="eastAsia"/>
          <w:sz w:val="30"/>
          <w:szCs w:val="30"/>
        </w:rPr>
      </w:pPr>
      <w:r>
        <w:rPr>
          <w:rFonts w:hint="eastAsia"/>
          <w:sz w:val="30"/>
          <w:szCs w:val="30"/>
        </w:rPr>
        <w:t>（</w:t>
      </w:r>
      <w:r>
        <w:rPr>
          <w:rFonts w:hint="eastAsia"/>
          <w:sz w:val="30"/>
          <w:szCs w:val="30"/>
        </w:rPr>
        <w:t>2019</w:t>
      </w:r>
      <w:r>
        <w:rPr>
          <w:rFonts w:hint="eastAsia"/>
          <w:sz w:val="30"/>
          <w:szCs w:val="30"/>
        </w:rPr>
        <w:t>）苏民申</w:t>
      </w:r>
      <w:r>
        <w:rPr>
          <w:rFonts w:hint="eastAsia"/>
          <w:sz w:val="30"/>
          <w:szCs w:val="30"/>
        </w:rPr>
        <w:t>3371</w:t>
      </w:r>
      <w:r>
        <w:rPr>
          <w:rFonts w:hint="eastAsia"/>
          <w:sz w:val="30"/>
          <w:szCs w:val="30"/>
        </w:rPr>
        <w:t>号</w:t>
      </w:r>
    </w:p>
    <w:p w:rsidR="00000000" w:rsidRDefault="006321E9">
      <w:pPr>
        <w:spacing w:line="500" w:lineRule="atLeast"/>
        <w:ind w:firstLine="600"/>
        <w:divId w:val="160397043"/>
        <w:rPr>
          <w:rFonts w:hint="eastAsia"/>
          <w:sz w:val="30"/>
          <w:szCs w:val="30"/>
        </w:rPr>
      </w:pPr>
      <w:r>
        <w:rPr>
          <w:rFonts w:hint="eastAsia"/>
          <w:sz w:val="30"/>
          <w:szCs w:val="30"/>
        </w:rPr>
        <w:t>再审申请人（一审原告、二审上诉人）：徐宁古，男，</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日出生，汉族，住江苏省南京市玄武区。</w:t>
      </w:r>
    </w:p>
    <w:p w:rsidR="00000000" w:rsidRDefault="006321E9">
      <w:pPr>
        <w:spacing w:line="500" w:lineRule="atLeast"/>
        <w:ind w:firstLine="600"/>
        <w:divId w:val="33242007"/>
        <w:rPr>
          <w:rFonts w:hint="eastAsia"/>
          <w:sz w:val="30"/>
          <w:szCs w:val="30"/>
        </w:rPr>
      </w:pPr>
      <w:r>
        <w:rPr>
          <w:rFonts w:hint="eastAsia"/>
          <w:sz w:val="30"/>
          <w:szCs w:val="30"/>
        </w:rPr>
        <w:t>被申请人（一审被告、二审被上诉人）：温春义，男，</w:t>
      </w:r>
      <w:r>
        <w:rPr>
          <w:rFonts w:hint="eastAsia"/>
          <w:sz w:val="30"/>
          <w:szCs w:val="30"/>
        </w:rPr>
        <w:t>1960</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日出生，汉族，住山东省莱州市。</w:t>
      </w:r>
    </w:p>
    <w:p w:rsidR="00000000" w:rsidRDefault="006321E9">
      <w:pPr>
        <w:spacing w:line="500" w:lineRule="atLeast"/>
        <w:ind w:firstLine="600"/>
        <w:divId w:val="399525133"/>
        <w:rPr>
          <w:rFonts w:hint="eastAsia"/>
          <w:sz w:val="30"/>
          <w:szCs w:val="30"/>
        </w:rPr>
      </w:pPr>
      <w:r>
        <w:rPr>
          <w:rFonts w:hint="eastAsia"/>
          <w:sz w:val="30"/>
          <w:szCs w:val="30"/>
        </w:rPr>
        <w:t>被申请人（一审被告、二审被上诉人）：王树玲，女，</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日出生，汉族，住江苏省。</w:t>
      </w:r>
    </w:p>
    <w:p w:rsidR="00000000" w:rsidRDefault="006321E9">
      <w:pPr>
        <w:spacing w:line="500" w:lineRule="atLeast"/>
        <w:ind w:firstLine="600"/>
        <w:divId w:val="772674359"/>
        <w:rPr>
          <w:rFonts w:hint="eastAsia"/>
          <w:sz w:val="30"/>
          <w:szCs w:val="30"/>
        </w:rPr>
      </w:pPr>
      <w:r>
        <w:rPr>
          <w:rFonts w:hint="eastAsia"/>
          <w:sz w:val="30"/>
          <w:szCs w:val="30"/>
        </w:rPr>
        <w:t>被申请人（一审被告、二审被上诉人）：温登荣，女，</w:t>
      </w:r>
      <w:r>
        <w:rPr>
          <w:rFonts w:hint="eastAsia"/>
          <w:sz w:val="30"/>
          <w:szCs w:val="30"/>
        </w:rPr>
        <w:t>1959</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日出生，汉族，住江苏省南京市鼓楼区。</w:t>
      </w:r>
    </w:p>
    <w:p w:rsidR="00000000" w:rsidRDefault="006321E9">
      <w:pPr>
        <w:spacing w:line="500" w:lineRule="atLeast"/>
        <w:ind w:firstLine="600"/>
        <w:divId w:val="540823533"/>
        <w:rPr>
          <w:rFonts w:hint="eastAsia"/>
          <w:sz w:val="30"/>
          <w:szCs w:val="30"/>
        </w:rPr>
      </w:pPr>
      <w:r>
        <w:rPr>
          <w:rFonts w:hint="eastAsia"/>
          <w:sz w:val="30"/>
          <w:szCs w:val="30"/>
        </w:rPr>
        <w:t>被申请人（一审被告、二审被上诉人）：夏成坚，男，</w:t>
      </w:r>
      <w:r>
        <w:rPr>
          <w:rFonts w:hint="eastAsia"/>
          <w:sz w:val="30"/>
          <w:szCs w:val="30"/>
        </w:rPr>
        <w:t>1959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日出生，汉族，住江苏省。</w:t>
      </w:r>
    </w:p>
    <w:p w:rsidR="00000000" w:rsidRDefault="006321E9">
      <w:pPr>
        <w:spacing w:line="500" w:lineRule="atLeast"/>
        <w:ind w:firstLine="600"/>
        <w:divId w:val="1652563928"/>
        <w:rPr>
          <w:rFonts w:hint="eastAsia"/>
          <w:sz w:val="30"/>
          <w:szCs w:val="30"/>
        </w:rPr>
      </w:pPr>
      <w:r>
        <w:rPr>
          <w:rFonts w:hint="eastAsia"/>
          <w:sz w:val="30"/>
          <w:szCs w:val="30"/>
        </w:rPr>
        <w:t>原审第三人：南京鑫三源新型建材有限公司，住所地江苏省南京市雨花台区板桥大方工业园内。</w:t>
      </w:r>
    </w:p>
    <w:p w:rsidR="00000000" w:rsidRDefault="006321E9">
      <w:pPr>
        <w:spacing w:line="500" w:lineRule="atLeast"/>
        <w:ind w:firstLine="600"/>
        <w:divId w:val="940602301"/>
        <w:rPr>
          <w:rFonts w:hint="eastAsia"/>
          <w:sz w:val="30"/>
          <w:szCs w:val="30"/>
        </w:rPr>
      </w:pPr>
      <w:r>
        <w:rPr>
          <w:rFonts w:hint="eastAsia"/>
          <w:sz w:val="30"/>
          <w:szCs w:val="30"/>
        </w:rPr>
        <w:t>诉讼代表人：陈亚红，该公司清算组组长。</w:t>
      </w:r>
    </w:p>
    <w:p w:rsidR="00000000" w:rsidRDefault="006321E9">
      <w:pPr>
        <w:spacing w:line="500" w:lineRule="atLeast"/>
        <w:ind w:firstLine="600"/>
        <w:divId w:val="1215314889"/>
        <w:rPr>
          <w:rFonts w:hint="eastAsia"/>
          <w:sz w:val="30"/>
          <w:szCs w:val="30"/>
        </w:rPr>
      </w:pPr>
      <w:r>
        <w:rPr>
          <w:rFonts w:hint="eastAsia"/>
          <w:sz w:val="30"/>
          <w:szCs w:val="30"/>
        </w:rPr>
        <w:t>委托诉讼代理人：黄琴，江苏东恒律师事务所律师。</w:t>
      </w:r>
    </w:p>
    <w:p w:rsidR="00000000" w:rsidRDefault="006321E9">
      <w:pPr>
        <w:spacing w:line="500" w:lineRule="atLeast"/>
        <w:ind w:firstLine="600"/>
        <w:divId w:val="480000066"/>
        <w:rPr>
          <w:rFonts w:hint="eastAsia"/>
          <w:sz w:val="30"/>
          <w:szCs w:val="30"/>
        </w:rPr>
      </w:pPr>
      <w:r>
        <w:rPr>
          <w:rFonts w:hint="eastAsia"/>
          <w:sz w:val="30"/>
          <w:szCs w:val="30"/>
        </w:rPr>
        <w:t>再审申请人徐宁古因与被申请人温春义、王树玲、温登荣、夏成坚、原审第三人南京鑫三源新型建材有限公司（以下简称鑫三源公司）损害公司利益责任纠纷一案，不服江苏省南京市中级人民法院（</w:t>
      </w:r>
      <w:r>
        <w:rPr>
          <w:rFonts w:hint="eastAsia"/>
          <w:sz w:val="30"/>
          <w:szCs w:val="30"/>
        </w:rPr>
        <w:t>2019</w:t>
      </w:r>
      <w:r>
        <w:rPr>
          <w:rFonts w:hint="eastAsia"/>
          <w:sz w:val="30"/>
          <w:szCs w:val="30"/>
        </w:rPr>
        <w:t>）苏</w:t>
      </w:r>
      <w:r>
        <w:rPr>
          <w:rFonts w:hint="eastAsia"/>
          <w:sz w:val="30"/>
          <w:szCs w:val="30"/>
        </w:rPr>
        <w:t>01</w:t>
      </w:r>
      <w:r>
        <w:rPr>
          <w:rFonts w:hint="eastAsia"/>
          <w:sz w:val="30"/>
          <w:szCs w:val="30"/>
        </w:rPr>
        <w:t>民终</w:t>
      </w:r>
      <w:r>
        <w:rPr>
          <w:rFonts w:hint="eastAsia"/>
          <w:sz w:val="30"/>
          <w:szCs w:val="30"/>
        </w:rPr>
        <w:t>2304</w:t>
      </w:r>
      <w:r>
        <w:rPr>
          <w:rFonts w:hint="eastAsia"/>
          <w:sz w:val="30"/>
          <w:szCs w:val="30"/>
        </w:rPr>
        <w:t>号民事裁定，向本院申请再审。本院依法组成合议</w:t>
      </w:r>
      <w:r>
        <w:rPr>
          <w:rFonts w:hint="eastAsia"/>
          <w:sz w:val="30"/>
          <w:szCs w:val="30"/>
        </w:rPr>
        <w:t>庭进行了审查，现已审查终结。</w:t>
      </w:r>
    </w:p>
    <w:p w:rsidR="00000000" w:rsidRDefault="006321E9">
      <w:pPr>
        <w:spacing w:line="500" w:lineRule="atLeast"/>
        <w:ind w:firstLine="600"/>
        <w:divId w:val="1729648736"/>
        <w:rPr>
          <w:rFonts w:hint="eastAsia"/>
          <w:sz w:val="30"/>
          <w:szCs w:val="30"/>
        </w:rPr>
      </w:pPr>
      <w:r>
        <w:rPr>
          <w:rFonts w:hint="eastAsia"/>
          <w:sz w:val="30"/>
          <w:szCs w:val="30"/>
        </w:rPr>
        <w:t>徐宁古申请再审称，在鑫三源公司生产经营中和解散之后，温春义、王树玲作为鑫三源公司的执行董事、监事利用职务便利占有鑫三源公司财产，且拒不履行清算义务长达七年，致使鑫三源公司无法行使意志维护自身利益。徐宁古作为鑫三</w:t>
      </w:r>
      <w:r>
        <w:rPr>
          <w:rFonts w:hint="eastAsia"/>
          <w:sz w:val="30"/>
          <w:szCs w:val="30"/>
        </w:rPr>
        <w:lastRenderedPageBreak/>
        <w:t>源公司股东、副董事长、总经理和债权人，两次书面请求温春义、王树玲履行职责并通过提起诉讼等方式主张公司债权，均无回应。在鑫三源公司进入清算程序后，徐宁古两次请求清算组行使归入权，又被拒绝。在鑫三源公司怠于或拒绝起诉主张归入权、公司清算组又不作为的情形下，徐宁古为维护鑫三源公</w:t>
      </w:r>
      <w:r>
        <w:rPr>
          <w:rFonts w:hint="eastAsia"/>
          <w:sz w:val="30"/>
          <w:szCs w:val="30"/>
        </w:rPr>
        <w:t>司利益，在履行前置程序后提起本案股东代表诉讼，应当得到支持。综上，一、二审裁定适用法律错误，请求依法再审本案。</w:t>
      </w:r>
    </w:p>
    <w:p w:rsidR="00000000" w:rsidRDefault="006321E9">
      <w:pPr>
        <w:spacing w:line="500" w:lineRule="atLeast"/>
        <w:ind w:firstLine="600"/>
        <w:divId w:val="73860729"/>
        <w:rPr>
          <w:rFonts w:hint="eastAsia"/>
          <w:sz w:val="30"/>
          <w:szCs w:val="30"/>
        </w:rPr>
      </w:pPr>
      <w:r>
        <w:rPr>
          <w:rFonts w:hint="eastAsia"/>
          <w:sz w:val="30"/>
          <w:szCs w:val="30"/>
        </w:rPr>
        <w:t>王树玲提交意见称，徐宁古作为本案原告属于诉讼主体不适格，且徐宁古诉请温春义、王树玲向鑫三源公司赔偿的</w:t>
      </w:r>
      <w:r>
        <w:rPr>
          <w:rFonts w:hint="eastAsia"/>
          <w:sz w:val="30"/>
          <w:szCs w:val="30"/>
        </w:rPr>
        <w:t>5</w:t>
      </w:r>
      <w:r>
        <w:rPr>
          <w:rFonts w:hint="eastAsia"/>
          <w:sz w:val="30"/>
          <w:szCs w:val="30"/>
        </w:rPr>
        <w:t>万元属于重复诉讼，该</w:t>
      </w:r>
      <w:r>
        <w:rPr>
          <w:rFonts w:hint="eastAsia"/>
          <w:sz w:val="30"/>
          <w:szCs w:val="30"/>
        </w:rPr>
        <w:t>5</w:t>
      </w:r>
      <w:r>
        <w:rPr>
          <w:rFonts w:hint="eastAsia"/>
          <w:sz w:val="30"/>
          <w:szCs w:val="30"/>
        </w:rPr>
        <w:t>万元已被另外两个案件处理完毕，所涉凭证已交给清算组进行审计。因夏成坚与王树玲已于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日离婚，夏成坚不应在本案中承担原配偶王树玲的夫妻共同债务。综上，请求驳回徐宁古的再审申请。</w:t>
      </w:r>
    </w:p>
    <w:p w:rsidR="00000000" w:rsidRDefault="006321E9">
      <w:pPr>
        <w:spacing w:line="500" w:lineRule="atLeast"/>
        <w:ind w:firstLine="600"/>
        <w:divId w:val="1691686629"/>
        <w:rPr>
          <w:rFonts w:hint="eastAsia"/>
          <w:sz w:val="30"/>
          <w:szCs w:val="30"/>
        </w:rPr>
      </w:pPr>
      <w:r>
        <w:rPr>
          <w:rFonts w:hint="eastAsia"/>
          <w:sz w:val="30"/>
          <w:szCs w:val="30"/>
        </w:rPr>
        <w:t>鑫三源公司提交意见称，根据《中华人民共和国公司法》第一百五十一条和第一百四十九条的规定，</w:t>
      </w:r>
      <w:r>
        <w:rPr>
          <w:rFonts w:hint="eastAsia"/>
          <w:sz w:val="30"/>
          <w:szCs w:val="30"/>
        </w:rPr>
        <w:t>公司董事、监事、高级管理人员应当承担赔偿责任的基础是履职行为给公司造成损失，但在之前的诉讼中，相关判决已认定徐宁古无证据证明温春义、王树玲的行为给鑫三源公司造成了损失。而且，在鑫三源公司清算组积极履行如出庭参加本案询问等法定职责的情形下，能够代表鑫三源公司主张归入权的主体是鑫三源公司清算组，故徐宁古提起本案诉讼主体不适格。综上，请求驳回徐宁古的再审申请。</w:t>
      </w:r>
    </w:p>
    <w:p w:rsidR="00000000" w:rsidRDefault="006321E9">
      <w:pPr>
        <w:spacing w:line="500" w:lineRule="atLeast"/>
        <w:ind w:firstLine="600"/>
        <w:divId w:val="1503164345"/>
        <w:rPr>
          <w:rFonts w:hint="eastAsia"/>
          <w:sz w:val="30"/>
          <w:szCs w:val="30"/>
        </w:rPr>
      </w:pPr>
      <w:r>
        <w:rPr>
          <w:rFonts w:hint="eastAsia"/>
          <w:sz w:val="30"/>
          <w:szCs w:val="30"/>
        </w:rPr>
        <w:t>本院经审查认为，徐宁古的再审申请不能成立。理由如下：</w:t>
      </w:r>
    </w:p>
    <w:p w:rsidR="00000000" w:rsidRDefault="006321E9">
      <w:pPr>
        <w:spacing w:line="500" w:lineRule="atLeast"/>
        <w:ind w:firstLine="600"/>
        <w:divId w:val="597100304"/>
        <w:rPr>
          <w:rFonts w:hint="eastAsia"/>
          <w:sz w:val="30"/>
          <w:szCs w:val="30"/>
        </w:rPr>
      </w:pPr>
      <w:r>
        <w:rPr>
          <w:rFonts w:hint="eastAsia"/>
          <w:sz w:val="30"/>
          <w:szCs w:val="30"/>
        </w:rPr>
        <w:t>根据《最高人民法院关于适用〈中华人民共和国公司法〉若干问题的规定（二）》第十条的规定，公司依法清算结</w:t>
      </w:r>
      <w:r>
        <w:rPr>
          <w:rFonts w:hint="eastAsia"/>
          <w:sz w:val="30"/>
          <w:szCs w:val="30"/>
        </w:rPr>
        <w:t>束并</w:t>
      </w:r>
      <w:r>
        <w:rPr>
          <w:rFonts w:hint="eastAsia"/>
          <w:sz w:val="30"/>
          <w:szCs w:val="30"/>
        </w:rPr>
        <w:lastRenderedPageBreak/>
        <w:t>办理注销登记前，有关公司的民事诉讼，应当以公司的名义进行。公司成立清算组的，由清算组负责人代表公司参加诉讼；尚未成立清算组的，由原法定代表人代表公司参加诉讼。本案中，</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日，南京市雨花台区人民法院裁定受理申请人徐宁古对鑫三源公司的强制清算申请，并依法指定鑫三源公司的清算管理人，成立清算组。</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日，该院裁定终结鑫三源公司强制清算程序，但鑫三源公司尚未办理完毕注销登记。根据上述规定，在鑫三源公司清算结束并办理注销登记前，有关鑫三源公司的民事诉讼，应当以鑫三源公司的名义进行。同时，</w:t>
      </w:r>
      <w:r>
        <w:rPr>
          <w:rFonts w:hint="eastAsia"/>
          <w:sz w:val="30"/>
          <w:szCs w:val="30"/>
        </w:rPr>
        <w:t>徐宁古在本案中的诉讼主张，亦不属于强制清算程序终结后，股东可径行向控股股东等实际控制人主张相关权利的权利范畴。故一、二审法院裁定驳回徐宁古的起诉，并无不当。</w:t>
      </w:r>
    </w:p>
    <w:p w:rsidR="00000000" w:rsidRDefault="006321E9">
      <w:pPr>
        <w:spacing w:line="500" w:lineRule="atLeast"/>
        <w:ind w:firstLine="600"/>
        <w:divId w:val="1880163921"/>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6321E9">
      <w:pPr>
        <w:spacing w:line="500" w:lineRule="atLeast"/>
        <w:ind w:firstLine="600"/>
        <w:divId w:val="1692414849"/>
        <w:rPr>
          <w:rFonts w:hint="eastAsia"/>
          <w:sz w:val="30"/>
          <w:szCs w:val="30"/>
        </w:rPr>
      </w:pPr>
      <w:r>
        <w:rPr>
          <w:rFonts w:hint="eastAsia"/>
          <w:sz w:val="30"/>
          <w:szCs w:val="30"/>
        </w:rPr>
        <w:t>驳回徐宁古的再审申请。</w:t>
      </w:r>
    </w:p>
    <w:p w:rsidR="00000000" w:rsidRDefault="006321E9">
      <w:pPr>
        <w:spacing w:line="500" w:lineRule="atLeast"/>
        <w:jc w:val="right"/>
        <w:divId w:val="189958504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顾　韬</w:t>
      </w:r>
    </w:p>
    <w:p w:rsidR="00000000" w:rsidRDefault="006321E9">
      <w:pPr>
        <w:spacing w:line="500" w:lineRule="atLeast"/>
        <w:jc w:val="right"/>
        <w:divId w:val="190023910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陈志明</w:t>
      </w:r>
    </w:p>
    <w:p w:rsidR="00000000" w:rsidRDefault="006321E9">
      <w:pPr>
        <w:spacing w:line="500" w:lineRule="atLeast"/>
        <w:jc w:val="right"/>
        <w:divId w:val="116866950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杨志刚</w:t>
      </w:r>
    </w:p>
    <w:p w:rsidR="00000000" w:rsidRDefault="006321E9">
      <w:pPr>
        <w:spacing w:line="500" w:lineRule="atLeast"/>
        <w:jc w:val="right"/>
        <w:divId w:val="1832409296"/>
        <w:rPr>
          <w:rFonts w:hint="eastAsia"/>
          <w:sz w:val="30"/>
          <w:szCs w:val="30"/>
        </w:rPr>
      </w:pPr>
      <w:r>
        <w:rPr>
          <w:rFonts w:hint="eastAsia"/>
          <w:sz w:val="30"/>
          <w:szCs w:val="30"/>
        </w:rPr>
        <w:t>法官助理　　费　行</w:t>
      </w:r>
    </w:p>
    <w:p w:rsidR="00000000" w:rsidRDefault="006321E9">
      <w:pPr>
        <w:spacing w:line="500" w:lineRule="atLeast"/>
        <w:jc w:val="right"/>
        <w:divId w:val="1287083758"/>
        <w:rPr>
          <w:rFonts w:hint="eastAsia"/>
          <w:sz w:val="30"/>
          <w:szCs w:val="30"/>
        </w:rPr>
      </w:pPr>
      <w:r>
        <w:rPr>
          <w:rFonts w:hint="eastAsia"/>
          <w:sz w:val="30"/>
          <w:szCs w:val="30"/>
        </w:rPr>
        <w:t>二〇一九年十二月三十日</w:t>
      </w:r>
    </w:p>
    <w:p w:rsidR="00000000" w:rsidRDefault="006321E9">
      <w:pPr>
        <w:spacing w:line="500" w:lineRule="atLeast"/>
        <w:jc w:val="right"/>
        <w:divId w:val="201799702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庆姝驿</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1E9" w:rsidRDefault="006321E9" w:rsidP="006321E9">
      <w:r>
        <w:separator/>
      </w:r>
    </w:p>
  </w:endnote>
  <w:endnote w:type="continuationSeparator" w:id="0">
    <w:p w:rsidR="006321E9" w:rsidRDefault="006321E9" w:rsidP="0063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1E9" w:rsidRDefault="006321E9" w:rsidP="006321E9">
      <w:r>
        <w:separator/>
      </w:r>
    </w:p>
  </w:footnote>
  <w:footnote w:type="continuationSeparator" w:id="0">
    <w:p w:rsidR="006321E9" w:rsidRDefault="006321E9" w:rsidP="00632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21E9"/>
    <w:rsid w:val="0063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321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21E9"/>
    <w:rPr>
      <w:rFonts w:ascii="宋体" w:eastAsia="宋体" w:hAnsi="宋体" w:cs="宋体"/>
      <w:sz w:val="18"/>
      <w:szCs w:val="18"/>
    </w:rPr>
  </w:style>
  <w:style w:type="paragraph" w:styleId="a6">
    <w:name w:val="footer"/>
    <w:basedOn w:val="a"/>
    <w:link w:val="a7"/>
    <w:uiPriority w:val="99"/>
    <w:unhideWhenUsed/>
    <w:rsid w:val="006321E9"/>
    <w:pPr>
      <w:tabs>
        <w:tab w:val="center" w:pos="4153"/>
        <w:tab w:val="right" w:pos="8306"/>
      </w:tabs>
      <w:snapToGrid w:val="0"/>
    </w:pPr>
    <w:rPr>
      <w:sz w:val="18"/>
      <w:szCs w:val="18"/>
    </w:rPr>
  </w:style>
  <w:style w:type="character" w:customStyle="1" w:styleId="a7">
    <w:name w:val="页脚 字符"/>
    <w:basedOn w:val="a0"/>
    <w:link w:val="a6"/>
    <w:uiPriority w:val="99"/>
    <w:rsid w:val="006321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2007">
      <w:marLeft w:val="0"/>
      <w:marRight w:val="0"/>
      <w:marTop w:val="10"/>
      <w:marBottom w:val="10"/>
      <w:divBdr>
        <w:top w:val="none" w:sz="0" w:space="0" w:color="auto"/>
        <w:left w:val="none" w:sz="0" w:space="0" w:color="auto"/>
        <w:bottom w:val="none" w:sz="0" w:space="0" w:color="auto"/>
        <w:right w:val="none" w:sz="0" w:space="0" w:color="auto"/>
      </w:divBdr>
    </w:div>
    <w:div w:id="73860729">
      <w:marLeft w:val="0"/>
      <w:marRight w:val="0"/>
      <w:marTop w:val="10"/>
      <w:marBottom w:val="10"/>
      <w:divBdr>
        <w:top w:val="none" w:sz="0" w:space="0" w:color="auto"/>
        <w:left w:val="none" w:sz="0" w:space="0" w:color="auto"/>
        <w:bottom w:val="none" w:sz="0" w:space="0" w:color="auto"/>
        <w:right w:val="none" w:sz="0" w:space="0" w:color="auto"/>
      </w:divBdr>
    </w:div>
    <w:div w:id="160397043">
      <w:marLeft w:val="0"/>
      <w:marRight w:val="0"/>
      <w:marTop w:val="10"/>
      <w:marBottom w:val="10"/>
      <w:divBdr>
        <w:top w:val="none" w:sz="0" w:space="0" w:color="auto"/>
        <w:left w:val="none" w:sz="0" w:space="0" w:color="auto"/>
        <w:bottom w:val="none" w:sz="0" w:space="0" w:color="auto"/>
        <w:right w:val="none" w:sz="0" w:space="0" w:color="auto"/>
      </w:divBdr>
    </w:div>
    <w:div w:id="399525133">
      <w:marLeft w:val="0"/>
      <w:marRight w:val="0"/>
      <w:marTop w:val="10"/>
      <w:marBottom w:val="10"/>
      <w:divBdr>
        <w:top w:val="none" w:sz="0" w:space="0" w:color="auto"/>
        <w:left w:val="none" w:sz="0" w:space="0" w:color="auto"/>
        <w:bottom w:val="none" w:sz="0" w:space="0" w:color="auto"/>
        <w:right w:val="none" w:sz="0" w:space="0" w:color="auto"/>
      </w:divBdr>
    </w:div>
    <w:div w:id="435638173">
      <w:marLeft w:val="0"/>
      <w:marRight w:val="0"/>
      <w:marTop w:val="10"/>
      <w:marBottom w:val="10"/>
      <w:divBdr>
        <w:top w:val="none" w:sz="0" w:space="0" w:color="auto"/>
        <w:left w:val="none" w:sz="0" w:space="0" w:color="auto"/>
        <w:bottom w:val="none" w:sz="0" w:space="0" w:color="auto"/>
        <w:right w:val="none" w:sz="0" w:space="0" w:color="auto"/>
      </w:divBdr>
    </w:div>
    <w:div w:id="480000066">
      <w:marLeft w:val="0"/>
      <w:marRight w:val="0"/>
      <w:marTop w:val="10"/>
      <w:marBottom w:val="10"/>
      <w:divBdr>
        <w:top w:val="none" w:sz="0" w:space="0" w:color="auto"/>
        <w:left w:val="none" w:sz="0" w:space="0" w:color="auto"/>
        <w:bottom w:val="none" w:sz="0" w:space="0" w:color="auto"/>
        <w:right w:val="none" w:sz="0" w:space="0" w:color="auto"/>
      </w:divBdr>
    </w:div>
    <w:div w:id="540823533">
      <w:marLeft w:val="0"/>
      <w:marRight w:val="0"/>
      <w:marTop w:val="10"/>
      <w:marBottom w:val="10"/>
      <w:divBdr>
        <w:top w:val="none" w:sz="0" w:space="0" w:color="auto"/>
        <w:left w:val="none" w:sz="0" w:space="0" w:color="auto"/>
        <w:bottom w:val="none" w:sz="0" w:space="0" w:color="auto"/>
        <w:right w:val="none" w:sz="0" w:space="0" w:color="auto"/>
      </w:divBdr>
    </w:div>
    <w:div w:id="597100304">
      <w:marLeft w:val="0"/>
      <w:marRight w:val="0"/>
      <w:marTop w:val="10"/>
      <w:marBottom w:val="10"/>
      <w:divBdr>
        <w:top w:val="none" w:sz="0" w:space="0" w:color="auto"/>
        <w:left w:val="none" w:sz="0" w:space="0" w:color="auto"/>
        <w:bottom w:val="none" w:sz="0" w:space="0" w:color="auto"/>
        <w:right w:val="none" w:sz="0" w:space="0" w:color="auto"/>
      </w:divBdr>
    </w:div>
    <w:div w:id="772674359">
      <w:marLeft w:val="0"/>
      <w:marRight w:val="0"/>
      <w:marTop w:val="10"/>
      <w:marBottom w:val="10"/>
      <w:divBdr>
        <w:top w:val="none" w:sz="0" w:space="0" w:color="auto"/>
        <w:left w:val="none" w:sz="0" w:space="0" w:color="auto"/>
        <w:bottom w:val="none" w:sz="0" w:space="0" w:color="auto"/>
        <w:right w:val="none" w:sz="0" w:space="0" w:color="auto"/>
      </w:divBdr>
    </w:div>
    <w:div w:id="940602301">
      <w:marLeft w:val="0"/>
      <w:marRight w:val="0"/>
      <w:marTop w:val="10"/>
      <w:marBottom w:val="10"/>
      <w:divBdr>
        <w:top w:val="none" w:sz="0" w:space="0" w:color="auto"/>
        <w:left w:val="none" w:sz="0" w:space="0" w:color="auto"/>
        <w:bottom w:val="none" w:sz="0" w:space="0" w:color="auto"/>
        <w:right w:val="none" w:sz="0" w:space="0" w:color="auto"/>
      </w:divBdr>
    </w:div>
    <w:div w:id="1100301811">
      <w:marLeft w:val="0"/>
      <w:marRight w:val="0"/>
      <w:marTop w:val="10"/>
      <w:marBottom w:val="10"/>
      <w:divBdr>
        <w:top w:val="none" w:sz="0" w:space="0" w:color="auto"/>
        <w:left w:val="none" w:sz="0" w:space="0" w:color="auto"/>
        <w:bottom w:val="none" w:sz="0" w:space="0" w:color="auto"/>
        <w:right w:val="none" w:sz="0" w:space="0" w:color="auto"/>
      </w:divBdr>
    </w:div>
    <w:div w:id="1168669501">
      <w:marLeft w:val="0"/>
      <w:marRight w:val="720"/>
      <w:marTop w:val="10"/>
      <w:marBottom w:val="10"/>
      <w:divBdr>
        <w:top w:val="none" w:sz="0" w:space="0" w:color="auto"/>
        <w:left w:val="none" w:sz="0" w:space="0" w:color="auto"/>
        <w:bottom w:val="none" w:sz="0" w:space="0" w:color="auto"/>
        <w:right w:val="none" w:sz="0" w:space="0" w:color="auto"/>
      </w:divBdr>
    </w:div>
    <w:div w:id="1215314889">
      <w:marLeft w:val="0"/>
      <w:marRight w:val="0"/>
      <w:marTop w:val="10"/>
      <w:marBottom w:val="10"/>
      <w:divBdr>
        <w:top w:val="none" w:sz="0" w:space="0" w:color="auto"/>
        <w:left w:val="none" w:sz="0" w:space="0" w:color="auto"/>
        <w:bottom w:val="none" w:sz="0" w:space="0" w:color="auto"/>
        <w:right w:val="none" w:sz="0" w:space="0" w:color="auto"/>
      </w:divBdr>
    </w:div>
    <w:div w:id="1287083758">
      <w:marLeft w:val="0"/>
      <w:marRight w:val="720"/>
      <w:marTop w:val="10"/>
      <w:marBottom w:val="10"/>
      <w:divBdr>
        <w:top w:val="none" w:sz="0" w:space="0" w:color="auto"/>
        <w:left w:val="none" w:sz="0" w:space="0" w:color="auto"/>
        <w:bottom w:val="none" w:sz="0" w:space="0" w:color="auto"/>
        <w:right w:val="none" w:sz="0" w:space="0" w:color="auto"/>
      </w:divBdr>
    </w:div>
    <w:div w:id="1358893035">
      <w:marLeft w:val="0"/>
      <w:marRight w:val="0"/>
      <w:marTop w:val="10"/>
      <w:marBottom w:val="10"/>
      <w:divBdr>
        <w:top w:val="none" w:sz="0" w:space="0" w:color="auto"/>
        <w:left w:val="none" w:sz="0" w:space="0" w:color="auto"/>
        <w:bottom w:val="none" w:sz="0" w:space="0" w:color="auto"/>
        <w:right w:val="none" w:sz="0" w:space="0" w:color="auto"/>
      </w:divBdr>
    </w:div>
    <w:div w:id="1503164345">
      <w:marLeft w:val="0"/>
      <w:marRight w:val="0"/>
      <w:marTop w:val="10"/>
      <w:marBottom w:val="10"/>
      <w:divBdr>
        <w:top w:val="none" w:sz="0" w:space="0" w:color="auto"/>
        <w:left w:val="none" w:sz="0" w:space="0" w:color="auto"/>
        <w:bottom w:val="none" w:sz="0" w:space="0" w:color="auto"/>
        <w:right w:val="none" w:sz="0" w:space="0" w:color="auto"/>
      </w:divBdr>
    </w:div>
    <w:div w:id="1652563928">
      <w:marLeft w:val="0"/>
      <w:marRight w:val="0"/>
      <w:marTop w:val="10"/>
      <w:marBottom w:val="10"/>
      <w:divBdr>
        <w:top w:val="none" w:sz="0" w:space="0" w:color="auto"/>
        <w:left w:val="none" w:sz="0" w:space="0" w:color="auto"/>
        <w:bottom w:val="none" w:sz="0" w:space="0" w:color="auto"/>
        <w:right w:val="none" w:sz="0" w:space="0" w:color="auto"/>
      </w:divBdr>
    </w:div>
    <w:div w:id="1691686629">
      <w:marLeft w:val="0"/>
      <w:marRight w:val="0"/>
      <w:marTop w:val="10"/>
      <w:marBottom w:val="10"/>
      <w:divBdr>
        <w:top w:val="none" w:sz="0" w:space="0" w:color="auto"/>
        <w:left w:val="none" w:sz="0" w:space="0" w:color="auto"/>
        <w:bottom w:val="none" w:sz="0" w:space="0" w:color="auto"/>
        <w:right w:val="none" w:sz="0" w:space="0" w:color="auto"/>
      </w:divBdr>
    </w:div>
    <w:div w:id="1692414849">
      <w:marLeft w:val="0"/>
      <w:marRight w:val="0"/>
      <w:marTop w:val="10"/>
      <w:marBottom w:val="10"/>
      <w:divBdr>
        <w:top w:val="none" w:sz="0" w:space="0" w:color="auto"/>
        <w:left w:val="none" w:sz="0" w:space="0" w:color="auto"/>
        <w:bottom w:val="none" w:sz="0" w:space="0" w:color="auto"/>
        <w:right w:val="none" w:sz="0" w:space="0" w:color="auto"/>
      </w:divBdr>
    </w:div>
    <w:div w:id="1729648736">
      <w:marLeft w:val="0"/>
      <w:marRight w:val="0"/>
      <w:marTop w:val="10"/>
      <w:marBottom w:val="10"/>
      <w:divBdr>
        <w:top w:val="none" w:sz="0" w:space="0" w:color="auto"/>
        <w:left w:val="none" w:sz="0" w:space="0" w:color="auto"/>
        <w:bottom w:val="none" w:sz="0" w:space="0" w:color="auto"/>
        <w:right w:val="none" w:sz="0" w:space="0" w:color="auto"/>
      </w:divBdr>
    </w:div>
    <w:div w:id="1832409296">
      <w:marLeft w:val="0"/>
      <w:marRight w:val="720"/>
      <w:marTop w:val="10"/>
      <w:marBottom w:val="10"/>
      <w:divBdr>
        <w:top w:val="none" w:sz="0" w:space="0" w:color="auto"/>
        <w:left w:val="none" w:sz="0" w:space="0" w:color="auto"/>
        <w:bottom w:val="none" w:sz="0" w:space="0" w:color="auto"/>
        <w:right w:val="none" w:sz="0" w:space="0" w:color="auto"/>
      </w:divBdr>
    </w:div>
    <w:div w:id="1880163921">
      <w:marLeft w:val="0"/>
      <w:marRight w:val="0"/>
      <w:marTop w:val="10"/>
      <w:marBottom w:val="10"/>
      <w:divBdr>
        <w:top w:val="none" w:sz="0" w:space="0" w:color="auto"/>
        <w:left w:val="none" w:sz="0" w:space="0" w:color="auto"/>
        <w:bottom w:val="none" w:sz="0" w:space="0" w:color="auto"/>
        <w:right w:val="none" w:sz="0" w:space="0" w:color="auto"/>
      </w:divBdr>
    </w:div>
    <w:div w:id="1899585042">
      <w:marLeft w:val="0"/>
      <w:marRight w:val="720"/>
      <w:marTop w:val="10"/>
      <w:marBottom w:val="10"/>
      <w:divBdr>
        <w:top w:val="none" w:sz="0" w:space="0" w:color="auto"/>
        <w:left w:val="none" w:sz="0" w:space="0" w:color="auto"/>
        <w:bottom w:val="none" w:sz="0" w:space="0" w:color="auto"/>
        <w:right w:val="none" w:sz="0" w:space="0" w:color="auto"/>
      </w:divBdr>
    </w:div>
    <w:div w:id="1900239109">
      <w:marLeft w:val="0"/>
      <w:marRight w:val="720"/>
      <w:marTop w:val="10"/>
      <w:marBottom w:val="10"/>
      <w:divBdr>
        <w:top w:val="none" w:sz="0" w:space="0" w:color="auto"/>
        <w:left w:val="none" w:sz="0" w:space="0" w:color="auto"/>
        <w:bottom w:val="none" w:sz="0" w:space="0" w:color="auto"/>
        <w:right w:val="none" w:sz="0" w:space="0" w:color="auto"/>
      </w:divBdr>
    </w:div>
    <w:div w:id="201799702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