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025C2">
      <w:pPr>
        <w:spacing w:line="500" w:lineRule="atLeast"/>
        <w:jc w:val="center"/>
        <w:divId w:val="1285113730"/>
        <w:rPr>
          <w:rFonts w:ascii="黑体" w:eastAsia="黑体" w:hAnsi="黑体"/>
          <w:sz w:val="36"/>
          <w:szCs w:val="36"/>
        </w:rPr>
      </w:pPr>
      <w:bookmarkStart w:id="0" w:name="_GoBack"/>
      <w:bookmarkEnd w:id="0"/>
      <w:r>
        <w:rPr>
          <w:rFonts w:ascii="黑体" w:eastAsia="黑体" w:hAnsi="黑体" w:hint="eastAsia"/>
          <w:sz w:val="36"/>
          <w:szCs w:val="36"/>
        </w:rPr>
        <w:t>四川省成都高新技术产业开发区人民法院</w:t>
      </w:r>
    </w:p>
    <w:p w:rsidR="00000000" w:rsidRDefault="001025C2">
      <w:pPr>
        <w:spacing w:line="500" w:lineRule="atLeast"/>
        <w:jc w:val="center"/>
        <w:divId w:val="14757578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025C2">
      <w:pPr>
        <w:spacing w:line="500" w:lineRule="atLeast"/>
        <w:jc w:val="right"/>
        <w:divId w:val="1972442336"/>
        <w:rPr>
          <w:rFonts w:hint="eastAsia"/>
          <w:sz w:val="30"/>
          <w:szCs w:val="30"/>
        </w:rPr>
      </w:pPr>
      <w:r>
        <w:rPr>
          <w:rFonts w:hint="eastAsia"/>
          <w:sz w:val="30"/>
          <w:szCs w:val="30"/>
        </w:rPr>
        <w:t>（</w:t>
      </w:r>
      <w:r>
        <w:rPr>
          <w:rFonts w:hint="eastAsia"/>
          <w:sz w:val="30"/>
          <w:szCs w:val="30"/>
        </w:rPr>
        <w:t>2019</w:t>
      </w:r>
      <w:r>
        <w:rPr>
          <w:rFonts w:hint="eastAsia"/>
          <w:sz w:val="30"/>
          <w:szCs w:val="30"/>
        </w:rPr>
        <w:t>）川</w:t>
      </w:r>
      <w:r>
        <w:rPr>
          <w:rFonts w:hint="eastAsia"/>
          <w:sz w:val="30"/>
          <w:szCs w:val="30"/>
        </w:rPr>
        <w:t>0191</w:t>
      </w:r>
      <w:r>
        <w:rPr>
          <w:rFonts w:hint="eastAsia"/>
          <w:sz w:val="30"/>
          <w:szCs w:val="30"/>
        </w:rPr>
        <w:t>民初</w:t>
      </w:r>
      <w:r>
        <w:rPr>
          <w:rFonts w:hint="eastAsia"/>
          <w:sz w:val="30"/>
          <w:szCs w:val="30"/>
        </w:rPr>
        <w:t>8400</w:t>
      </w:r>
      <w:r>
        <w:rPr>
          <w:rFonts w:hint="eastAsia"/>
          <w:sz w:val="30"/>
          <w:szCs w:val="30"/>
        </w:rPr>
        <w:t>号</w:t>
      </w:r>
    </w:p>
    <w:p w:rsidR="00000000" w:rsidRDefault="001025C2">
      <w:pPr>
        <w:spacing w:line="500" w:lineRule="atLeast"/>
        <w:ind w:firstLine="600"/>
        <w:divId w:val="1432386429"/>
        <w:rPr>
          <w:rFonts w:hint="eastAsia"/>
          <w:sz w:val="30"/>
          <w:szCs w:val="30"/>
        </w:rPr>
      </w:pPr>
      <w:r>
        <w:rPr>
          <w:rFonts w:hint="eastAsia"/>
          <w:sz w:val="30"/>
          <w:szCs w:val="30"/>
        </w:rPr>
        <w:t>原告：成都威思拓科技有限公司，住所地成都高新区天府大道北段</w:t>
      </w:r>
      <w:r>
        <w:rPr>
          <w:rFonts w:hint="eastAsia"/>
          <w:sz w:val="30"/>
          <w:szCs w:val="30"/>
        </w:rPr>
        <w:t>20</w:t>
      </w:r>
      <w:r>
        <w:rPr>
          <w:rFonts w:hint="eastAsia"/>
          <w:sz w:val="30"/>
          <w:szCs w:val="30"/>
        </w:rPr>
        <w:t>号</w:t>
      </w:r>
      <w:r>
        <w:rPr>
          <w:rFonts w:hint="eastAsia"/>
          <w:sz w:val="30"/>
          <w:szCs w:val="30"/>
        </w:rPr>
        <w:t>1</w:t>
      </w:r>
      <w:r>
        <w:rPr>
          <w:rFonts w:hint="eastAsia"/>
          <w:sz w:val="30"/>
          <w:szCs w:val="30"/>
        </w:rPr>
        <w:t>幢</w:t>
      </w:r>
      <w:r>
        <w:rPr>
          <w:rFonts w:hint="eastAsia"/>
          <w:sz w:val="30"/>
          <w:szCs w:val="30"/>
        </w:rPr>
        <w:t>8</w:t>
      </w:r>
      <w:r>
        <w:rPr>
          <w:rFonts w:hint="eastAsia"/>
          <w:sz w:val="30"/>
          <w:szCs w:val="30"/>
        </w:rPr>
        <w:t>楼</w:t>
      </w:r>
      <w:r>
        <w:rPr>
          <w:rFonts w:hint="eastAsia"/>
          <w:sz w:val="30"/>
          <w:szCs w:val="30"/>
        </w:rPr>
        <w:t>10</w:t>
      </w:r>
      <w:r>
        <w:rPr>
          <w:rFonts w:hint="eastAsia"/>
          <w:sz w:val="30"/>
          <w:szCs w:val="30"/>
        </w:rPr>
        <w:t>号。</w:t>
      </w:r>
    </w:p>
    <w:p w:rsidR="00000000" w:rsidRDefault="001025C2">
      <w:pPr>
        <w:spacing w:line="500" w:lineRule="atLeast"/>
        <w:ind w:firstLine="600"/>
        <w:divId w:val="635640851"/>
        <w:rPr>
          <w:rFonts w:hint="eastAsia"/>
          <w:sz w:val="30"/>
          <w:szCs w:val="30"/>
        </w:rPr>
      </w:pPr>
      <w:r>
        <w:rPr>
          <w:rFonts w:hint="eastAsia"/>
          <w:sz w:val="30"/>
          <w:szCs w:val="30"/>
        </w:rPr>
        <w:t>法定代表人：李路，总经理。</w:t>
      </w:r>
    </w:p>
    <w:p w:rsidR="00000000" w:rsidRDefault="001025C2">
      <w:pPr>
        <w:spacing w:line="500" w:lineRule="atLeast"/>
        <w:ind w:firstLine="600"/>
        <w:divId w:val="121657914"/>
        <w:rPr>
          <w:rFonts w:hint="eastAsia"/>
          <w:sz w:val="30"/>
          <w:szCs w:val="30"/>
        </w:rPr>
      </w:pPr>
      <w:r>
        <w:rPr>
          <w:rFonts w:hint="eastAsia"/>
          <w:sz w:val="30"/>
          <w:szCs w:val="30"/>
        </w:rPr>
        <w:t>委托诉讼代理人：余深涛，男，成都威思拓科技有限公司员工。</w:t>
      </w:r>
    </w:p>
    <w:p w:rsidR="00000000" w:rsidRDefault="001025C2">
      <w:pPr>
        <w:spacing w:line="500" w:lineRule="atLeast"/>
        <w:ind w:firstLine="600"/>
        <w:divId w:val="213547894"/>
        <w:rPr>
          <w:rFonts w:hint="eastAsia"/>
          <w:sz w:val="30"/>
          <w:szCs w:val="30"/>
        </w:rPr>
      </w:pPr>
      <w:r>
        <w:rPr>
          <w:rFonts w:hint="eastAsia"/>
          <w:sz w:val="30"/>
          <w:szCs w:val="30"/>
        </w:rPr>
        <w:t>委托诉讼代理人：税雪，北京安博（成都）律师事务所律师。</w:t>
      </w:r>
    </w:p>
    <w:p w:rsidR="00000000" w:rsidRDefault="001025C2">
      <w:pPr>
        <w:spacing w:line="500" w:lineRule="atLeast"/>
        <w:ind w:firstLine="600"/>
        <w:divId w:val="2082632558"/>
        <w:rPr>
          <w:rFonts w:hint="eastAsia"/>
          <w:sz w:val="30"/>
          <w:szCs w:val="30"/>
        </w:rPr>
      </w:pPr>
      <w:r>
        <w:rPr>
          <w:rFonts w:hint="eastAsia"/>
          <w:sz w:val="30"/>
          <w:szCs w:val="30"/>
        </w:rPr>
        <w:t>被告：王仁繁，男，</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日出生，汉族，住成都市锦江区。</w:t>
      </w:r>
    </w:p>
    <w:p w:rsidR="00000000" w:rsidRDefault="001025C2">
      <w:pPr>
        <w:spacing w:line="500" w:lineRule="atLeast"/>
        <w:ind w:firstLine="600"/>
        <w:divId w:val="1675646456"/>
        <w:rPr>
          <w:rFonts w:hint="eastAsia"/>
          <w:sz w:val="30"/>
          <w:szCs w:val="30"/>
        </w:rPr>
      </w:pPr>
      <w:r>
        <w:rPr>
          <w:rFonts w:hint="eastAsia"/>
          <w:sz w:val="30"/>
          <w:szCs w:val="30"/>
        </w:rPr>
        <w:t>委托诉讼代理人：邵盛坤，北京中伦（成都）律师事务所律师。</w:t>
      </w:r>
    </w:p>
    <w:p w:rsidR="00000000" w:rsidRDefault="001025C2">
      <w:pPr>
        <w:spacing w:line="500" w:lineRule="atLeast"/>
        <w:ind w:firstLine="600"/>
        <w:divId w:val="1039016910"/>
        <w:rPr>
          <w:rFonts w:hint="eastAsia"/>
          <w:sz w:val="30"/>
          <w:szCs w:val="30"/>
        </w:rPr>
      </w:pPr>
      <w:r>
        <w:rPr>
          <w:rFonts w:hint="eastAsia"/>
          <w:sz w:val="30"/>
          <w:szCs w:val="30"/>
        </w:rPr>
        <w:t>被告：成都友为新诚科技有限公司，住所地成都高新区中和上街</w:t>
      </w:r>
      <w:r>
        <w:rPr>
          <w:rFonts w:hint="eastAsia"/>
          <w:sz w:val="30"/>
          <w:szCs w:val="30"/>
        </w:rPr>
        <w:t>84</w:t>
      </w:r>
      <w:r>
        <w:rPr>
          <w:rFonts w:hint="eastAsia"/>
          <w:sz w:val="30"/>
          <w:szCs w:val="30"/>
        </w:rPr>
        <w:t>号。</w:t>
      </w:r>
    </w:p>
    <w:p w:rsidR="00000000" w:rsidRDefault="001025C2">
      <w:pPr>
        <w:spacing w:line="500" w:lineRule="atLeast"/>
        <w:ind w:firstLine="600"/>
        <w:divId w:val="662315721"/>
        <w:rPr>
          <w:rFonts w:hint="eastAsia"/>
          <w:sz w:val="30"/>
          <w:szCs w:val="30"/>
        </w:rPr>
      </w:pPr>
      <w:r>
        <w:rPr>
          <w:rFonts w:hint="eastAsia"/>
          <w:sz w:val="30"/>
          <w:szCs w:val="30"/>
        </w:rPr>
        <w:t>法定代表人：林薇，总经理。</w:t>
      </w:r>
    </w:p>
    <w:p w:rsidR="00000000" w:rsidRDefault="001025C2">
      <w:pPr>
        <w:spacing w:line="500" w:lineRule="atLeast"/>
        <w:ind w:firstLine="600"/>
        <w:divId w:val="9915571"/>
        <w:rPr>
          <w:rFonts w:hint="eastAsia"/>
          <w:sz w:val="30"/>
          <w:szCs w:val="30"/>
        </w:rPr>
      </w:pPr>
      <w:r>
        <w:rPr>
          <w:rFonts w:hint="eastAsia"/>
          <w:sz w:val="30"/>
          <w:szCs w:val="30"/>
        </w:rPr>
        <w:t>委托诉讼代理人：刘敏，北京大成（成都）律师事务所律师。</w:t>
      </w:r>
    </w:p>
    <w:p w:rsidR="00000000" w:rsidRDefault="001025C2">
      <w:pPr>
        <w:spacing w:line="500" w:lineRule="atLeast"/>
        <w:ind w:firstLine="600"/>
        <w:divId w:val="182592926"/>
        <w:rPr>
          <w:rFonts w:hint="eastAsia"/>
          <w:sz w:val="30"/>
          <w:szCs w:val="30"/>
        </w:rPr>
      </w:pPr>
      <w:r>
        <w:rPr>
          <w:rFonts w:hint="eastAsia"/>
          <w:sz w:val="30"/>
          <w:szCs w:val="30"/>
        </w:rPr>
        <w:t>原告成都威思拓科技有限公司（下称威思拓公司）与被告王仁繁、成都友为新诚科技有限公司（下称友为公司）损害公司利益责任纠纷一案，本院于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立案后，依法适用简易程序，公开开庭进行了审理。原告威思拓公司的委托诉讼代理人余深涛、税雪，被告王仁繁的委托诉讼代理人邵盛坤以及被告友为公司的委托诉讼代理人刘敏到庭参加诉讼。本案现已审理终结。</w:t>
      </w:r>
    </w:p>
    <w:p w:rsidR="00000000" w:rsidRDefault="001025C2">
      <w:pPr>
        <w:spacing w:line="500" w:lineRule="atLeast"/>
        <w:ind w:firstLine="600"/>
        <w:divId w:val="968169344"/>
        <w:rPr>
          <w:rFonts w:hint="eastAsia"/>
          <w:sz w:val="30"/>
          <w:szCs w:val="30"/>
        </w:rPr>
      </w:pPr>
      <w:r>
        <w:rPr>
          <w:rFonts w:hint="eastAsia"/>
          <w:sz w:val="30"/>
          <w:szCs w:val="30"/>
        </w:rPr>
        <w:lastRenderedPageBreak/>
        <w:t>原告威思拓公司向本院</w:t>
      </w:r>
      <w:r>
        <w:rPr>
          <w:rFonts w:hint="eastAsia"/>
          <w:sz w:val="30"/>
          <w:szCs w:val="30"/>
        </w:rPr>
        <w:t>提出诉讼请求：判令二被告依据与原告签订的转包合同即《</w:t>
      </w:r>
      <w:r>
        <w:rPr>
          <w:rFonts w:hint="eastAsia"/>
          <w:sz w:val="30"/>
          <w:szCs w:val="30"/>
        </w:rPr>
        <w:t>2018</w:t>
      </w:r>
      <w:r>
        <w:rPr>
          <w:rFonts w:hint="eastAsia"/>
          <w:sz w:val="30"/>
          <w:szCs w:val="30"/>
        </w:rPr>
        <w:t>西藏电信</w:t>
      </w:r>
      <w:r>
        <w:rPr>
          <w:rFonts w:hint="eastAsia"/>
          <w:sz w:val="30"/>
          <w:szCs w:val="30"/>
        </w:rPr>
        <w:t>CDN</w:t>
      </w:r>
      <w:r>
        <w:rPr>
          <w:rFonts w:hint="eastAsia"/>
          <w:sz w:val="30"/>
          <w:szCs w:val="30"/>
        </w:rPr>
        <w:t>组播能力扩容项目设备及相关服务采购合同》产生的全部收益</w:t>
      </w:r>
      <w:r>
        <w:rPr>
          <w:rFonts w:hint="eastAsia"/>
          <w:sz w:val="30"/>
          <w:szCs w:val="30"/>
        </w:rPr>
        <w:t>2472357</w:t>
      </w:r>
      <w:r>
        <w:rPr>
          <w:rFonts w:hint="eastAsia"/>
          <w:sz w:val="30"/>
          <w:szCs w:val="30"/>
        </w:rPr>
        <w:t>元归原告所有。事实与理由：</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日，时任原告公司副总经理兼销售总监的被告王仁繁代表原告与中国电信集团有限公司西藏分公司签订了《西藏电信（固网</w:t>
      </w:r>
      <w:r>
        <w:rPr>
          <w:rFonts w:hint="eastAsia"/>
          <w:sz w:val="30"/>
          <w:szCs w:val="30"/>
        </w:rPr>
        <w:t>-</w:t>
      </w:r>
      <w:r>
        <w:rPr>
          <w:rFonts w:hint="eastAsia"/>
          <w:sz w:val="30"/>
          <w:szCs w:val="30"/>
        </w:rPr>
        <w:t>工程）</w:t>
      </w:r>
      <w:r>
        <w:rPr>
          <w:rFonts w:hint="eastAsia"/>
          <w:sz w:val="30"/>
          <w:szCs w:val="30"/>
        </w:rPr>
        <w:t>2018</w:t>
      </w:r>
      <w:r>
        <w:rPr>
          <w:rFonts w:hint="eastAsia"/>
          <w:sz w:val="30"/>
          <w:szCs w:val="30"/>
        </w:rPr>
        <w:t>年</w:t>
      </w:r>
      <w:r>
        <w:rPr>
          <w:rFonts w:hint="eastAsia"/>
          <w:sz w:val="30"/>
          <w:szCs w:val="30"/>
        </w:rPr>
        <w:t>CDN</w:t>
      </w:r>
      <w:r>
        <w:rPr>
          <w:rFonts w:hint="eastAsia"/>
          <w:sz w:val="30"/>
          <w:szCs w:val="30"/>
        </w:rPr>
        <w:t>系统扩容工程（本地直播内容组播能力）项目设备及相关服务采购合同》，由中国电信集团有限公司西藏分公司向原告购买用于中国电信西藏公司</w:t>
      </w:r>
      <w:r>
        <w:rPr>
          <w:rFonts w:hint="eastAsia"/>
          <w:sz w:val="30"/>
          <w:szCs w:val="30"/>
        </w:rPr>
        <w:t>2018</w:t>
      </w:r>
      <w:r>
        <w:rPr>
          <w:rFonts w:hint="eastAsia"/>
          <w:sz w:val="30"/>
          <w:szCs w:val="30"/>
        </w:rPr>
        <w:t>年</w:t>
      </w:r>
      <w:r>
        <w:rPr>
          <w:rFonts w:hint="eastAsia"/>
          <w:sz w:val="30"/>
          <w:szCs w:val="30"/>
        </w:rPr>
        <w:t>CDN</w:t>
      </w:r>
      <w:r>
        <w:rPr>
          <w:rFonts w:hint="eastAsia"/>
          <w:sz w:val="30"/>
          <w:szCs w:val="30"/>
        </w:rPr>
        <w:t>系统扩容工程（直播采集拉流拨测能力）项目的设备和服</w:t>
      </w:r>
      <w:r>
        <w:rPr>
          <w:rFonts w:hint="eastAsia"/>
          <w:sz w:val="30"/>
          <w:szCs w:val="30"/>
        </w:rPr>
        <w:t>务，合同总价为</w:t>
      </w:r>
      <w:r>
        <w:rPr>
          <w:rFonts w:hint="eastAsia"/>
          <w:sz w:val="30"/>
          <w:szCs w:val="30"/>
        </w:rPr>
        <w:t>3514800</w:t>
      </w:r>
      <w:r>
        <w:rPr>
          <w:rFonts w:hint="eastAsia"/>
          <w:sz w:val="30"/>
          <w:szCs w:val="30"/>
        </w:rPr>
        <w:t>元，其中明确约定“卖方为本合同的供货方及服务提供方，未经买方书面同意，卖方不得将合同分包或转包给第三方”。但是</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日，在原告毫不知情的情况下，被告王仁繁利用其职务之便私盖原告公章，以总价</w:t>
      </w:r>
      <w:r>
        <w:rPr>
          <w:rFonts w:hint="eastAsia"/>
          <w:sz w:val="30"/>
          <w:szCs w:val="30"/>
        </w:rPr>
        <w:t>3163320</w:t>
      </w:r>
      <w:r>
        <w:rPr>
          <w:rFonts w:hint="eastAsia"/>
          <w:sz w:val="30"/>
          <w:szCs w:val="30"/>
        </w:rPr>
        <w:t>元将合同整体转包给了被告友为公司，并亲自签订了转包合同即《</w:t>
      </w:r>
      <w:r>
        <w:rPr>
          <w:rFonts w:hint="eastAsia"/>
          <w:sz w:val="30"/>
          <w:szCs w:val="30"/>
        </w:rPr>
        <w:t>2018</w:t>
      </w:r>
      <w:r>
        <w:rPr>
          <w:rFonts w:hint="eastAsia"/>
          <w:sz w:val="30"/>
          <w:szCs w:val="30"/>
        </w:rPr>
        <w:t>年西藏电信</w:t>
      </w:r>
      <w:r>
        <w:rPr>
          <w:rFonts w:hint="eastAsia"/>
          <w:sz w:val="30"/>
          <w:szCs w:val="30"/>
        </w:rPr>
        <w:t>CDN</w:t>
      </w:r>
      <w:r>
        <w:rPr>
          <w:rFonts w:hint="eastAsia"/>
          <w:sz w:val="30"/>
          <w:szCs w:val="30"/>
        </w:rPr>
        <w:t>组播能力扩容项目设备及相关服务采购合同》。被告友为公司为被告王仁繁配偶林薇任法定代表人和大股东的一家公司，其经营范围与原告完全一致。转包后，被告王仁繁又利用其职务之便，使用原告资源，为被告</w:t>
      </w:r>
      <w:r>
        <w:rPr>
          <w:rFonts w:hint="eastAsia"/>
          <w:sz w:val="30"/>
          <w:szCs w:val="30"/>
        </w:rPr>
        <w:t>友为公司牟取项目利益。现合同已经全部履行完毕，被告王仁繁多次向原告索要转包款项未果，遂于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离职。被告王仁繁作为公司高管，违反忠诚义务，以被告友为公司的名义与原告发生自我交易，将本应由原告享有的合同收益额转移到被告友为公司享有及自己享有，严重损害公司利益，二被告依据转包合同输送的利益应当全部归属于原告。</w:t>
      </w:r>
    </w:p>
    <w:p w:rsidR="00000000" w:rsidRDefault="001025C2">
      <w:pPr>
        <w:spacing w:line="500" w:lineRule="atLeast"/>
        <w:ind w:firstLine="600"/>
        <w:divId w:val="234358122"/>
        <w:rPr>
          <w:rFonts w:hint="eastAsia"/>
          <w:sz w:val="30"/>
          <w:szCs w:val="30"/>
        </w:rPr>
      </w:pPr>
      <w:r>
        <w:rPr>
          <w:rFonts w:hint="eastAsia"/>
          <w:sz w:val="30"/>
          <w:szCs w:val="30"/>
        </w:rPr>
        <w:t>被告王仁繁辩称，王仁繁只是原告的销售人员，名片上是销售经理，并不是原告公司的高管，没有行使相关的管理职</w:t>
      </w:r>
      <w:r>
        <w:rPr>
          <w:rFonts w:hint="eastAsia"/>
          <w:sz w:val="30"/>
          <w:szCs w:val="30"/>
        </w:rPr>
        <w:lastRenderedPageBreak/>
        <w:t>责，不是本案适格被告。案涉组播项目业务合同和转包合同，王仁繁已向原告公司领导李路书面汇报并征得</w:t>
      </w:r>
      <w:r>
        <w:rPr>
          <w:rFonts w:hint="eastAsia"/>
          <w:sz w:val="30"/>
          <w:szCs w:val="30"/>
        </w:rPr>
        <w:t>同意，是原告的真实意思表示，不存在所谓的损害公司利益。王仁繁未获得任何收入，且原告主张的收益不应当是合同款，原告的诉讼请求没有任何事实及法律依据。</w:t>
      </w:r>
    </w:p>
    <w:p w:rsidR="00000000" w:rsidRDefault="001025C2">
      <w:pPr>
        <w:spacing w:line="500" w:lineRule="atLeast"/>
        <w:ind w:firstLine="600"/>
        <w:divId w:val="1005672314"/>
        <w:rPr>
          <w:rFonts w:hint="eastAsia"/>
          <w:sz w:val="30"/>
          <w:szCs w:val="30"/>
        </w:rPr>
      </w:pPr>
      <w:r>
        <w:rPr>
          <w:rFonts w:hint="eastAsia"/>
          <w:sz w:val="30"/>
          <w:szCs w:val="30"/>
        </w:rPr>
        <w:t>被告友为公司辩称，请求驳回原告对友为公司的起诉或者驳回其全部诉讼请求，理由如下：本案是公司高管损害公司利益赔偿纠纷，友为公司并非该损害纠纷确定的侵权主体，也不是归入权的对象，不是本案适格被告。案涉的合同是友为公司和原告真实意思表示，而且实际履行，至于是否存在偷盖印章的行为，与友为公司没有关联性。案涉项目实际上是友为公司借用原告的名义向西藏电信提供设备及服务，通过</w:t>
      </w:r>
      <w:r>
        <w:rPr>
          <w:rFonts w:hint="eastAsia"/>
          <w:sz w:val="30"/>
          <w:szCs w:val="30"/>
        </w:rPr>
        <w:t>友为公司与原告在高新法院另一买卖合同纠纷的庭审笔录，可以看出原告对于设备的交付及安装等细节完全不知情，但原告却依据友为公司交付设备的行为收取了最终客户方的付款。现在原告拒绝将其收到的款项向友为公司支付，并提起了本案诉讼，其主要目的是故意赖账。案涉合同是友为公司与原告两个法人单位之间的合意行为，与任何自然人没有关联关系，而且友为公司不是一人公司，其法人代表与原告员工之间系夫妻关系并不是公司法所规定限制的关联交易。</w:t>
      </w:r>
    </w:p>
    <w:p w:rsidR="00000000" w:rsidRDefault="001025C2">
      <w:pPr>
        <w:spacing w:line="500" w:lineRule="atLeast"/>
        <w:ind w:firstLine="600"/>
        <w:divId w:val="328290139"/>
        <w:rPr>
          <w:rFonts w:hint="eastAsia"/>
          <w:sz w:val="30"/>
          <w:szCs w:val="30"/>
        </w:rPr>
      </w:pPr>
      <w:r>
        <w:rPr>
          <w:rFonts w:hint="eastAsia"/>
          <w:sz w:val="30"/>
          <w:szCs w:val="30"/>
        </w:rPr>
        <w:t>原告威思拓公司为证明被告王仁繁系公司副总经理，举示“任命书”、王仁繁代表公司对外签订的合同，并申</w:t>
      </w:r>
      <w:r>
        <w:rPr>
          <w:rFonts w:hint="eastAsia"/>
          <w:sz w:val="30"/>
          <w:szCs w:val="30"/>
        </w:rPr>
        <w:t>请证人黄某、陶某等（均为威思拓公司员工）出庭作证，该“任命书”落款时间为</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其中记载“因公司逐步的发展，为了管理日益完善的需要，经公司研究决定兹任命王仁繁担任我公司副总经理一职，全面负责公司的销售、生产和服务等管理工作。以上任命决定自发布之日起即开始执行。”原告威思拓公司还称，与被告王仁繁签订有聘任合同，其中载明王仁繁是公司副总经理。被告王仁繁对“任命书”质证称，该证据是伪造的，从来没有见到或者签收过“任命书”，并申请对其形成时间进行鉴定。</w:t>
      </w:r>
    </w:p>
    <w:p w:rsidR="00000000" w:rsidRDefault="001025C2">
      <w:pPr>
        <w:spacing w:line="500" w:lineRule="atLeast"/>
        <w:ind w:firstLine="600"/>
        <w:divId w:val="2074037632"/>
        <w:rPr>
          <w:rFonts w:hint="eastAsia"/>
          <w:sz w:val="30"/>
          <w:szCs w:val="30"/>
        </w:rPr>
      </w:pPr>
      <w:r>
        <w:rPr>
          <w:rFonts w:hint="eastAsia"/>
          <w:sz w:val="30"/>
          <w:szCs w:val="30"/>
        </w:rPr>
        <w:t>根据当事人陈述和经审查确认的证据—“个人收入证明</w:t>
      </w:r>
      <w:r>
        <w:rPr>
          <w:rFonts w:hint="eastAsia"/>
          <w:sz w:val="30"/>
          <w:szCs w:val="30"/>
        </w:rPr>
        <w:t>”、《</w:t>
      </w:r>
      <w:r>
        <w:rPr>
          <w:rFonts w:hint="eastAsia"/>
          <w:sz w:val="30"/>
          <w:szCs w:val="30"/>
        </w:rPr>
        <w:t>2018</w:t>
      </w:r>
      <w:r>
        <w:rPr>
          <w:rFonts w:hint="eastAsia"/>
          <w:sz w:val="30"/>
          <w:szCs w:val="30"/>
        </w:rPr>
        <w:t>西藏电信</w:t>
      </w:r>
      <w:r>
        <w:rPr>
          <w:rFonts w:hint="eastAsia"/>
          <w:sz w:val="30"/>
          <w:szCs w:val="30"/>
        </w:rPr>
        <w:t>CDN</w:t>
      </w:r>
      <w:r>
        <w:rPr>
          <w:rFonts w:hint="eastAsia"/>
          <w:sz w:val="30"/>
          <w:szCs w:val="30"/>
        </w:rPr>
        <w:t>组播能力扩容项目设备及相关服务采购合同》，本院认定事实如下：</w:t>
      </w:r>
    </w:p>
    <w:p w:rsidR="00000000" w:rsidRDefault="001025C2">
      <w:pPr>
        <w:spacing w:line="500" w:lineRule="atLeast"/>
        <w:ind w:firstLine="600"/>
        <w:divId w:val="1318535603"/>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日，威思拓公司出具“个人收入证明”，其中记载：“兹证明王仁繁系我单位员工，已在我单位工作</w:t>
      </w:r>
      <w:r>
        <w:rPr>
          <w:rFonts w:hint="eastAsia"/>
          <w:sz w:val="30"/>
          <w:szCs w:val="30"/>
        </w:rPr>
        <w:t>8</w:t>
      </w:r>
      <w:r>
        <w:rPr>
          <w:rFonts w:hint="eastAsia"/>
          <w:sz w:val="30"/>
          <w:szCs w:val="30"/>
        </w:rPr>
        <w:t>年，职务销售经理……我单位对本证明的真实性负责……”</w:t>
      </w:r>
    </w:p>
    <w:p w:rsidR="00000000" w:rsidRDefault="001025C2">
      <w:pPr>
        <w:spacing w:line="500" w:lineRule="atLeast"/>
        <w:ind w:firstLine="600"/>
        <w:divId w:val="150489873"/>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日，威思拓公司与友为公司签订《</w:t>
      </w:r>
      <w:r>
        <w:rPr>
          <w:rFonts w:hint="eastAsia"/>
          <w:sz w:val="30"/>
          <w:szCs w:val="30"/>
        </w:rPr>
        <w:t>2018</w:t>
      </w:r>
      <w:r>
        <w:rPr>
          <w:rFonts w:hint="eastAsia"/>
          <w:sz w:val="30"/>
          <w:szCs w:val="30"/>
        </w:rPr>
        <w:t>西藏电信</w:t>
      </w:r>
      <w:r>
        <w:rPr>
          <w:rFonts w:hint="eastAsia"/>
          <w:sz w:val="30"/>
          <w:szCs w:val="30"/>
        </w:rPr>
        <w:t>CDN</w:t>
      </w:r>
      <w:r>
        <w:rPr>
          <w:rFonts w:hint="eastAsia"/>
          <w:sz w:val="30"/>
          <w:szCs w:val="30"/>
        </w:rPr>
        <w:t>组播能力扩容项目设备及相关服务采购合同》，约定威思拓公司向友为公司采购用于西藏电信</w:t>
      </w:r>
      <w:r>
        <w:rPr>
          <w:rFonts w:hint="eastAsia"/>
          <w:sz w:val="30"/>
          <w:szCs w:val="30"/>
        </w:rPr>
        <w:t>2018</w:t>
      </w:r>
      <w:r>
        <w:rPr>
          <w:rFonts w:hint="eastAsia"/>
          <w:sz w:val="30"/>
          <w:szCs w:val="30"/>
        </w:rPr>
        <w:t>年</w:t>
      </w:r>
      <w:r>
        <w:rPr>
          <w:rFonts w:hint="eastAsia"/>
          <w:sz w:val="30"/>
          <w:szCs w:val="30"/>
        </w:rPr>
        <w:t>CDN</w:t>
      </w:r>
      <w:r>
        <w:rPr>
          <w:rFonts w:hint="eastAsia"/>
          <w:sz w:val="30"/>
          <w:szCs w:val="30"/>
        </w:rPr>
        <w:t>系统扩容工程项目的货物和相关服务，总价款</w:t>
      </w:r>
      <w:r>
        <w:rPr>
          <w:rFonts w:hint="eastAsia"/>
          <w:sz w:val="30"/>
          <w:szCs w:val="30"/>
        </w:rPr>
        <w:t>3163320</w:t>
      </w:r>
      <w:r>
        <w:rPr>
          <w:rFonts w:hint="eastAsia"/>
          <w:sz w:val="30"/>
          <w:szCs w:val="30"/>
        </w:rPr>
        <w:t>元。王仁繁在该合同尾部“甲方：威思拓公</w:t>
      </w:r>
      <w:r>
        <w:rPr>
          <w:rFonts w:hint="eastAsia"/>
          <w:sz w:val="30"/>
          <w:szCs w:val="30"/>
        </w:rPr>
        <w:t>司授权代表”处签名。</w:t>
      </w:r>
    </w:p>
    <w:p w:rsidR="00000000" w:rsidRDefault="001025C2">
      <w:pPr>
        <w:spacing w:line="500" w:lineRule="atLeast"/>
        <w:ind w:firstLine="600"/>
        <w:divId w:val="1749813908"/>
        <w:rPr>
          <w:rFonts w:hint="eastAsia"/>
          <w:sz w:val="30"/>
          <w:szCs w:val="30"/>
        </w:rPr>
      </w:pPr>
      <w:r>
        <w:rPr>
          <w:rFonts w:hint="eastAsia"/>
          <w:sz w:val="30"/>
          <w:szCs w:val="30"/>
        </w:rPr>
        <w:t>诉讼过程中，基于查清案件事实的需要，本院要求威思拓公司提交前述“任命书”原件，但威思拓公司一直以各种理由推诿拖延，一直未予提交。</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日，威思拓公司书面向本院称“案涉《任命书》原件现已不在我公司处”。</w:t>
      </w:r>
    </w:p>
    <w:p w:rsidR="00000000" w:rsidRDefault="001025C2">
      <w:pPr>
        <w:spacing w:line="500" w:lineRule="atLeast"/>
        <w:ind w:firstLine="600"/>
        <w:divId w:val="1328481111"/>
        <w:rPr>
          <w:rFonts w:hint="eastAsia"/>
          <w:sz w:val="30"/>
          <w:szCs w:val="30"/>
        </w:rPr>
      </w:pPr>
      <w:r>
        <w:rPr>
          <w:rFonts w:hint="eastAsia"/>
          <w:sz w:val="30"/>
          <w:szCs w:val="30"/>
        </w:rPr>
        <w:t>本院认为，本案系公司高管损害公司利益责任纠纷，故本案首先需要解决的问题是王仁繁是否属于《中华人民共和国公司法》规定的高管，进一步而言，即王仁繁是否为威思拓公司主张的公司副（总）经理。对此，本院评述如下：诉讼主张须以证据为依托，威思拓公司用于证明其该项主张成立的证据有证人证言、</w:t>
      </w:r>
      <w:r>
        <w:rPr>
          <w:rFonts w:hint="eastAsia"/>
          <w:sz w:val="30"/>
          <w:szCs w:val="30"/>
        </w:rPr>
        <w:t>王仁繁代表威思拓公司对外签订的合同以及前述“任命书”，逐一而论，</w:t>
      </w:r>
      <w:r>
        <w:rPr>
          <w:rFonts w:hint="eastAsia"/>
          <w:sz w:val="30"/>
          <w:szCs w:val="30"/>
        </w:rPr>
        <w:t>1</w:t>
      </w:r>
      <w:r>
        <w:rPr>
          <w:rFonts w:hint="eastAsia"/>
          <w:sz w:val="30"/>
          <w:szCs w:val="30"/>
        </w:rPr>
        <w:t>、因证人均系威思拓公司员工，与威思拓公司具有直接利害关系，证言真实性存疑，故本院不予采信。</w:t>
      </w:r>
      <w:r>
        <w:rPr>
          <w:rFonts w:hint="eastAsia"/>
          <w:sz w:val="30"/>
          <w:szCs w:val="30"/>
        </w:rPr>
        <w:t>2</w:t>
      </w:r>
      <w:r>
        <w:rPr>
          <w:rFonts w:hint="eastAsia"/>
          <w:sz w:val="30"/>
          <w:szCs w:val="30"/>
        </w:rPr>
        <w:t>、根据王仁繁代表威思拓公司对外签订合同这一事实，只能说明其当时是威思拓公司委派的签约代表（代理人），并不能据此推断出其在威思拓公司担任副（总）经理。</w:t>
      </w:r>
      <w:r>
        <w:rPr>
          <w:rFonts w:hint="eastAsia"/>
          <w:sz w:val="30"/>
          <w:szCs w:val="30"/>
        </w:rPr>
        <w:t>3</w:t>
      </w:r>
      <w:r>
        <w:rPr>
          <w:rFonts w:hint="eastAsia"/>
          <w:sz w:val="30"/>
          <w:szCs w:val="30"/>
        </w:rPr>
        <w:t>、对于“任命书”，首先，存在相反证据，即前述“个人收入证明”，且威思拓公司对此不能作出令人信服的解释；其次，威思拓公司称聘任合同中亦载明王仁繁系副（总）经理，但迟迟不能提供相应证据；再次，威思拓公司推诿拖</w:t>
      </w:r>
      <w:r>
        <w:rPr>
          <w:rFonts w:hint="eastAsia"/>
          <w:sz w:val="30"/>
          <w:szCs w:val="30"/>
        </w:rPr>
        <w:t>延提交“任命书”原件的诉讼行为表现，实在有违诚实信用原则。因此，该“任命书”真实性存疑，本院不予采信；有鉴于此，对于王仁繁的鉴定申请，因无实施条件且无必要，本院不予准许。综上所述，威思拓公司所举证据不足以证明事发当时王仁繁系公司副（总）经理，相应地，其要求行使归入权的诉讼请求不成立。</w:t>
      </w:r>
    </w:p>
    <w:p w:rsidR="00000000" w:rsidRDefault="001025C2">
      <w:pPr>
        <w:spacing w:line="500" w:lineRule="atLeast"/>
        <w:ind w:firstLine="600"/>
        <w:divId w:val="778455594"/>
        <w:rPr>
          <w:rFonts w:hint="eastAsia"/>
          <w:sz w:val="30"/>
          <w:szCs w:val="30"/>
        </w:rPr>
      </w:pPr>
      <w:r>
        <w:rPr>
          <w:rFonts w:hint="eastAsia"/>
          <w:sz w:val="30"/>
          <w:szCs w:val="30"/>
        </w:rPr>
        <w:t>综上所述，本院对原告威思拓公司的诉讼请求不予支持。依照《中华人民共和国公司法》第一百四十八条、第二百一十六条第一项，《中华人民共和国民事诉讼法》第六十四条第一款规定，判决如下：</w:t>
      </w:r>
    </w:p>
    <w:p w:rsidR="00000000" w:rsidRDefault="001025C2">
      <w:pPr>
        <w:spacing w:line="500" w:lineRule="atLeast"/>
        <w:ind w:firstLine="600"/>
        <w:divId w:val="1521165922"/>
        <w:rPr>
          <w:rFonts w:hint="eastAsia"/>
          <w:sz w:val="30"/>
          <w:szCs w:val="30"/>
        </w:rPr>
      </w:pPr>
      <w:r>
        <w:rPr>
          <w:rFonts w:hint="eastAsia"/>
          <w:sz w:val="30"/>
          <w:szCs w:val="30"/>
        </w:rPr>
        <w:t>驳回原告成都威思拓科技有限公司的诉讼请求。</w:t>
      </w:r>
    </w:p>
    <w:p w:rsidR="00000000" w:rsidRDefault="001025C2">
      <w:pPr>
        <w:spacing w:line="500" w:lineRule="atLeast"/>
        <w:ind w:firstLine="600"/>
        <w:divId w:val="163208115"/>
        <w:rPr>
          <w:rFonts w:hint="eastAsia"/>
          <w:sz w:val="30"/>
          <w:szCs w:val="30"/>
        </w:rPr>
      </w:pPr>
      <w:r>
        <w:rPr>
          <w:rFonts w:hint="eastAsia"/>
          <w:sz w:val="30"/>
          <w:szCs w:val="30"/>
        </w:rPr>
        <w:t>案件</w:t>
      </w:r>
      <w:r>
        <w:rPr>
          <w:rFonts w:hint="eastAsia"/>
          <w:sz w:val="30"/>
          <w:szCs w:val="30"/>
        </w:rPr>
        <w:t>受理费</w:t>
      </w:r>
      <w:r>
        <w:rPr>
          <w:rFonts w:hint="eastAsia"/>
          <w:sz w:val="30"/>
          <w:szCs w:val="30"/>
        </w:rPr>
        <w:t>13289</w:t>
      </w:r>
      <w:r>
        <w:rPr>
          <w:rFonts w:hint="eastAsia"/>
          <w:sz w:val="30"/>
          <w:szCs w:val="30"/>
        </w:rPr>
        <w:t>元，由原告成都威思拓科技有限公司负担。</w:t>
      </w:r>
    </w:p>
    <w:p w:rsidR="00000000" w:rsidRDefault="001025C2">
      <w:pPr>
        <w:spacing w:line="500" w:lineRule="atLeast"/>
        <w:ind w:firstLine="600"/>
        <w:divId w:val="2019695613"/>
        <w:rPr>
          <w:rFonts w:hint="eastAsia"/>
          <w:sz w:val="30"/>
          <w:szCs w:val="30"/>
        </w:rPr>
      </w:pPr>
      <w:r>
        <w:rPr>
          <w:rFonts w:hint="eastAsia"/>
          <w:sz w:val="30"/>
          <w:szCs w:val="30"/>
        </w:rPr>
        <w:t>如不服本判决，可在判决书送达之日起十五日内，向本院递交上诉状，并按对方当事人的人数提出副本，上诉于四川省成都市中级人民法院。</w:t>
      </w:r>
    </w:p>
    <w:p w:rsidR="00000000" w:rsidRDefault="001025C2">
      <w:pPr>
        <w:spacing w:line="500" w:lineRule="atLeast"/>
        <w:jc w:val="right"/>
        <w:divId w:val="1363289000"/>
        <w:rPr>
          <w:rFonts w:hint="eastAsia"/>
          <w:sz w:val="30"/>
          <w:szCs w:val="30"/>
        </w:rPr>
      </w:pPr>
      <w:r>
        <w:rPr>
          <w:rFonts w:hint="eastAsia"/>
          <w:sz w:val="30"/>
          <w:szCs w:val="30"/>
        </w:rPr>
        <w:t>审判员　　余存江</w:t>
      </w:r>
    </w:p>
    <w:p w:rsidR="00000000" w:rsidRDefault="001025C2">
      <w:pPr>
        <w:spacing w:line="500" w:lineRule="atLeast"/>
        <w:jc w:val="right"/>
        <w:divId w:val="1809545670"/>
        <w:rPr>
          <w:rFonts w:hint="eastAsia"/>
          <w:sz w:val="30"/>
          <w:szCs w:val="30"/>
        </w:rPr>
      </w:pPr>
      <w:r>
        <w:rPr>
          <w:rFonts w:hint="eastAsia"/>
          <w:sz w:val="30"/>
          <w:szCs w:val="30"/>
        </w:rPr>
        <w:t>二〇一九年十一月六日</w:t>
      </w:r>
    </w:p>
    <w:p w:rsidR="00000000" w:rsidRDefault="001025C2">
      <w:pPr>
        <w:spacing w:line="500" w:lineRule="atLeast"/>
        <w:jc w:val="right"/>
        <w:divId w:val="1414815484"/>
        <w:rPr>
          <w:rFonts w:hint="eastAsia"/>
          <w:sz w:val="30"/>
          <w:szCs w:val="30"/>
        </w:rPr>
      </w:pPr>
      <w:r>
        <w:rPr>
          <w:rFonts w:hint="eastAsia"/>
          <w:sz w:val="30"/>
          <w:szCs w:val="30"/>
        </w:rPr>
        <w:t>书记员　　易亚楠</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5C2" w:rsidRDefault="001025C2" w:rsidP="001025C2">
      <w:r>
        <w:separator/>
      </w:r>
    </w:p>
  </w:endnote>
  <w:endnote w:type="continuationSeparator" w:id="0">
    <w:p w:rsidR="001025C2" w:rsidRDefault="001025C2" w:rsidP="0010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5C2" w:rsidRDefault="001025C2" w:rsidP="001025C2">
      <w:r>
        <w:separator/>
      </w:r>
    </w:p>
  </w:footnote>
  <w:footnote w:type="continuationSeparator" w:id="0">
    <w:p w:rsidR="001025C2" w:rsidRDefault="001025C2" w:rsidP="00102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25C2"/>
    <w:rsid w:val="0010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025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5C2"/>
    <w:rPr>
      <w:rFonts w:ascii="宋体" w:eastAsia="宋体" w:hAnsi="宋体" w:cs="宋体"/>
      <w:sz w:val="18"/>
      <w:szCs w:val="18"/>
    </w:rPr>
  </w:style>
  <w:style w:type="paragraph" w:styleId="a5">
    <w:name w:val="footer"/>
    <w:basedOn w:val="a"/>
    <w:link w:val="a6"/>
    <w:uiPriority w:val="99"/>
    <w:unhideWhenUsed/>
    <w:rsid w:val="001025C2"/>
    <w:pPr>
      <w:tabs>
        <w:tab w:val="center" w:pos="4153"/>
        <w:tab w:val="right" w:pos="8306"/>
      </w:tabs>
      <w:snapToGrid w:val="0"/>
    </w:pPr>
    <w:rPr>
      <w:sz w:val="18"/>
      <w:szCs w:val="18"/>
    </w:rPr>
  </w:style>
  <w:style w:type="character" w:customStyle="1" w:styleId="a6">
    <w:name w:val="页脚 字符"/>
    <w:basedOn w:val="a0"/>
    <w:link w:val="a5"/>
    <w:uiPriority w:val="99"/>
    <w:rsid w:val="001025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571">
      <w:marLeft w:val="0"/>
      <w:marRight w:val="0"/>
      <w:marTop w:val="10"/>
      <w:marBottom w:val="10"/>
      <w:divBdr>
        <w:top w:val="none" w:sz="0" w:space="0" w:color="auto"/>
        <w:left w:val="none" w:sz="0" w:space="0" w:color="auto"/>
        <w:bottom w:val="none" w:sz="0" w:space="0" w:color="auto"/>
        <w:right w:val="none" w:sz="0" w:space="0" w:color="auto"/>
      </w:divBdr>
    </w:div>
    <w:div w:id="121657914">
      <w:marLeft w:val="0"/>
      <w:marRight w:val="0"/>
      <w:marTop w:val="10"/>
      <w:marBottom w:val="10"/>
      <w:divBdr>
        <w:top w:val="none" w:sz="0" w:space="0" w:color="auto"/>
        <w:left w:val="none" w:sz="0" w:space="0" w:color="auto"/>
        <w:bottom w:val="none" w:sz="0" w:space="0" w:color="auto"/>
        <w:right w:val="none" w:sz="0" w:space="0" w:color="auto"/>
      </w:divBdr>
    </w:div>
    <w:div w:id="150489873">
      <w:marLeft w:val="0"/>
      <w:marRight w:val="0"/>
      <w:marTop w:val="10"/>
      <w:marBottom w:val="10"/>
      <w:divBdr>
        <w:top w:val="none" w:sz="0" w:space="0" w:color="auto"/>
        <w:left w:val="none" w:sz="0" w:space="0" w:color="auto"/>
        <w:bottom w:val="none" w:sz="0" w:space="0" w:color="auto"/>
        <w:right w:val="none" w:sz="0" w:space="0" w:color="auto"/>
      </w:divBdr>
    </w:div>
    <w:div w:id="163208115">
      <w:marLeft w:val="0"/>
      <w:marRight w:val="0"/>
      <w:marTop w:val="10"/>
      <w:marBottom w:val="10"/>
      <w:divBdr>
        <w:top w:val="none" w:sz="0" w:space="0" w:color="auto"/>
        <w:left w:val="none" w:sz="0" w:space="0" w:color="auto"/>
        <w:bottom w:val="none" w:sz="0" w:space="0" w:color="auto"/>
        <w:right w:val="none" w:sz="0" w:space="0" w:color="auto"/>
      </w:divBdr>
    </w:div>
    <w:div w:id="182592926">
      <w:marLeft w:val="0"/>
      <w:marRight w:val="0"/>
      <w:marTop w:val="10"/>
      <w:marBottom w:val="10"/>
      <w:divBdr>
        <w:top w:val="none" w:sz="0" w:space="0" w:color="auto"/>
        <w:left w:val="none" w:sz="0" w:space="0" w:color="auto"/>
        <w:bottom w:val="none" w:sz="0" w:space="0" w:color="auto"/>
        <w:right w:val="none" w:sz="0" w:space="0" w:color="auto"/>
      </w:divBdr>
    </w:div>
    <w:div w:id="213547894">
      <w:marLeft w:val="0"/>
      <w:marRight w:val="0"/>
      <w:marTop w:val="10"/>
      <w:marBottom w:val="10"/>
      <w:divBdr>
        <w:top w:val="none" w:sz="0" w:space="0" w:color="auto"/>
        <w:left w:val="none" w:sz="0" w:space="0" w:color="auto"/>
        <w:bottom w:val="none" w:sz="0" w:space="0" w:color="auto"/>
        <w:right w:val="none" w:sz="0" w:space="0" w:color="auto"/>
      </w:divBdr>
    </w:div>
    <w:div w:id="234358122">
      <w:marLeft w:val="0"/>
      <w:marRight w:val="0"/>
      <w:marTop w:val="10"/>
      <w:marBottom w:val="10"/>
      <w:divBdr>
        <w:top w:val="none" w:sz="0" w:space="0" w:color="auto"/>
        <w:left w:val="none" w:sz="0" w:space="0" w:color="auto"/>
        <w:bottom w:val="none" w:sz="0" w:space="0" w:color="auto"/>
        <w:right w:val="none" w:sz="0" w:space="0" w:color="auto"/>
      </w:divBdr>
    </w:div>
    <w:div w:id="328290139">
      <w:marLeft w:val="0"/>
      <w:marRight w:val="0"/>
      <w:marTop w:val="10"/>
      <w:marBottom w:val="10"/>
      <w:divBdr>
        <w:top w:val="none" w:sz="0" w:space="0" w:color="auto"/>
        <w:left w:val="none" w:sz="0" w:space="0" w:color="auto"/>
        <w:bottom w:val="none" w:sz="0" w:space="0" w:color="auto"/>
        <w:right w:val="none" w:sz="0" w:space="0" w:color="auto"/>
      </w:divBdr>
    </w:div>
    <w:div w:id="635640851">
      <w:marLeft w:val="0"/>
      <w:marRight w:val="0"/>
      <w:marTop w:val="10"/>
      <w:marBottom w:val="10"/>
      <w:divBdr>
        <w:top w:val="none" w:sz="0" w:space="0" w:color="auto"/>
        <w:left w:val="none" w:sz="0" w:space="0" w:color="auto"/>
        <w:bottom w:val="none" w:sz="0" w:space="0" w:color="auto"/>
        <w:right w:val="none" w:sz="0" w:space="0" w:color="auto"/>
      </w:divBdr>
    </w:div>
    <w:div w:id="662315721">
      <w:marLeft w:val="0"/>
      <w:marRight w:val="0"/>
      <w:marTop w:val="10"/>
      <w:marBottom w:val="10"/>
      <w:divBdr>
        <w:top w:val="none" w:sz="0" w:space="0" w:color="auto"/>
        <w:left w:val="none" w:sz="0" w:space="0" w:color="auto"/>
        <w:bottom w:val="none" w:sz="0" w:space="0" w:color="auto"/>
        <w:right w:val="none" w:sz="0" w:space="0" w:color="auto"/>
      </w:divBdr>
    </w:div>
    <w:div w:id="778455594">
      <w:marLeft w:val="0"/>
      <w:marRight w:val="0"/>
      <w:marTop w:val="10"/>
      <w:marBottom w:val="10"/>
      <w:divBdr>
        <w:top w:val="none" w:sz="0" w:space="0" w:color="auto"/>
        <w:left w:val="none" w:sz="0" w:space="0" w:color="auto"/>
        <w:bottom w:val="none" w:sz="0" w:space="0" w:color="auto"/>
        <w:right w:val="none" w:sz="0" w:space="0" w:color="auto"/>
      </w:divBdr>
    </w:div>
    <w:div w:id="968169344">
      <w:marLeft w:val="0"/>
      <w:marRight w:val="0"/>
      <w:marTop w:val="10"/>
      <w:marBottom w:val="10"/>
      <w:divBdr>
        <w:top w:val="none" w:sz="0" w:space="0" w:color="auto"/>
        <w:left w:val="none" w:sz="0" w:space="0" w:color="auto"/>
        <w:bottom w:val="none" w:sz="0" w:space="0" w:color="auto"/>
        <w:right w:val="none" w:sz="0" w:space="0" w:color="auto"/>
      </w:divBdr>
    </w:div>
    <w:div w:id="1005672314">
      <w:marLeft w:val="0"/>
      <w:marRight w:val="0"/>
      <w:marTop w:val="10"/>
      <w:marBottom w:val="10"/>
      <w:divBdr>
        <w:top w:val="none" w:sz="0" w:space="0" w:color="auto"/>
        <w:left w:val="none" w:sz="0" w:space="0" w:color="auto"/>
        <w:bottom w:val="none" w:sz="0" w:space="0" w:color="auto"/>
        <w:right w:val="none" w:sz="0" w:space="0" w:color="auto"/>
      </w:divBdr>
    </w:div>
    <w:div w:id="1039016910">
      <w:marLeft w:val="0"/>
      <w:marRight w:val="0"/>
      <w:marTop w:val="10"/>
      <w:marBottom w:val="10"/>
      <w:divBdr>
        <w:top w:val="none" w:sz="0" w:space="0" w:color="auto"/>
        <w:left w:val="none" w:sz="0" w:space="0" w:color="auto"/>
        <w:bottom w:val="none" w:sz="0" w:space="0" w:color="auto"/>
        <w:right w:val="none" w:sz="0" w:space="0" w:color="auto"/>
      </w:divBdr>
    </w:div>
    <w:div w:id="1285113730">
      <w:marLeft w:val="0"/>
      <w:marRight w:val="0"/>
      <w:marTop w:val="10"/>
      <w:marBottom w:val="10"/>
      <w:divBdr>
        <w:top w:val="none" w:sz="0" w:space="0" w:color="auto"/>
        <w:left w:val="none" w:sz="0" w:space="0" w:color="auto"/>
        <w:bottom w:val="none" w:sz="0" w:space="0" w:color="auto"/>
        <w:right w:val="none" w:sz="0" w:space="0" w:color="auto"/>
      </w:divBdr>
    </w:div>
    <w:div w:id="1318535603">
      <w:marLeft w:val="0"/>
      <w:marRight w:val="0"/>
      <w:marTop w:val="10"/>
      <w:marBottom w:val="10"/>
      <w:divBdr>
        <w:top w:val="none" w:sz="0" w:space="0" w:color="auto"/>
        <w:left w:val="none" w:sz="0" w:space="0" w:color="auto"/>
        <w:bottom w:val="none" w:sz="0" w:space="0" w:color="auto"/>
        <w:right w:val="none" w:sz="0" w:space="0" w:color="auto"/>
      </w:divBdr>
    </w:div>
    <w:div w:id="1328481111">
      <w:marLeft w:val="0"/>
      <w:marRight w:val="0"/>
      <w:marTop w:val="10"/>
      <w:marBottom w:val="10"/>
      <w:divBdr>
        <w:top w:val="none" w:sz="0" w:space="0" w:color="auto"/>
        <w:left w:val="none" w:sz="0" w:space="0" w:color="auto"/>
        <w:bottom w:val="none" w:sz="0" w:space="0" w:color="auto"/>
        <w:right w:val="none" w:sz="0" w:space="0" w:color="auto"/>
      </w:divBdr>
    </w:div>
    <w:div w:id="1363289000">
      <w:marLeft w:val="0"/>
      <w:marRight w:val="720"/>
      <w:marTop w:val="10"/>
      <w:marBottom w:val="10"/>
      <w:divBdr>
        <w:top w:val="none" w:sz="0" w:space="0" w:color="auto"/>
        <w:left w:val="none" w:sz="0" w:space="0" w:color="auto"/>
        <w:bottom w:val="none" w:sz="0" w:space="0" w:color="auto"/>
        <w:right w:val="none" w:sz="0" w:space="0" w:color="auto"/>
      </w:divBdr>
    </w:div>
    <w:div w:id="1414815484">
      <w:marLeft w:val="0"/>
      <w:marRight w:val="720"/>
      <w:marTop w:val="10"/>
      <w:marBottom w:val="10"/>
      <w:divBdr>
        <w:top w:val="none" w:sz="0" w:space="0" w:color="auto"/>
        <w:left w:val="none" w:sz="0" w:space="0" w:color="auto"/>
        <w:bottom w:val="none" w:sz="0" w:space="0" w:color="auto"/>
        <w:right w:val="none" w:sz="0" w:space="0" w:color="auto"/>
      </w:divBdr>
    </w:div>
    <w:div w:id="1432386429">
      <w:marLeft w:val="0"/>
      <w:marRight w:val="0"/>
      <w:marTop w:val="10"/>
      <w:marBottom w:val="10"/>
      <w:divBdr>
        <w:top w:val="none" w:sz="0" w:space="0" w:color="auto"/>
        <w:left w:val="none" w:sz="0" w:space="0" w:color="auto"/>
        <w:bottom w:val="none" w:sz="0" w:space="0" w:color="auto"/>
        <w:right w:val="none" w:sz="0" w:space="0" w:color="auto"/>
      </w:divBdr>
    </w:div>
    <w:div w:id="1475757834">
      <w:marLeft w:val="0"/>
      <w:marRight w:val="0"/>
      <w:marTop w:val="10"/>
      <w:marBottom w:val="10"/>
      <w:divBdr>
        <w:top w:val="none" w:sz="0" w:space="0" w:color="auto"/>
        <w:left w:val="none" w:sz="0" w:space="0" w:color="auto"/>
        <w:bottom w:val="none" w:sz="0" w:space="0" w:color="auto"/>
        <w:right w:val="none" w:sz="0" w:space="0" w:color="auto"/>
      </w:divBdr>
    </w:div>
    <w:div w:id="1521165922">
      <w:marLeft w:val="0"/>
      <w:marRight w:val="0"/>
      <w:marTop w:val="10"/>
      <w:marBottom w:val="10"/>
      <w:divBdr>
        <w:top w:val="none" w:sz="0" w:space="0" w:color="auto"/>
        <w:left w:val="none" w:sz="0" w:space="0" w:color="auto"/>
        <w:bottom w:val="none" w:sz="0" w:space="0" w:color="auto"/>
        <w:right w:val="none" w:sz="0" w:space="0" w:color="auto"/>
      </w:divBdr>
    </w:div>
    <w:div w:id="1675646456">
      <w:marLeft w:val="0"/>
      <w:marRight w:val="0"/>
      <w:marTop w:val="10"/>
      <w:marBottom w:val="10"/>
      <w:divBdr>
        <w:top w:val="none" w:sz="0" w:space="0" w:color="auto"/>
        <w:left w:val="none" w:sz="0" w:space="0" w:color="auto"/>
        <w:bottom w:val="none" w:sz="0" w:space="0" w:color="auto"/>
        <w:right w:val="none" w:sz="0" w:space="0" w:color="auto"/>
      </w:divBdr>
    </w:div>
    <w:div w:id="1749813908">
      <w:marLeft w:val="0"/>
      <w:marRight w:val="0"/>
      <w:marTop w:val="10"/>
      <w:marBottom w:val="10"/>
      <w:divBdr>
        <w:top w:val="none" w:sz="0" w:space="0" w:color="auto"/>
        <w:left w:val="none" w:sz="0" w:space="0" w:color="auto"/>
        <w:bottom w:val="none" w:sz="0" w:space="0" w:color="auto"/>
        <w:right w:val="none" w:sz="0" w:space="0" w:color="auto"/>
      </w:divBdr>
    </w:div>
    <w:div w:id="1809545670">
      <w:marLeft w:val="0"/>
      <w:marRight w:val="720"/>
      <w:marTop w:val="10"/>
      <w:marBottom w:val="10"/>
      <w:divBdr>
        <w:top w:val="none" w:sz="0" w:space="0" w:color="auto"/>
        <w:left w:val="none" w:sz="0" w:space="0" w:color="auto"/>
        <w:bottom w:val="none" w:sz="0" w:space="0" w:color="auto"/>
        <w:right w:val="none" w:sz="0" w:space="0" w:color="auto"/>
      </w:divBdr>
    </w:div>
    <w:div w:id="1972442336">
      <w:marLeft w:val="0"/>
      <w:marRight w:val="0"/>
      <w:marTop w:val="10"/>
      <w:marBottom w:val="10"/>
      <w:divBdr>
        <w:top w:val="none" w:sz="0" w:space="0" w:color="auto"/>
        <w:left w:val="none" w:sz="0" w:space="0" w:color="auto"/>
        <w:bottom w:val="none" w:sz="0" w:space="0" w:color="auto"/>
        <w:right w:val="none" w:sz="0" w:space="0" w:color="auto"/>
      </w:divBdr>
    </w:div>
    <w:div w:id="2019695613">
      <w:marLeft w:val="0"/>
      <w:marRight w:val="0"/>
      <w:marTop w:val="10"/>
      <w:marBottom w:val="10"/>
      <w:divBdr>
        <w:top w:val="none" w:sz="0" w:space="0" w:color="auto"/>
        <w:left w:val="none" w:sz="0" w:space="0" w:color="auto"/>
        <w:bottom w:val="none" w:sz="0" w:space="0" w:color="auto"/>
        <w:right w:val="none" w:sz="0" w:space="0" w:color="auto"/>
      </w:divBdr>
    </w:div>
    <w:div w:id="2074037632">
      <w:marLeft w:val="0"/>
      <w:marRight w:val="0"/>
      <w:marTop w:val="10"/>
      <w:marBottom w:val="10"/>
      <w:divBdr>
        <w:top w:val="none" w:sz="0" w:space="0" w:color="auto"/>
        <w:left w:val="none" w:sz="0" w:space="0" w:color="auto"/>
        <w:bottom w:val="none" w:sz="0" w:space="0" w:color="auto"/>
        <w:right w:val="none" w:sz="0" w:space="0" w:color="auto"/>
      </w:divBdr>
    </w:div>
    <w:div w:id="208263255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