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1E90">
      <w:pPr>
        <w:spacing w:line="500" w:lineRule="atLeast"/>
        <w:jc w:val="center"/>
        <w:divId w:val="2109307740"/>
        <w:rPr>
          <w:rFonts w:ascii="黑体" w:eastAsia="黑体" w:hAnsi="黑体"/>
          <w:sz w:val="36"/>
          <w:szCs w:val="36"/>
        </w:rPr>
      </w:pPr>
      <w:bookmarkStart w:id="0" w:name="_GoBack"/>
      <w:bookmarkEnd w:id="0"/>
      <w:r>
        <w:rPr>
          <w:rFonts w:ascii="黑体" w:eastAsia="黑体" w:hAnsi="黑体" w:hint="eastAsia"/>
          <w:sz w:val="36"/>
          <w:szCs w:val="36"/>
        </w:rPr>
        <w:t>河南省郑州市惠济区人民法院</w:t>
      </w:r>
    </w:p>
    <w:p w:rsidR="00000000" w:rsidRDefault="002E1E90">
      <w:pPr>
        <w:spacing w:line="500" w:lineRule="atLeast"/>
        <w:jc w:val="center"/>
        <w:divId w:val="5392425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1E90">
      <w:pPr>
        <w:spacing w:line="500" w:lineRule="atLeast"/>
        <w:jc w:val="right"/>
        <w:divId w:val="1160577669"/>
        <w:rPr>
          <w:rFonts w:hint="eastAsia"/>
          <w:sz w:val="30"/>
          <w:szCs w:val="30"/>
        </w:rPr>
      </w:pPr>
      <w:r>
        <w:rPr>
          <w:rFonts w:hint="eastAsia"/>
          <w:sz w:val="30"/>
          <w:szCs w:val="30"/>
        </w:rPr>
        <w:t>（</w:t>
      </w:r>
      <w:r>
        <w:rPr>
          <w:rFonts w:hint="eastAsia"/>
          <w:sz w:val="30"/>
          <w:szCs w:val="30"/>
        </w:rPr>
        <w:t>2017</w:t>
      </w:r>
      <w:r>
        <w:rPr>
          <w:rFonts w:hint="eastAsia"/>
          <w:sz w:val="30"/>
          <w:szCs w:val="30"/>
        </w:rPr>
        <w:t>）豫</w:t>
      </w:r>
      <w:r>
        <w:rPr>
          <w:rFonts w:hint="eastAsia"/>
          <w:sz w:val="30"/>
          <w:szCs w:val="30"/>
        </w:rPr>
        <w:t>0108</w:t>
      </w:r>
      <w:r>
        <w:rPr>
          <w:rFonts w:hint="eastAsia"/>
          <w:sz w:val="30"/>
          <w:szCs w:val="30"/>
        </w:rPr>
        <w:t>民初</w:t>
      </w:r>
      <w:r>
        <w:rPr>
          <w:rFonts w:hint="eastAsia"/>
          <w:sz w:val="30"/>
          <w:szCs w:val="30"/>
        </w:rPr>
        <w:t>663</w:t>
      </w:r>
      <w:r>
        <w:rPr>
          <w:rFonts w:hint="eastAsia"/>
          <w:sz w:val="30"/>
          <w:szCs w:val="30"/>
        </w:rPr>
        <w:t>号</w:t>
      </w:r>
    </w:p>
    <w:p w:rsidR="00000000" w:rsidRDefault="002E1E90">
      <w:pPr>
        <w:spacing w:line="500" w:lineRule="atLeast"/>
        <w:ind w:firstLine="600"/>
        <w:divId w:val="837699406"/>
        <w:rPr>
          <w:rFonts w:hint="eastAsia"/>
          <w:sz w:val="30"/>
          <w:szCs w:val="30"/>
        </w:rPr>
      </w:pPr>
      <w:r>
        <w:rPr>
          <w:rFonts w:hint="eastAsia"/>
          <w:sz w:val="30"/>
          <w:szCs w:val="30"/>
        </w:rPr>
        <w:t>原告：李照岭，男，</w:t>
      </w:r>
      <w:r>
        <w:rPr>
          <w:rFonts w:hint="eastAsia"/>
          <w:sz w:val="30"/>
          <w:szCs w:val="30"/>
        </w:rPr>
        <w:t>1984</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日生，汉族。</w:t>
      </w:r>
    </w:p>
    <w:p w:rsidR="00000000" w:rsidRDefault="002E1E90">
      <w:pPr>
        <w:spacing w:line="500" w:lineRule="atLeast"/>
        <w:ind w:firstLine="600"/>
        <w:divId w:val="186254497"/>
        <w:rPr>
          <w:rFonts w:hint="eastAsia"/>
          <w:sz w:val="30"/>
          <w:szCs w:val="30"/>
        </w:rPr>
      </w:pPr>
      <w:r>
        <w:rPr>
          <w:rFonts w:hint="eastAsia"/>
          <w:sz w:val="30"/>
          <w:szCs w:val="30"/>
        </w:rPr>
        <w:t>委托诉讼代理人：张乐园，法律服务所法律工作者。</w:t>
      </w:r>
    </w:p>
    <w:p w:rsidR="00000000" w:rsidRDefault="002E1E90">
      <w:pPr>
        <w:spacing w:line="500" w:lineRule="atLeast"/>
        <w:ind w:firstLine="600"/>
        <w:divId w:val="657536768"/>
        <w:rPr>
          <w:rFonts w:hint="eastAsia"/>
          <w:sz w:val="30"/>
          <w:szCs w:val="30"/>
        </w:rPr>
      </w:pPr>
      <w:r>
        <w:rPr>
          <w:rFonts w:hint="eastAsia"/>
          <w:sz w:val="30"/>
          <w:szCs w:val="30"/>
        </w:rPr>
        <w:t>被告：郑州市聚通祥商贸有限公司。</w:t>
      </w:r>
    </w:p>
    <w:p w:rsidR="00000000" w:rsidRDefault="002E1E90">
      <w:pPr>
        <w:spacing w:line="500" w:lineRule="atLeast"/>
        <w:ind w:firstLine="600"/>
        <w:divId w:val="166214257"/>
        <w:rPr>
          <w:rFonts w:hint="eastAsia"/>
          <w:sz w:val="30"/>
          <w:szCs w:val="30"/>
        </w:rPr>
      </w:pPr>
      <w:r>
        <w:rPr>
          <w:rFonts w:hint="eastAsia"/>
          <w:sz w:val="30"/>
          <w:szCs w:val="30"/>
        </w:rPr>
        <w:t>法定代表人：李高峰，系该公司执行董事。</w:t>
      </w:r>
    </w:p>
    <w:p w:rsidR="00000000" w:rsidRDefault="002E1E90">
      <w:pPr>
        <w:spacing w:line="500" w:lineRule="atLeast"/>
        <w:ind w:firstLine="600"/>
        <w:divId w:val="624316797"/>
        <w:rPr>
          <w:rFonts w:hint="eastAsia"/>
          <w:sz w:val="30"/>
          <w:szCs w:val="30"/>
        </w:rPr>
      </w:pPr>
      <w:r>
        <w:rPr>
          <w:rFonts w:hint="eastAsia"/>
          <w:sz w:val="30"/>
          <w:szCs w:val="30"/>
        </w:rPr>
        <w:t>委托诉讼代理人：李娄保，系北京市中闻律师事务所郑州分所律师。</w:t>
      </w:r>
    </w:p>
    <w:p w:rsidR="00000000" w:rsidRDefault="002E1E90">
      <w:pPr>
        <w:spacing w:line="500" w:lineRule="atLeast"/>
        <w:ind w:firstLine="600"/>
        <w:divId w:val="990404887"/>
        <w:rPr>
          <w:rFonts w:hint="eastAsia"/>
          <w:sz w:val="30"/>
          <w:szCs w:val="30"/>
        </w:rPr>
      </w:pPr>
      <w:r>
        <w:rPr>
          <w:rFonts w:hint="eastAsia"/>
          <w:sz w:val="30"/>
          <w:szCs w:val="30"/>
        </w:rPr>
        <w:t>原告李照岭与被告郑州市聚通祥商贸有限公司合同纠纷一案，本院于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日立案后，依法组成合议庭，公开开庭进行了审理。原告及其委托诉讼代理人张乐园、被告法定代表人李高峰及其委托诉讼代理人李娄保到庭参加了诉讼。本案现已审理终结。</w:t>
      </w:r>
    </w:p>
    <w:p w:rsidR="00000000" w:rsidRDefault="002E1E90">
      <w:pPr>
        <w:spacing w:line="500" w:lineRule="atLeast"/>
        <w:ind w:firstLine="600"/>
        <w:divId w:val="1689141146"/>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被告支付原告空调安装费</w:t>
      </w:r>
      <w:r>
        <w:rPr>
          <w:rFonts w:hint="eastAsia"/>
          <w:sz w:val="30"/>
          <w:szCs w:val="30"/>
        </w:rPr>
        <w:t>45900</w:t>
      </w:r>
      <w:r>
        <w:rPr>
          <w:rFonts w:hint="eastAsia"/>
          <w:sz w:val="30"/>
          <w:szCs w:val="30"/>
        </w:rPr>
        <w:t>元；</w:t>
      </w:r>
      <w:r>
        <w:rPr>
          <w:rFonts w:hint="eastAsia"/>
          <w:sz w:val="30"/>
          <w:szCs w:val="30"/>
        </w:rPr>
        <w:t>2.</w:t>
      </w:r>
      <w:r>
        <w:rPr>
          <w:rFonts w:hint="eastAsia"/>
          <w:sz w:val="30"/>
          <w:szCs w:val="30"/>
        </w:rPr>
        <w:t>本案诉讼费由被告承担。事实和理由：原告与被告系合作关系，双方于</w:t>
      </w:r>
      <w:r>
        <w:rPr>
          <w:rFonts w:hint="eastAsia"/>
          <w:sz w:val="30"/>
          <w:szCs w:val="30"/>
        </w:rPr>
        <w:t>2013</w:t>
      </w:r>
      <w:r>
        <w:rPr>
          <w:rFonts w:hint="eastAsia"/>
          <w:sz w:val="30"/>
          <w:szCs w:val="30"/>
        </w:rPr>
        <w:t>年签订合作协议，以被告的名义承接某限公司空调安装工程，实际由原告进行施工，工程款（安装费）由格力公司直接支付给被告后，被告再将安装费付给原告</w:t>
      </w:r>
      <w:r>
        <w:rPr>
          <w:rFonts w:hint="eastAsia"/>
          <w:sz w:val="30"/>
          <w:szCs w:val="30"/>
        </w:rPr>
        <w:t>。经结算，截止目前被告尚欠原告空调安装费</w:t>
      </w:r>
      <w:r>
        <w:rPr>
          <w:rFonts w:hint="eastAsia"/>
          <w:sz w:val="30"/>
          <w:szCs w:val="30"/>
        </w:rPr>
        <w:t>45900</w:t>
      </w:r>
      <w:r>
        <w:rPr>
          <w:rFonts w:hint="eastAsia"/>
          <w:sz w:val="30"/>
          <w:szCs w:val="30"/>
        </w:rPr>
        <w:t>元，该笔费用格力公司已支付给被告，被告至今没有支付给原告。原告为维护其合法权益，现起诉来院。</w:t>
      </w:r>
    </w:p>
    <w:p w:rsidR="00000000" w:rsidRDefault="002E1E90">
      <w:pPr>
        <w:spacing w:line="500" w:lineRule="atLeast"/>
        <w:ind w:firstLine="600"/>
        <w:divId w:val="17896781"/>
        <w:rPr>
          <w:rFonts w:hint="eastAsia"/>
          <w:sz w:val="30"/>
          <w:szCs w:val="30"/>
        </w:rPr>
      </w:pPr>
      <w:r>
        <w:rPr>
          <w:rFonts w:hint="eastAsia"/>
          <w:sz w:val="30"/>
          <w:szCs w:val="30"/>
        </w:rPr>
        <w:t>被告辩称，</w:t>
      </w:r>
      <w:r>
        <w:rPr>
          <w:rFonts w:hint="eastAsia"/>
          <w:sz w:val="30"/>
          <w:szCs w:val="30"/>
        </w:rPr>
        <w:t>1.</w:t>
      </w:r>
      <w:r>
        <w:rPr>
          <w:rFonts w:hint="eastAsia"/>
          <w:sz w:val="30"/>
          <w:szCs w:val="30"/>
        </w:rPr>
        <w:t>原、被告不是合作关系，原告系被告的股东，占</w:t>
      </w:r>
      <w:r>
        <w:rPr>
          <w:rFonts w:hint="eastAsia"/>
          <w:sz w:val="30"/>
          <w:szCs w:val="30"/>
        </w:rPr>
        <w:t>33%</w:t>
      </w:r>
      <w:r>
        <w:rPr>
          <w:rFonts w:hint="eastAsia"/>
          <w:sz w:val="30"/>
          <w:szCs w:val="30"/>
        </w:rPr>
        <w:t>的股份，原告还是被告的监事，至今还保管着被告的印章，是被告的实际控制人；</w:t>
      </w:r>
      <w:r>
        <w:rPr>
          <w:rFonts w:hint="eastAsia"/>
          <w:sz w:val="30"/>
          <w:szCs w:val="30"/>
        </w:rPr>
        <w:t>2.</w:t>
      </w:r>
      <w:r>
        <w:rPr>
          <w:rFonts w:hint="eastAsia"/>
          <w:sz w:val="30"/>
          <w:szCs w:val="30"/>
        </w:rPr>
        <w:t>被告与原告不存在合同关系，原告以被告的名义进行商业活动系履行职务的行为，被告对原告履行职务行为产生的收入有归入权，空调安装费系被告</w:t>
      </w:r>
      <w:r>
        <w:rPr>
          <w:rFonts w:hint="eastAsia"/>
          <w:sz w:val="30"/>
          <w:szCs w:val="30"/>
        </w:rPr>
        <w:lastRenderedPageBreak/>
        <w:t>的财产。综上，原告的诉讼请求没有事实和法律依据，依法应当驳回。</w:t>
      </w:r>
    </w:p>
    <w:p w:rsidR="00000000" w:rsidRDefault="002E1E90">
      <w:pPr>
        <w:spacing w:line="500" w:lineRule="atLeast"/>
        <w:ind w:firstLine="600"/>
        <w:divId w:val="1051460618"/>
        <w:rPr>
          <w:rFonts w:hint="eastAsia"/>
          <w:sz w:val="30"/>
          <w:szCs w:val="30"/>
        </w:rPr>
      </w:pPr>
      <w:r>
        <w:rPr>
          <w:rFonts w:hint="eastAsia"/>
          <w:sz w:val="30"/>
          <w:szCs w:val="30"/>
        </w:rPr>
        <w:t>当事人围绕诉讼请求依法提交了证据，本</w:t>
      </w:r>
      <w:r>
        <w:rPr>
          <w:rFonts w:hint="eastAsia"/>
          <w:sz w:val="30"/>
          <w:szCs w:val="30"/>
        </w:rPr>
        <w:t>院组织当事人进行了证据交换和质证。本院依据当事人陈述，结合有效证据，对本案事实确认如下：</w:t>
      </w:r>
    </w:p>
    <w:p w:rsidR="00000000" w:rsidRDefault="002E1E90">
      <w:pPr>
        <w:spacing w:line="500" w:lineRule="atLeast"/>
        <w:ind w:firstLine="600"/>
        <w:divId w:val="213272760"/>
        <w:rPr>
          <w:rFonts w:hint="eastAsia"/>
          <w:sz w:val="30"/>
          <w:szCs w:val="30"/>
        </w:rPr>
      </w:pPr>
      <w:r>
        <w:rPr>
          <w:rFonts w:hint="eastAsia"/>
          <w:sz w:val="30"/>
          <w:szCs w:val="30"/>
        </w:rPr>
        <w:t>被告成立于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日，经营范围：销售日用百货、家用电器；家用电器安装、维修。被告的股东为张朝阳、李高峰及原告李照岭，三人各出资</w:t>
      </w:r>
      <w:r>
        <w:rPr>
          <w:rFonts w:hint="eastAsia"/>
          <w:sz w:val="30"/>
          <w:szCs w:val="30"/>
        </w:rPr>
        <w:t>7</w:t>
      </w:r>
      <w:r>
        <w:rPr>
          <w:rFonts w:hint="eastAsia"/>
          <w:sz w:val="30"/>
          <w:szCs w:val="30"/>
        </w:rPr>
        <w:t>万元。被告公司章程显示：公司设股东会，股东会审议批准公司的利润分配方案和弥补亏损方案；公司设经理一名，选举张朝阳为经理；公司设监事一人，选举李照岭为监事。张朝阳、原告、李高峰于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日签订合作协议一份，协议显示：三方作为投资人共同经营郑州市聚通祥商贸有限公司，按出资比例分</w:t>
      </w:r>
      <w:r>
        <w:rPr>
          <w:rFonts w:hint="eastAsia"/>
          <w:sz w:val="30"/>
          <w:szCs w:val="30"/>
        </w:rPr>
        <w:t>享利润，分担亏损与风险；储备资金、纯利润分配方案、重大投资及商业订单需经股东会议决议；每个年度终结后，应尽快把公司的“纯利润”按约定比例分配给各股东，“纯利润”是从毛利润中减去税款、筹备公司的资金、房租、水电、工资、办公用品等。原告提交的证据显示，某公司曾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w:t>
      </w:r>
      <w:r>
        <w:rPr>
          <w:rFonts w:hint="eastAsia"/>
          <w:sz w:val="30"/>
          <w:szCs w:val="30"/>
        </w:rPr>
        <w:t>8</w:t>
      </w:r>
      <w:r>
        <w:rPr>
          <w:rFonts w:hint="eastAsia"/>
          <w:sz w:val="30"/>
          <w:szCs w:val="30"/>
        </w:rPr>
        <w:t>月</w:t>
      </w:r>
      <w:r>
        <w:rPr>
          <w:rFonts w:hint="eastAsia"/>
          <w:sz w:val="30"/>
          <w:szCs w:val="30"/>
        </w:rPr>
        <w:t>15</w:t>
      </w:r>
      <w:r>
        <w:rPr>
          <w:rFonts w:hint="eastAsia"/>
          <w:sz w:val="30"/>
          <w:szCs w:val="30"/>
        </w:rPr>
        <w:t>日、</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9</w:t>
      </w:r>
      <w:r>
        <w:rPr>
          <w:rFonts w:hint="eastAsia"/>
          <w:sz w:val="30"/>
          <w:szCs w:val="30"/>
        </w:rPr>
        <w:t>月</w:t>
      </w:r>
      <w:r>
        <w:rPr>
          <w:rFonts w:hint="eastAsia"/>
          <w:sz w:val="30"/>
          <w:szCs w:val="30"/>
        </w:rPr>
        <w:t>23</w:t>
      </w:r>
      <w:r>
        <w:rPr>
          <w:rFonts w:hint="eastAsia"/>
          <w:sz w:val="30"/>
          <w:szCs w:val="30"/>
        </w:rPr>
        <w:t>日分四笔打入被告账户安维费共计</w:t>
      </w:r>
      <w:r>
        <w:rPr>
          <w:rFonts w:hint="eastAsia"/>
          <w:sz w:val="30"/>
          <w:szCs w:val="30"/>
        </w:rPr>
        <w:t>78290</w:t>
      </w:r>
      <w:r>
        <w:rPr>
          <w:rFonts w:hint="eastAsia"/>
          <w:sz w:val="30"/>
          <w:szCs w:val="30"/>
        </w:rPr>
        <w:t>元。</w:t>
      </w:r>
    </w:p>
    <w:p w:rsidR="00000000" w:rsidRDefault="002E1E90">
      <w:pPr>
        <w:spacing w:line="500" w:lineRule="atLeast"/>
        <w:ind w:firstLine="600"/>
        <w:divId w:val="1663579870"/>
        <w:rPr>
          <w:rFonts w:hint="eastAsia"/>
          <w:sz w:val="30"/>
          <w:szCs w:val="30"/>
        </w:rPr>
      </w:pPr>
      <w:r>
        <w:rPr>
          <w:rFonts w:hint="eastAsia"/>
          <w:sz w:val="30"/>
          <w:szCs w:val="30"/>
        </w:rPr>
        <w:t>本院认为，当事人对自己提出的诉讼请求所依据的事实或者反驳对方诉讼请求所依据的事实，应当提供证据加以证明，当事人未能提供证据或者证据不足以证明其事实主张的，</w:t>
      </w:r>
      <w:r>
        <w:rPr>
          <w:rFonts w:hint="eastAsia"/>
          <w:sz w:val="30"/>
          <w:szCs w:val="30"/>
        </w:rPr>
        <w:t>由负有举证责任的当事人承担不利后果。本案中，原告称其与被告系合作关系，其以被告名义开展业务的收入应归其所有的意见，证据不足，本院不予采纳。原告是被告的股东，可依据股东合作协议及公司章程参与公司利润的分配，但其要求被告支</w:t>
      </w:r>
      <w:r>
        <w:rPr>
          <w:rFonts w:hint="eastAsia"/>
          <w:sz w:val="30"/>
          <w:szCs w:val="30"/>
        </w:rPr>
        <w:lastRenderedPageBreak/>
        <w:t>付空调安装费的诉讼请求，缺乏事实及法律依据，本院不予支持。</w:t>
      </w:r>
    </w:p>
    <w:p w:rsidR="00000000" w:rsidRDefault="002E1E90">
      <w:pPr>
        <w:spacing w:line="500" w:lineRule="atLeast"/>
        <w:ind w:firstLine="600"/>
        <w:divId w:val="1794326517"/>
        <w:rPr>
          <w:rFonts w:hint="eastAsia"/>
          <w:sz w:val="30"/>
          <w:szCs w:val="30"/>
        </w:rPr>
      </w:pPr>
      <w:r>
        <w:rPr>
          <w:rFonts w:hint="eastAsia"/>
          <w:sz w:val="30"/>
          <w:szCs w:val="30"/>
        </w:rPr>
        <w:t>依照《中华人民共和国民事诉讼法》第六十四条第一款：“当事人对自己的主张，有责任提供证据。”规定，判决如下：</w:t>
      </w:r>
    </w:p>
    <w:p w:rsidR="00000000" w:rsidRDefault="002E1E90">
      <w:pPr>
        <w:spacing w:line="500" w:lineRule="atLeast"/>
        <w:ind w:firstLine="600"/>
        <w:divId w:val="869225457"/>
        <w:rPr>
          <w:rFonts w:hint="eastAsia"/>
          <w:sz w:val="30"/>
          <w:szCs w:val="30"/>
        </w:rPr>
      </w:pPr>
      <w:r>
        <w:rPr>
          <w:rFonts w:hint="eastAsia"/>
          <w:sz w:val="30"/>
          <w:szCs w:val="30"/>
        </w:rPr>
        <w:t>驳回原告李照岭的诉讼请求。</w:t>
      </w:r>
    </w:p>
    <w:p w:rsidR="00000000" w:rsidRDefault="002E1E90">
      <w:pPr>
        <w:spacing w:line="500" w:lineRule="atLeast"/>
        <w:ind w:firstLine="600"/>
        <w:divId w:val="1568297374"/>
        <w:rPr>
          <w:rFonts w:hint="eastAsia"/>
          <w:sz w:val="30"/>
          <w:szCs w:val="30"/>
        </w:rPr>
      </w:pPr>
      <w:r>
        <w:rPr>
          <w:rFonts w:hint="eastAsia"/>
          <w:sz w:val="30"/>
          <w:szCs w:val="30"/>
        </w:rPr>
        <w:t>本案受理费</w:t>
      </w:r>
      <w:r>
        <w:rPr>
          <w:rFonts w:hint="eastAsia"/>
          <w:sz w:val="30"/>
          <w:szCs w:val="30"/>
        </w:rPr>
        <w:t>948</w:t>
      </w:r>
      <w:r>
        <w:rPr>
          <w:rFonts w:hint="eastAsia"/>
          <w:sz w:val="30"/>
          <w:szCs w:val="30"/>
        </w:rPr>
        <w:t>元，由原告李照岭负担。</w:t>
      </w:r>
    </w:p>
    <w:p w:rsidR="00000000" w:rsidRDefault="002E1E90">
      <w:pPr>
        <w:spacing w:line="500" w:lineRule="atLeast"/>
        <w:ind w:firstLine="600"/>
        <w:divId w:val="1140340668"/>
        <w:rPr>
          <w:rFonts w:hint="eastAsia"/>
          <w:sz w:val="30"/>
          <w:szCs w:val="30"/>
        </w:rPr>
      </w:pPr>
      <w:r>
        <w:rPr>
          <w:rFonts w:hint="eastAsia"/>
          <w:sz w:val="30"/>
          <w:szCs w:val="30"/>
        </w:rPr>
        <w:t>如不服本判决，可在判决书送达之日起十五日内，向本院递交上诉</w:t>
      </w:r>
      <w:r>
        <w:rPr>
          <w:rFonts w:hint="eastAsia"/>
          <w:sz w:val="30"/>
          <w:szCs w:val="30"/>
        </w:rPr>
        <w:t>状一式十份，上诉于河南省郑州市中级人民法院</w:t>
      </w:r>
      <w:r>
        <w:rPr>
          <w:rFonts w:hint="eastAsia"/>
          <w:sz w:val="30"/>
          <w:szCs w:val="30"/>
        </w:rPr>
        <w:t>,</w:t>
      </w:r>
      <w:r>
        <w:rPr>
          <w:rFonts w:hint="eastAsia"/>
          <w:sz w:val="30"/>
          <w:szCs w:val="30"/>
        </w:rPr>
        <w:t>并于上诉之日起七日内向郑州市中级人民法院缴纳上诉费，并将交费凭证交本院查验，逾期视为放弃上诉。</w:t>
      </w:r>
    </w:p>
    <w:p w:rsidR="00000000" w:rsidRDefault="002E1E90">
      <w:pPr>
        <w:spacing w:line="500" w:lineRule="atLeast"/>
        <w:jc w:val="right"/>
        <w:divId w:val="1175530712"/>
        <w:rPr>
          <w:rFonts w:hint="eastAsia"/>
          <w:sz w:val="30"/>
          <w:szCs w:val="30"/>
        </w:rPr>
      </w:pPr>
      <w:r>
        <w:rPr>
          <w:rFonts w:hint="eastAsia"/>
          <w:sz w:val="30"/>
          <w:szCs w:val="30"/>
        </w:rPr>
        <w:t>审　判　长　　吕岳督</w:t>
      </w:r>
    </w:p>
    <w:p w:rsidR="00000000" w:rsidRDefault="002E1E90">
      <w:pPr>
        <w:spacing w:line="500" w:lineRule="atLeast"/>
        <w:jc w:val="right"/>
        <w:divId w:val="1587299400"/>
        <w:rPr>
          <w:rFonts w:hint="eastAsia"/>
          <w:sz w:val="30"/>
          <w:szCs w:val="30"/>
        </w:rPr>
      </w:pPr>
      <w:r>
        <w:rPr>
          <w:rFonts w:hint="eastAsia"/>
          <w:sz w:val="30"/>
          <w:szCs w:val="30"/>
        </w:rPr>
        <w:t>人民陪审员　　王海彬</w:t>
      </w:r>
    </w:p>
    <w:p w:rsidR="00000000" w:rsidRDefault="002E1E90">
      <w:pPr>
        <w:spacing w:line="500" w:lineRule="atLeast"/>
        <w:jc w:val="right"/>
        <w:divId w:val="275256355"/>
        <w:rPr>
          <w:rFonts w:hint="eastAsia"/>
          <w:sz w:val="30"/>
          <w:szCs w:val="30"/>
        </w:rPr>
      </w:pPr>
      <w:r>
        <w:rPr>
          <w:rFonts w:hint="eastAsia"/>
          <w:sz w:val="30"/>
          <w:szCs w:val="30"/>
        </w:rPr>
        <w:t>人民陪审员　　黄书亮</w:t>
      </w:r>
    </w:p>
    <w:p w:rsidR="00000000" w:rsidRDefault="002E1E90">
      <w:pPr>
        <w:spacing w:line="500" w:lineRule="atLeast"/>
        <w:jc w:val="right"/>
        <w:divId w:val="442580344"/>
        <w:rPr>
          <w:rFonts w:hint="eastAsia"/>
          <w:sz w:val="30"/>
          <w:szCs w:val="30"/>
        </w:rPr>
      </w:pPr>
      <w:r>
        <w:rPr>
          <w:rFonts w:hint="eastAsia"/>
          <w:sz w:val="30"/>
          <w:szCs w:val="30"/>
        </w:rPr>
        <w:t>二〇一七年六月二十九日</w:t>
      </w:r>
    </w:p>
    <w:p w:rsidR="00000000" w:rsidRDefault="002E1E90">
      <w:pPr>
        <w:spacing w:line="500" w:lineRule="atLeast"/>
        <w:jc w:val="right"/>
        <w:divId w:val="770510163"/>
        <w:rPr>
          <w:rFonts w:hint="eastAsia"/>
          <w:sz w:val="30"/>
          <w:szCs w:val="30"/>
        </w:rPr>
      </w:pPr>
      <w:r>
        <w:rPr>
          <w:rFonts w:hint="eastAsia"/>
          <w:sz w:val="30"/>
          <w:szCs w:val="30"/>
        </w:rPr>
        <w:t>书　记　员　　袁扬扬</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E90" w:rsidRDefault="002E1E90" w:rsidP="002E1E90">
      <w:r>
        <w:separator/>
      </w:r>
    </w:p>
  </w:endnote>
  <w:endnote w:type="continuationSeparator" w:id="0">
    <w:p w:rsidR="002E1E90" w:rsidRDefault="002E1E90" w:rsidP="002E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E90" w:rsidRDefault="002E1E90" w:rsidP="002E1E90">
      <w:r>
        <w:separator/>
      </w:r>
    </w:p>
  </w:footnote>
  <w:footnote w:type="continuationSeparator" w:id="0">
    <w:p w:rsidR="002E1E90" w:rsidRDefault="002E1E90" w:rsidP="002E1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1E90"/>
    <w:rsid w:val="002E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E1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E90"/>
    <w:rPr>
      <w:rFonts w:ascii="宋体" w:eastAsia="宋体" w:hAnsi="宋体" w:cs="宋体"/>
      <w:sz w:val="18"/>
      <w:szCs w:val="18"/>
    </w:rPr>
  </w:style>
  <w:style w:type="paragraph" w:styleId="a5">
    <w:name w:val="footer"/>
    <w:basedOn w:val="a"/>
    <w:link w:val="a6"/>
    <w:uiPriority w:val="99"/>
    <w:unhideWhenUsed/>
    <w:rsid w:val="002E1E90"/>
    <w:pPr>
      <w:tabs>
        <w:tab w:val="center" w:pos="4153"/>
        <w:tab w:val="right" w:pos="8306"/>
      </w:tabs>
      <w:snapToGrid w:val="0"/>
    </w:pPr>
    <w:rPr>
      <w:sz w:val="18"/>
      <w:szCs w:val="18"/>
    </w:rPr>
  </w:style>
  <w:style w:type="character" w:customStyle="1" w:styleId="a6">
    <w:name w:val="页脚 字符"/>
    <w:basedOn w:val="a0"/>
    <w:link w:val="a5"/>
    <w:uiPriority w:val="99"/>
    <w:rsid w:val="002E1E9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781">
      <w:marLeft w:val="0"/>
      <w:marRight w:val="0"/>
      <w:marTop w:val="10"/>
      <w:marBottom w:val="10"/>
      <w:divBdr>
        <w:top w:val="none" w:sz="0" w:space="0" w:color="auto"/>
        <w:left w:val="none" w:sz="0" w:space="0" w:color="auto"/>
        <w:bottom w:val="none" w:sz="0" w:space="0" w:color="auto"/>
        <w:right w:val="none" w:sz="0" w:space="0" w:color="auto"/>
      </w:divBdr>
    </w:div>
    <w:div w:id="166214257">
      <w:marLeft w:val="0"/>
      <w:marRight w:val="0"/>
      <w:marTop w:val="10"/>
      <w:marBottom w:val="10"/>
      <w:divBdr>
        <w:top w:val="none" w:sz="0" w:space="0" w:color="auto"/>
        <w:left w:val="none" w:sz="0" w:space="0" w:color="auto"/>
        <w:bottom w:val="none" w:sz="0" w:space="0" w:color="auto"/>
        <w:right w:val="none" w:sz="0" w:space="0" w:color="auto"/>
      </w:divBdr>
    </w:div>
    <w:div w:id="186254497">
      <w:marLeft w:val="0"/>
      <w:marRight w:val="0"/>
      <w:marTop w:val="10"/>
      <w:marBottom w:val="10"/>
      <w:divBdr>
        <w:top w:val="none" w:sz="0" w:space="0" w:color="auto"/>
        <w:left w:val="none" w:sz="0" w:space="0" w:color="auto"/>
        <w:bottom w:val="none" w:sz="0" w:space="0" w:color="auto"/>
        <w:right w:val="none" w:sz="0" w:space="0" w:color="auto"/>
      </w:divBdr>
    </w:div>
    <w:div w:id="213272760">
      <w:marLeft w:val="0"/>
      <w:marRight w:val="0"/>
      <w:marTop w:val="10"/>
      <w:marBottom w:val="10"/>
      <w:divBdr>
        <w:top w:val="none" w:sz="0" w:space="0" w:color="auto"/>
        <w:left w:val="none" w:sz="0" w:space="0" w:color="auto"/>
        <w:bottom w:val="none" w:sz="0" w:space="0" w:color="auto"/>
        <w:right w:val="none" w:sz="0" w:space="0" w:color="auto"/>
      </w:divBdr>
    </w:div>
    <w:div w:id="275256355">
      <w:marLeft w:val="0"/>
      <w:marRight w:val="720"/>
      <w:marTop w:val="10"/>
      <w:marBottom w:val="10"/>
      <w:divBdr>
        <w:top w:val="none" w:sz="0" w:space="0" w:color="auto"/>
        <w:left w:val="none" w:sz="0" w:space="0" w:color="auto"/>
        <w:bottom w:val="none" w:sz="0" w:space="0" w:color="auto"/>
        <w:right w:val="none" w:sz="0" w:space="0" w:color="auto"/>
      </w:divBdr>
    </w:div>
    <w:div w:id="442580344">
      <w:marLeft w:val="0"/>
      <w:marRight w:val="720"/>
      <w:marTop w:val="10"/>
      <w:marBottom w:val="10"/>
      <w:divBdr>
        <w:top w:val="none" w:sz="0" w:space="0" w:color="auto"/>
        <w:left w:val="none" w:sz="0" w:space="0" w:color="auto"/>
        <w:bottom w:val="none" w:sz="0" w:space="0" w:color="auto"/>
        <w:right w:val="none" w:sz="0" w:space="0" w:color="auto"/>
      </w:divBdr>
    </w:div>
    <w:div w:id="539242554">
      <w:marLeft w:val="0"/>
      <w:marRight w:val="0"/>
      <w:marTop w:val="10"/>
      <w:marBottom w:val="10"/>
      <w:divBdr>
        <w:top w:val="none" w:sz="0" w:space="0" w:color="auto"/>
        <w:left w:val="none" w:sz="0" w:space="0" w:color="auto"/>
        <w:bottom w:val="none" w:sz="0" w:space="0" w:color="auto"/>
        <w:right w:val="none" w:sz="0" w:space="0" w:color="auto"/>
      </w:divBdr>
    </w:div>
    <w:div w:id="624316797">
      <w:marLeft w:val="0"/>
      <w:marRight w:val="0"/>
      <w:marTop w:val="10"/>
      <w:marBottom w:val="10"/>
      <w:divBdr>
        <w:top w:val="none" w:sz="0" w:space="0" w:color="auto"/>
        <w:left w:val="none" w:sz="0" w:space="0" w:color="auto"/>
        <w:bottom w:val="none" w:sz="0" w:space="0" w:color="auto"/>
        <w:right w:val="none" w:sz="0" w:space="0" w:color="auto"/>
      </w:divBdr>
    </w:div>
    <w:div w:id="657536768">
      <w:marLeft w:val="0"/>
      <w:marRight w:val="0"/>
      <w:marTop w:val="10"/>
      <w:marBottom w:val="10"/>
      <w:divBdr>
        <w:top w:val="none" w:sz="0" w:space="0" w:color="auto"/>
        <w:left w:val="none" w:sz="0" w:space="0" w:color="auto"/>
        <w:bottom w:val="none" w:sz="0" w:space="0" w:color="auto"/>
        <w:right w:val="none" w:sz="0" w:space="0" w:color="auto"/>
      </w:divBdr>
    </w:div>
    <w:div w:id="770510163">
      <w:marLeft w:val="0"/>
      <w:marRight w:val="720"/>
      <w:marTop w:val="10"/>
      <w:marBottom w:val="10"/>
      <w:divBdr>
        <w:top w:val="none" w:sz="0" w:space="0" w:color="auto"/>
        <w:left w:val="none" w:sz="0" w:space="0" w:color="auto"/>
        <w:bottom w:val="none" w:sz="0" w:space="0" w:color="auto"/>
        <w:right w:val="none" w:sz="0" w:space="0" w:color="auto"/>
      </w:divBdr>
    </w:div>
    <w:div w:id="837699406">
      <w:marLeft w:val="0"/>
      <w:marRight w:val="0"/>
      <w:marTop w:val="10"/>
      <w:marBottom w:val="10"/>
      <w:divBdr>
        <w:top w:val="none" w:sz="0" w:space="0" w:color="auto"/>
        <w:left w:val="none" w:sz="0" w:space="0" w:color="auto"/>
        <w:bottom w:val="none" w:sz="0" w:space="0" w:color="auto"/>
        <w:right w:val="none" w:sz="0" w:space="0" w:color="auto"/>
      </w:divBdr>
    </w:div>
    <w:div w:id="869225457">
      <w:marLeft w:val="0"/>
      <w:marRight w:val="0"/>
      <w:marTop w:val="10"/>
      <w:marBottom w:val="10"/>
      <w:divBdr>
        <w:top w:val="none" w:sz="0" w:space="0" w:color="auto"/>
        <w:left w:val="none" w:sz="0" w:space="0" w:color="auto"/>
        <w:bottom w:val="none" w:sz="0" w:space="0" w:color="auto"/>
        <w:right w:val="none" w:sz="0" w:space="0" w:color="auto"/>
      </w:divBdr>
    </w:div>
    <w:div w:id="990404887">
      <w:marLeft w:val="0"/>
      <w:marRight w:val="0"/>
      <w:marTop w:val="10"/>
      <w:marBottom w:val="10"/>
      <w:divBdr>
        <w:top w:val="none" w:sz="0" w:space="0" w:color="auto"/>
        <w:left w:val="none" w:sz="0" w:space="0" w:color="auto"/>
        <w:bottom w:val="none" w:sz="0" w:space="0" w:color="auto"/>
        <w:right w:val="none" w:sz="0" w:space="0" w:color="auto"/>
      </w:divBdr>
    </w:div>
    <w:div w:id="1051460618">
      <w:marLeft w:val="0"/>
      <w:marRight w:val="0"/>
      <w:marTop w:val="10"/>
      <w:marBottom w:val="10"/>
      <w:divBdr>
        <w:top w:val="none" w:sz="0" w:space="0" w:color="auto"/>
        <w:left w:val="none" w:sz="0" w:space="0" w:color="auto"/>
        <w:bottom w:val="none" w:sz="0" w:space="0" w:color="auto"/>
        <w:right w:val="none" w:sz="0" w:space="0" w:color="auto"/>
      </w:divBdr>
    </w:div>
    <w:div w:id="1140340668">
      <w:marLeft w:val="0"/>
      <w:marRight w:val="0"/>
      <w:marTop w:val="10"/>
      <w:marBottom w:val="10"/>
      <w:divBdr>
        <w:top w:val="none" w:sz="0" w:space="0" w:color="auto"/>
        <w:left w:val="none" w:sz="0" w:space="0" w:color="auto"/>
        <w:bottom w:val="none" w:sz="0" w:space="0" w:color="auto"/>
        <w:right w:val="none" w:sz="0" w:space="0" w:color="auto"/>
      </w:divBdr>
    </w:div>
    <w:div w:id="1160577669">
      <w:marLeft w:val="0"/>
      <w:marRight w:val="0"/>
      <w:marTop w:val="10"/>
      <w:marBottom w:val="10"/>
      <w:divBdr>
        <w:top w:val="none" w:sz="0" w:space="0" w:color="auto"/>
        <w:left w:val="none" w:sz="0" w:space="0" w:color="auto"/>
        <w:bottom w:val="none" w:sz="0" w:space="0" w:color="auto"/>
        <w:right w:val="none" w:sz="0" w:space="0" w:color="auto"/>
      </w:divBdr>
    </w:div>
    <w:div w:id="1175530712">
      <w:marLeft w:val="0"/>
      <w:marRight w:val="720"/>
      <w:marTop w:val="10"/>
      <w:marBottom w:val="10"/>
      <w:divBdr>
        <w:top w:val="none" w:sz="0" w:space="0" w:color="auto"/>
        <w:left w:val="none" w:sz="0" w:space="0" w:color="auto"/>
        <w:bottom w:val="none" w:sz="0" w:space="0" w:color="auto"/>
        <w:right w:val="none" w:sz="0" w:space="0" w:color="auto"/>
      </w:divBdr>
    </w:div>
    <w:div w:id="1568297374">
      <w:marLeft w:val="0"/>
      <w:marRight w:val="0"/>
      <w:marTop w:val="10"/>
      <w:marBottom w:val="10"/>
      <w:divBdr>
        <w:top w:val="none" w:sz="0" w:space="0" w:color="auto"/>
        <w:left w:val="none" w:sz="0" w:space="0" w:color="auto"/>
        <w:bottom w:val="none" w:sz="0" w:space="0" w:color="auto"/>
        <w:right w:val="none" w:sz="0" w:space="0" w:color="auto"/>
      </w:divBdr>
    </w:div>
    <w:div w:id="1587299400">
      <w:marLeft w:val="0"/>
      <w:marRight w:val="720"/>
      <w:marTop w:val="10"/>
      <w:marBottom w:val="10"/>
      <w:divBdr>
        <w:top w:val="none" w:sz="0" w:space="0" w:color="auto"/>
        <w:left w:val="none" w:sz="0" w:space="0" w:color="auto"/>
        <w:bottom w:val="none" w:sz="0" w:space="0" w:color="auto"/>
        <w:right w:val="none" w:sz="0" w:space="0" w:color="auto"/>
      </w:divBdr>
    </w:div>
    <w:div w:id="1663579870">
      <w:marLeft w:val="0"/>
      <w:marRight w:val="0"/>
      <w:marTop w:val="10"/>
      <w:marBottom w:val="10"/>
      <w:divBdr>
        <w:top w:val="none" w:sz="0" w:space="0" w:color="auto"/>
        <w:left w:val="none" w:sz="0" w:space="0" w:color="auto"/>
        <w:bottom w:val="none" w:sz="0" w:space="0" w:color="auto"/>
        <w:right w:val="none" w:sz="0" w:space="0" w:color="auto"/>
      </w:divBdr>
    </w:div>
    <w:div w:id="1689141146">
      <w:marLeft w:val="0"/>
      <w:marRight w:val="0"/>
      <w:marTop w:val="10"/>
      <w:marBottom w:val="10"/>
      <w:divBdr>
        <w:top w:val="none" w:sz="0" w:space="0" w:color="auto"/>
        <w:left w:val="none" w:sz="0" w:space="0" w:color="auto"/>
        <w:bottom w:val="none" w:sz="0" w:space="0" w:color="auto"/>
        <w:right w:val="none" w:sz="0" w:space="0" w:color="auto"/>
      </w:divBdr>
    </w:div>
    <w:div w:id="1794326517">
      <w:marLeft w:val="0"/>
      <w:marRight w:val="0"/>
      <w:marTop w:val="10"/>
      <w:marBottom w:val="10"/>
      <w:divBdr>
        <w:top w:val="none" w:sz="0" w:space="0" w:color="auto"/>
        <w:left w:val="none" w:sz="0" w:space="0" w:color="auto"/>
        <w:bottom w:val="none" w:sz="0" w:space="0" w:color="auto"/>
        <w:right w:val="none" w:sz="0" w:space="0" w:color="auto"/>
      </w:divBdr>
    </w:div>
    <w:div w:id="210930774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