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C3C3E">
      <w:pPr>
        <w:spacing w:line="500" w:lineRule="atLeast"/>
        <w:jc w:val="center"/>
        <w:divId w:val="1990137193"/>
        <w:rPr>
          <w:rFonts w:ascii="黑体" w:eastAsia="黑体" w:hAnsi="黑体"/>
          <w:sz w:val="36"/>
          <w:szCs w:val="36"/>
        </w:rPr>
      </w:pPr>
      <w:bookmarkStart w:id="0" w:name="_GoBack"/>
      <w:bookmarkEnd w:id="0"/>
      <w:r>
        <w:rPr>
          <w:rFonts w:ascii="黑体" w:eastAsia="黑体" w:hAnsi="黑体" w:hint="eastAsia"/>
          <w:sz w:val="36"/>
          <w:szCs w:val="36"/>
        </w:rPr>
        <w:t>浙江省宁波市中级人民法院</w:t>
      </w:r>
    </w:p>
    <w:p w:rsidR="00000000" w:rsidRDefault="006C3C3E">
      <w:pPr>
        <w:spacing w:line="500" w:lineRule="atLeast"/>
        <w:jc w:val="center"/>
        <w:divId w:val="170564171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C3C3E">
      <w:pPr>
        <w:spacing w:line="500" w:lineRule="atLeast"/>
        <w:jc w:val="right"/>
        <w:divId w:val="1161505001"/>
        <w:rPr>
          <w:rFonts w:hint="eastAsia"/>
          <w:sz w:val="30"/>
          <w:szCs w:val="30"/>
        </w:rPr>
      </w:pPr>
      <w:r>
        <w:rPr>
          <w:rFonts w:hint="eastAsia"/>
          <w:sz w:val="30"/>
          <w:szCs w:val="30"/>
        </w:rPr>
        <w:t>（</w:t>
      </w:r>
      <w:r>
        <w:rPr>
          <w:rFonts w:hint="eastAsia"/>
          <w:sz w:val="30"/>
          <w:szCs w:val="30"/>
        </w:rPr>
        <w:t>2015</w:t>
      </w:r>
      <w:r>
        <w:rPr>
          <w:rFonts w:hint="eastAsia"/>
          <w:sz w:val="30"/>
          <w:szCs w:val="30"/>
        </w:rPr>
        <w:t>）浙甬民一终字第</w:t>
      </w:r>
      <w:r>
        <w:rPr>
          <w:rFonts w:hint="eastAsia"/>
          <w:sz w:val="30"/>
          <w:szCs w:val="30"/>
        </w:rPr>
        <w:t>829</w:t>
      </w:r>
      <w:r>
        <w:rPr>
          <w:rFonts w:hint="eastAsia"/>
          <w:sz w:val="30"/>
          <w:szCs w:val="30"/>
        </w:rPr>
        <w:t>号</w:t>
      </w:r>
    </w:p>
    <w:p w:rsidR="00000000" w:rsidRDefault="006C3C3E">
      <w:pPr>
        <w:spacing w:line="500" w:lineRule="atLeast"/>
        <w:ind w:firstLine="600"/>
        <w:divId w:val="247807350"/>
        <w:rPr>
          <w:rFonts w:hint="eastAsia"/>
          <w:sz w:val="30"/>
          <w:szCs w:val="30"/>
        </w:rPr>
      </w:pPr>
      <w:r>
        <w:rPr>
          <w:rFonts w:hint="eastAsia"/>
          <w:sz w:val="30"/>
          <w:szCs w:val="30"/>
        </w:rPr>
        <w:t>上诉人（原审原告）：洪谦。</w:t>
      </w:r>
    </w:p>
    <w:p w:rsidR="00000000" w:rsidRDefault="006C3C3E">
      <w:pPr>
        <w:spacing w:line="500" w:lineRule="atLeast"/>
        <w:ind w:firstLine="600"/>
        <w:divId w:val="2028483024"/>
        <w:rPr>
          <w:rFonts w:hint="eastAsia"/>
          <w:sz w:val="30"/>
          <w:szCs w:val="30"/>
        </w:rPr>
      </w:pPr>
      <w:r>
        <w:rPr>
          <w:rFonts w:hint="eastAsia"/>
          <w:sz w:val="30"/>
          <w:szCs w:val="30"/>
        </w:rPr>
        <w:t>委托代理人：张进金，浙江正清和律师事务所律师。</w:t>
      </w:r>
    </w:p>
    <w:p w:rsidR="00000000" w:rsidRDefault="006C3C3E">
      <w:pPr>
        <w:spacing w:line="500" w:lineRule="atLeast"/>
        <w:ind w:firstLine="600"/>
        <w:divId w:val="509805122"/>
        <w:rPr>
          <w:rFonts w:hint="eastAsia"/>
          <w:sz w:val="30"/>
          <w:szCs w:val="30"/>
        </w:rPr>
      </w:pPr>
      <w:r>
        <w:rPr>
          <w:rFonts w:hint="eastAsia"/>
          <w:sz w:val="30"/>
          <w:szCs w:val="30"/>
        </w:rPr>
        <w:t>委托代理人：贾丹丹。</w:t>
      </w:r>
    </w:p>
    <w:p w:rsidR="00000000" w:rsidRDefault="006C3C3E">
      <w:pPr>
        <w:spacing w:line="500" w:lineRule="atLeast"/>
        <w:ind w:firstLine="600"/>
        <w:divId w:val="552811146"/>
        <w:rPr>
          <w:rFonts w:hint="eastAsia"/>
          <w:sz w:val="30"/>
          <w:szCs w:val="30"/>
        </w:rPr>
      </w:pPr>
      <w:r>
        <w:rPr>
          <w:rFonts w:hint="eastAsia"/>
          <w:sz w:val="30"/>
          <w:szCs w:val="30"/>
        </w:rPr>
        <w:t>被上诉人（原审被告）：宁波鄞州明贝堂中医门诊部。</w:t>
      </w:r>
    </w:p>
    <w:p w:rsidR="00000000" w:rsidRDefault="006C3C3E">
      <w:pPr>
        <w:spacing w:line="500" w:lineRule="atLeast"/>
        <w:ind w:firstLine="600"/>
        <w:divId w:val="1815291899"/>
        <w:rPr>
          <w:rFonts w:hint="eastAsia"/>
          <w:sz w:val="30"/>
          <w:szCs w:val="30"/>
        </w:rPr>
      </w:pPr>
      <w:r>
        <w:rPr>
          <w:rFonts w:hint="eastAsia"/>
          <w:sz w:val="30"/>
          <w:szCs w:val="30"/>
        </w:rPr>
        <w:t>法定代表人：项志秋。</w:t>
      </w:r>
    </w:p>
    <w:p w:rsidR="00000000" w:rsidRDefault="006C3C3E">
      <w:pPr>
        <w:spacing w:line="500" w:lineRule="atLeast"/>
        <w:ind w:firstLine="600"/>
        <w:divId w:val="1860847221"/>
        <w:rPr>
          <w:rFonts w:hint="eastAsia"/>
          <w:sz w:val="30"/>
          <w:szCs w:val="30"/>
        </w:rPr>
      </w:pPr>
      <w:r>
        <w:rPr>
          <w:rFonts w:hint="eastAsia"/>
          <w:sz w:val="30"/>
          <w:szCs w:val="30"/>
        </w:rPr>
        <w:t>委托代理人：吕仕法，浙江新中大律师事务所律师。</w:t>
      </w:r>
    </w:p>
    <w:p w:rsidR="00000000" w:rsidRDefault="006C3C3E">
      <w:pPr>
        <w:spacing w:line="500" w:lineRule="atLeast"/>
        <w:ind w:firstLine="600"/>
        <w:divId w:val="294062442"/>
        <w:rPr>
          <w:rFonts w:hint="eastAsia"/>
          <w:sz w:val="30"/>
          <w:szCs w:val="30"/>
        </w:rPr>
      </w:pPr>
      <w:r>
        <w:rPr>
          <w:rFonts w:hint="eastAsia"/>
          <w:sz w:val="30"/>
          <w:szCs w:val="30"/>
        </w:rPr>
        <w:t>上诉人洪谦因与被上诉人宁波鄞州明贝堂中医门诊部（以下简称明贝堂门诊部）劳动合同纠纷一案，不服宁波市鄞州区人民法院于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日作出的（</w:t>
      </w:r>
      <w:r>
        <w:rPr>
          <w:rFonts w:hint="eastAsia"/>
          <w:sz w:val="30"/>
          <w:szCs w:val="30"/>
        </w:rPr>
        <w:t>2015</w:t>
      </w:r>
      <w:r>
        <w:rPr>
          <w:rFonts w:hint="eastAsia"/>
          <w:sz w:val="30"/>
          <w:szCs w:val="30"/>
        </w:rPr>
        <w:t>）甬鄞民初字第</w:t>
      </w:r>
      <w:r>
        <w:rPr>
          <w:rFonts w:hint="eastAsia"/>
          <w:sz w:val="30"/>
          <w:szCs w:val="30"/>
        </w:rPr>
        <w:t>751</w:t>
      </w:r>
      <w:r>
        <w:rPr>
          <w:rFonts w:hint="eastAsia"/>
          <w:sz w:val="30"/>
          <w:szCs w:val="30"/>
        </w:rPr>
        <w:t>号民事判决，向本院提起上诉。本院于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日立案受理后，依法组成合议庭进行了审理。经阅卷和询问当事人，事实已核对清楚，决定径行判决。本案现已审理终结。</w:t>
      </w:r>
    </w:p>
    <w:p w:rsidR="00000000" w:rsidRDefault="006C3C3E">
      <w:pPr>
        <w:spacing w:line="500" w:lineRule="atLeast"/>
        <w:ind w:firstLine="600"/>
        <w:divId w:val="1059017362"/>
        <w:rPr>
          <w:rFonts w:hint="eastAsia"/>
          <w:sz w:val="30"/>
          <w:szCs w:val="30"/>
        </w:rPr>
      </w:pPr>
      <w:r>
        <w:rPr>
          <w:rFonts w:hint="eastAsia"/>
          <w:sz w:val="30"/>
          <w:szCs w:val="30"/>
        </w:rPr>
        <w:t>原审法院审理认定：洪谦、明贝堂门诊部签订有期限自</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日的劳动合同，约定洪谦的岗位为门诊部主任，月岗位工资</w:t>
      </w:r>
      <w:r>
        <w:rPr>
          <w:rFonts w:hint="eastAsia"/>
          <w:sz w:val="30"/>
          <w:szCs w:val="30"/>
        </w:rPr>
        <w:t>4850</w:t>
      </w:r>
      <w:r>
        <w:rPr>
          <w:rFonts w:hint="eastAsia"/>
          <w:sz w:val="30"/>
          <w:szCs w:val="30"/>
        </w:rPr>
        <w:t>元。</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日，宁波大</w:t>
      </w:r>
      <w:r>
        <w:rPr>
          <w:rFonts w:hint="eastAsia"/>
          <w:sz w:val="30"/>
          <w:szCs w:val="30"/>
        </w:rPr>
        <w:t>榭明州投资有限公司作出股东会决议，认为洪谦担任公司及投资设立控股宁波大榭开发区明州保健食品有限公司高管期间，购买贝因美科工贸股份有限公司个人原始发起股，违反公司法和公司章程有关规定，决定对洪谦所得的收入归公司所有。决议作出当天，洪谦开始请病假休息。同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宁波市鄞州医药药材有限公司董事会作出决议，认为洪谦在担任控股及控股子公司董事兼经理、高管期间，违反公司法和公司章程、制度规定，自营和为他人经营与公司同类业务，谋取私利，违反了高管的忠实义务；事件发生后，洪谦不认识</w:t>
      </w:r>
      <w:r>
        <w:rPr>
          <w:rFonts w:hint="eastAsia"/>
          <w:sz w:val="30"/>
          <w:szCs w:val="30"/>
        </w:rPr>
        <w:lastRenderedPageBreak/>
        <w:t>错误，并以病假抵制，不适应门诊部主任</w:t>
      </w:r>
      <w:r>
        <w:rPr>
          <w:rFonts w:hint="eastAsia"/>
          <w:sz w:val="30"/>
          <w:szCs w:val="30"/>
        </w:rPr>
        <w:t>职务；解聘洪谦担任的门诊部主任职务，调整为办事员，每月工资为</w:t>
      </w:r>
      <w:r>
        <w:rPr>
          <w:rFonts w:hint="eastAsia"/>
          <w:sz w:val="30"/>
          <w:szCs w:val="30"/>
        </w:rPr>
        <w:t>1800</w:t>
      </w:r>
      <w:r>
        <w:rPr>
          <w:rFonts w:hint="eastAsia"/>
          <w:sz w:val="30"/>
          <w:szCs w:val="30"/>
        </w:rPr>
        <w:t>元；法定代表人项志秋兼任门诊部主任一职。同月</w:t>
      </w:r>
      <w:r>
        <w:rPr>
          <w:rFonts w:hint="eastAsia"/>
          <w:sz w:val="30"/>
          <w:szCs w:val="30"/>
        </w:rPr>
        <w:t>21</w:t>
      </w:r>
      <w:r>
        <w:rPr>
          <w:rFonts w:hint="eastAsia"/>
          <w:sz w:val="30"/>
          <w:szCs w:val="30"/>
        </w:rPr>
        <w:t>日，明贝堂门诊部的理事会作出决议，主要内容与董事会决议一致，解聘洪谦门诊部主任职务。</w:t>
      </w:r>
      <w:r>
        <w:rPr>
          <w:rFonts w:hint="eastAsia"/>
          <w:sz w:val="30"/>
          <w:szCs w:val="30"/>
        </w:rPr>
        <w:t>2012</w:t>
      </w:r>
      <w:r>
        <w:rPr>
          <w:rFonts w:hint="eastAsia"/>
          <w:sz w:val="30"/>
          <w:szCs w:val="30"/>
        </w:rPr>
        <w:t>年</w:t>
      </w:r>
      <w:r>
        <w:rPr>
          <w:rFonts w:hint="eastAsia"/>
          <w:sz w:val="30"/>
          <w:szCs w:val="30"/>
        </w:rPr>
        <w:t>7</w:t>
      </w:r>
      <w:r>
        <w:rPr>
          <w:rFonts w:hint="eastAsia"/>
          <w:sz w:val="30"/>
          <w:szCs w:val="30"/>
        </w:rPr>
        <w:t>月起，洪谦每月领取工资</w:t>
      </w:r>
      <w:r>
        <w:rPr>
          <w:rFonts w:hint="eastAsia"/>
          <w:sz w:val="30"/>
          <w:szCs w:val="30"/>
        </w:rPr>
        <w:t>1800</w:t>
      </w:r>
      <w:r>
        <w:rPr>
          <w:rFonts w:hint="eastAsia"/>
          <w:sz w:val="30"/>
          <w:szCs w:val="30"/>
        </w:rPr>
        <w:t>元。</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日，明贝堂门诊部向洪谦出具《内部工作变动通知单》，通知洪谦从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w:t>
      </w:r>
      <w:r>
        <w:rPr>
          <w:rFonts w:hint="eastAsia"/>
          <w:sz w:val="30"/>
          <w:szCs w:val="30"/>
        </w:rPr>
        <w:t>日起，从原办事员岗位调整到煎药岗位，月工资标准从</w:t>
      </w:r>
      <w:r>
        <w:rPr>
          <w:rFonts w:hint="eastAsia"/>
          <w:sz w:val="30"/>
          <w:szCs w:val="30"/>
        </w:rPr>
        <w:t>1800</w:t>
      </w:r>
      <w:r>
        <w:rPr>
          <w:rFonts w:hint="eastAsia"/>
          <w:sz w:val="30"/>
          <w:szCs w:val="30"/>
        </w:rPr>
        <w:t>元调整至</w:t>
      </w:r>
      <w:r>
        <w:rPr>
          <w:rFonts w:hint="eastAsia"/>
          <w:sz w:val="30"/>
          <w:szCs w:val="30"/>
        </w:rPr>
        <w:t>2350</w:t>
      </w:r>
      <w:r>
        <w:rPr>
          <w:rFonts w:hint="eastAsia"/>
          <w:sz w:val="30"/>
          <w:szCs w:val="30"/>
        </w:rPr>
        <w:t>元。洪谦未去煎药岗位报到。</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日，明贝堂门诊部向洪谦出具通知，内容为：“洪谦，因你不愿</w:t>
      </w:r>
      <w:r>
        <w:rPr>
          <w:rFonts w:hint="eastAsia"/>
          <w:sz w:val="30"/>
          <w:szCs w:val="30"/>
        </w:rPr>
        <w:t>去煎药岗位报到，</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日上午已经由任剑明、张立、陈及时、马贻兵一起在综合办向你告知了继续在办事员岗位上班，并向你送达了《办事员岗位职责》，现书面告知你，撤销</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日《内部工作变动通知单》，你继续在办事员岗位上班，请你遵守单位规章制度，履行办事员岗位职责”。</w:t>
      </w:r>
    </w:p>
    <w:p w:rsidR="00000000" w:rsidRDefault="006C3C3E">
      <w:pPr>
        <w:spacing w:line="500" w:lineRule="atLeast"/>
        <w:ind w:firstLine="600"/>
        <w:divId w:val="1570073488"/>
        <w:rPr>
          <w:rFonts w:hint="eastAsia"/>
          <w:sz w:val="30"/>
          <w:szCs w:val="30"/>
        </w:rPr>
      </w:pPr>
      <w:r>
        <w:rPr>
          <w:rFonts w:hint="eastAsia"/>
          <w:sz w:val="30"/>
          <w:szCs w:val="30"/>
        </w:rPr>
        <w:t>原审另查明，明贝堂门诊部有煎药部门及业务，并于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月共计购买了</w:t>
      </w:r>
      <w:r>
        <w:rPr>
          <w:rFonts w:hint="eastAsia"/>
          <w:sz w:val="30"/>
          <w:szCs w:val="30"/>
        </w:rPr>
        <w:t>8</w:t>
      </w:r>
      <w:r>
        <w:rPr>
          <w:rFonts w:hint="eastAsia"/>
          <w:sz w:val="30"/>
          <w:szCs w:val="30"/>
        </w:rPr>
        <w:t>台煎药机、</w:t>
      </w:r>
      <w:r>
        <w:rPr>
          <w:rFonts w:hint="eastAsia"/>
          <w:sz w:val="30"/>
          <w:szCs w:val="30"/>
        </w:rPr>
        <w:t>2</w:t>
      </w:r>
      <w:r>
        <w:rPr>
          <w:rFonts w:hint="eastAsia"/>
          <w:sz w:val="30"/>
          <w:szCs w:val="30"/>
        </w:rPr>
        <w:t>台包装机，同期间还有其他员工一并调到煎药岗位。洪谦已取得从业药师资格。</w:t>
      </w:r>
    </w:p>
    <w:p w:rsidR="00000000" w:rsidRDefault="006C3C3E">
      <w:pPr>
        <w:spacing w:line="500" w:lineRule="atLeast"/>
        <w:ind w:firstLine="600"/>
        <w:divId w:val="347365505"/>
        <w:rPr>
          <w:rFonts w:hint="eastAsia"/>
          <w:sz w:val="30"/>
          <w:szCs w:val="30"/>
        </w:rPr>
      </w:pP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日，洪谦曾向宁波市鄞州区劳动人事争议仲裁委员会</w:t>
      </w:r>
      <w:r>
        <w:rPr>
          <w:rFonts w:hint="eastAsia"/>
          <w:sz w:val="30"/>
          <w:szCs w:val="30"/>
        </w:rPr>
        <w:t>申请仲裁，该委于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日作出裁决，确认明贝堂门诊部将洪谦岗位从门诊部主任调整为门诊部办事员符合法律规定，并驳回了洪谦的全部仲裁请求。洪谦不服，诉至宁波市鄞州区人民法院，宁波市鄞州区人民法院于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日作出（</w:t>
      </w:r>
      <w:r>
        <w:rPr>
          <w:rFonts w:hint="eastAsia"/>
          <w:sz w:val="30"/>
          <w:szCs w:val="30"/>
        </w:rPr>
        <w:t>2014</w:t>
      </w:r>
      <w:r>
        <w:rPr>
          <w:rFonts w:hint="eastAsia"/>
          <w:sz w:val="30"/>
          <w:szCs w:val="30"/>
        </w:rPr>
        <w:t>）甬鄞民初字第</w:t>
      </w:r>
      <w:r>
        <w:rPr>
          <w:rFonts w:hint="eastAsia"/>
          <w:sz w:val="30"/>
          <w:szCs w:val="30"/>
        </w:rPr>
        <w:t>1483</w:t>
      </w:r>
      <w:r>
        <w:rPr>
          <w:rFonts w:hint="eastAsia"/>
          <w:sz w:val="30"/>
          <w:szCs w:val="30"/>
        </w:rPr>
        <w:t>号民事判决书，判决驳回洪谦的诉讼请求。洪谦不服，诉至宁波市中级人民法院，该院于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日作出（</w:t>
      </w:r>
      <w:r>
        <w:rPr>
          <w:rFonts w:hint="eastAsia"/>
          <w:sz w:val="30"/>
          <w:szCs w:val="30"/>
        </w:rPr>
        <w:t>2015</w:t>
      </w:r>
      <w:r>
        <w:rPr>
          <w:rFonts w:hint="eastAsia"/>
          <w:sz w:val="30"/>
          <w:szCs w:val="30"/>
        </w:rPr>
        <w:t>）浙甬民一终字第</w:t>
      </w:r>
      <w:r>
        <w:rPr>
          <w:rFonts w:hint="eastAsia"/>
          <w:sz w:val="30"/>
          <w:szCs w:val="30"/>
        </w:rPr>
        <w:t>24</w:t>
      </w:r>
      <w:r>
        <w:rPr>
          <w:rFonts w:hint="eastAsia"/>
          <w:sz w:val="30"/>
          <w:szCs w:val="30"/>
        </w:rPr>
        <w:t>号民事判决书，判决驳回上诉，维持原判。</w:t>
      </w:r>
    </w:p>
    <w:p w:rsidR="00000000" w:rsidRDefault="006C3C3E">
      <w:pPr>
        <w:spacing w:line="500" w:lineRule="atLeast"/>
        <w:ind w:firstLine="600"/>
        <w:divId w:val="1797599971"/>
        <w:rPr>
          <w:rFonts w:hint="eastAsia"/>
          <w:sz w:val="30"/>
          <w:szCs w:val="30"/>
        </w:rPr>
      </w:pPr>
      <w:r>
        <w:rPr>
          <w:rFonts w:hint="eastAsia"/>
          <w:sz w:val="30"/>
          <w:szCs w:val="30"/>
        </w:rPr>
        <w:lastRenderedPageBreak/>
        <w:t>原审还查明，宁波大榭明州投资有限公司系宁波市鄞州医药药材有限公司法人股东之一，宁波市鄞</w:t>
      </w:r>
      <w:r>
        <w:rPr>
          <w:rFonts w:hint="eastAsia"/>
          <w:sz w:val="30"/>
          <w:szCs w:val="30"/>
        </w:rPr>
        <w:t>州医药药材有限公司投资开办了宁波鄞州明贝中医门诊部，于</w:t>
      </w:r>
      <w:r>
        <w:rPr>
          <w:rFonts w:hint="eastAsia"/>
          <w:sz w:val="30"/>
          <w:szCs w:val="30"/>
        </w:rPr>
        <w:t>2012</w:t>
      </w:r>
      <w:r>
        <w:rPr>
          <w:rFonts w:hint="eastAsia"/>
          <w:sz w:val="30"/>
          <w:szCs w:val="30"/>
        </w:rPr>
        <w:t>年</w:t>
      </w:r>
      <w:r>
        <w:rPr>
          <w:rFonts w:hint="eastAsia"/>
          <w:sz w:val="30"/>
          <w:szCs w:val="30"/>
        </w:rPr>
        <w:t>4</w:t>
      </w:r>
      <w:r>
        <w:rPr>
          <w:rFonts w:hint="eastAsia"/>
          <w:sz w:val="30"/>
          <w:szCs w:val="30"/>
        </w:rPr>
        <w:t>月更名为宁波鄞州明贝堂中医门诊部。</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日，洪谦向宁波市北仑区人民法院起诉，要求撤销</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日由宁波大榭明州投资有限公司作出的有关其违反忠诚义务的股东会决议。后经宁波市中级人民法院作出终审判决，驳回洪谦的诉讼请求。后洪谦申请再审，浙江省高级人民法院作出（</w:t>
      </w:r>
      <w:r>
        <w:rPr>
          <w:rFonts w:hint="eastAsia"/>
          <w:sz w:val="30"/>
          <w:szCs w:val="30"/>
        </w:rPr>
        <w:t>2014</w:t>
      </w:r>
      <w:r>
        <w:rPr>
          <w:rFonts w:hint="eastAsia"/>
          <w:sz w:val="30"/>
          <w:szCs w:val="30"/>
        </w:rPr>
        <w:t>）浙商提字第</w:t>
      </w:r>
      <w:r>
        <w:rPr>
          <w:rFonts w:hint="eastAsia"/>
          <w:sz w:val="30"/>
          <w:szCs w:val="30"/>
        </w:rPr>
        <w:t>86</w:t>
      </w:r>
      <w:r>
        <w:rPr>
          <w:rFonts w:hint="eastAsia"/>
          <w:sz w:val="30"/>
          <w:szCs w:val="30"/>
        </w:rPr>
        <w:t>号民事判决书，判决维持宁波市中级人民法院（</w:t>
      </w:r>
      <w:r>
        <w:rPr>
          <w:rFonts w:hint="eastAsia"/>
          <w:sz w:val="30"/>
          <w:szCs w:val="30"/>
        </w:rPr>
        <w:t>2013</w:t>
      </w:r>
      <w:r>
        <w:rPr>
          <w:rFonts w:hint="eastAsia"/>
          <w:sz w:val="30"/>
          <w:szCs w:val="30"/>
        </w:rPr>
        <w:t>）浙甬商终字第</w:t>
      </w:r>
      <w:r>
        <w:rPr>
          <w:rFonts w:hint="eastAsia"/>
          <w:sz w:val="30"/>
          <w:szCs w:val="30"/>
        </w:rPr>
        <w:t>896</w:t>
      </w:r>
      <w:r>
        <w:rPr>
          <w:rFonts w:hint="eastAsia"/>
          <w:sz w:val="30"/>
          <w:szCs w:val="30"/>
        </w:rPr>
        <w:t>号民事判决。</w:t>
      </w:r>
    </w:p>
    <w:p w:rsidR="00000000" w:rsidRDefault="006C3C3E">
      <w:pPr>
        <w:spacing w:line="500" w:lineRule="atLeast"/>
        <w:ind w:firstLine="600"/>
        <w:divId w:val="932319032"/>
        <w:rPr>
          <w:rFonts w:hint="eastAsia"/>
          <w:sz w:val="30"/>
          <w:szCs w:val="30"/>
        </w:rPr>
      </w:pPr>
      <w:r>
        <w:rPr>
          <w:rFonts w:hint="eastAsia"/>
          <w:sz w:val="30"/>
          <w:szCs w:val="30"/>
        </w:rPr>
        <w:t>洪谦于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日就本案申请劳动仲裁，要求确认明贝堂门诊</w:t>
      </w:r>
      <w:r>
        <w:rPr>
          <w:rFonts w:hint="eastAsia"/>
          <w:sz w:val="30"/>
          <w:szCs w:val="30"/>
        </w:rPr>
        <w:t>部</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日擅自将洪谦岗位从门诊办事员变更为煎药工的行为违法，裁令明贝堂门诊部继续履行劳动合同，恢复洪谦门诊部办事员岗位工作。该委于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14</w:t>
      </w:r>
      <w:r>
        <w:rPr>
          <w:rFonts w:hint="eastAsia"/>
          <w:sz w:val="30"/>
          <w:szCs w:val="30"/>
        </w:rPr>
        <w:t>日作出甬鄞劳仲案字（</w:t>
      </w:r>
      <w:r>
        <w:rPr>
          <w:rFonts w:hint="eastAsia"/>
          <w:sz w:val="30"/>
          <w:szCs w:val="30"/>
        </w:rPr>
        <w:t>2014</w:t>
      </w:r>
      <w:r>
        <w:rPr>
          <w:rFonts w:hint="eastAsia"/>
          <w:sz w:val="30"/>
          <w:szCs w:val="30"/>
        </w:rPr>
        <w:t>）第</w:t>
      </w:r>
      <w:r>
        <w:rPr>
          <w:rFonts w:hint="eastAsia"/>
          <w:sz w:val="30"/>
          <w:szCs w:val="30"/>
        </w:rPr>
        <w:t>1690</w:t>
      </w:r>
      <w:r>
        <w:rPr>
          <w:rFonts w:hint="eastAsia"/>
          <w:sz w:val="30"/>
          <w:szCs w:val="30"/>
        </w:rPr>
        <w:t>号仲裁裁决，裁决驳回洪谦的仲裁请求。</w:t>
      </w:r>
    </w:p>
    <w:p w:rsidR="00000000" w:rsidRDefault="006C3C3E">
      <w:pPr>
        <w:spacing w:line="500" w:lineRule="atLeast"/>
        <w:ind w:firstLine="600"/>
        <w:divId w:val="1436368617"/>
        <w:rPr>
          <w:rFonts w:hint="eastAsia"/>
          <w:sz w:val="30"/>
          <w:szCs w:val="30"/>
        </w:rPr>
      </w:pPr>
      <w:r>
        <w:rPr>
          <w:rFonts w:hint="eastAsia"/>
          <w:sz w:val="30"/>
          <w:szCs w:val="30"/>
        </w:rPr>
        <w:t>洪谦对该仲裁裁决不服，诉至原审法院。洪谦在原审中起诉称：</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日，洪谦与明贝堂门诊部宁波鄞州明贝中医门诊部（现为明贝堂门诊部）签订劳动合同，约定劳动合同期限自</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日，工作岗位为门诊部主任，工作地点在宁波市鄞州区保丰路</w:t>
      </w:r>
      <w:r>
        <w:rPr>
          <w:rFonts w:hint="eastAsia"/>
          <w:sz w:val="30"/>
          <w:szCs w:val="30"/>
        </w:rPr>
        <w:t>209</w:t>
      </w:r>
      <w:r>
        <w:rPr>
          <w:rFonts w:hint="eastAsia"/>
          <w:sz w:val="30"/>
          <w:szCs w:val="30"/>
        </w:rPr>
        <w:t>号</w:t>
      </w:r>
      <w:r>
        <w:rPr>
          <w:rFonts w:hint="eastAsia"/>
          <w:sz w:val="30"/>
          <w:szCs w:val="30"/>
        </w:rPr>
        <w:t>，月岗位工资为</w:t>
      </w:r>
      <w:r>
        <w:rPr>
          <w:rFonts w:hint="eastAsia"/>
          <w:sz w:val="30"/>
          <w:szCs w:val="30"/>
        </w:rPr>
        <w:t>4850</w:t>
      </w:r>
      <w:r>
        <w:rPr>
          <w:rFonts w:hint="eastAsia"/>
          <w:sz w:val="30"/>
          <w:szCs w:val="30"/>
        </w:rPr>
        <w:t>元（实际发放为</w:t>
      </w:r>
      <w:r>
        <w:rPr>
          <w:rFonts w:hint="eastAsia"/>
          <w:sz w:val="30"/>
          <w:szCs w:val="30"/>
        </w:rPr>
        <w:t>13205</w:t>
      </w:r>
      <w:r>
        <w:rPr>
          <w:rFonts w:hint="eastAsia"/>
          <w:sz w:val="30"/>
          <w:szCs w:val="30"/>
        </w:rPr>
        <w:t>元）。</w:t>
      </w:r>
      <w:r>
        <w:rPr>
          <w:rFonts w:hint="eastAsia"/>
          <w:sz w:val="30"/>
          <w:szCs w:val="30"/>
        </w:rPr>
        <w:t>2012</w:t>
      </w:r>
      <w:r>
        <w:rPr>
          <w:rFonts w:hint="eastAsia"/>
          <w:sz w:val="30"/>
          <w:szCs w:val="30"/>
        </w:rPr>
        <w:t>年</w:t>
      </w:r>
      <w:r>
        <w:rPr>
          <w:rFonts w:hint="eastAsia"/>
          <w:sz w:val="30"/>
          <w:szCs w:val="30"/>
        </w:rPr>
        <w:t>6</w:t>
      </w:r>
      <w:r>
        <w:rPr>
          <w:rFonts w:hint="eastAsia"/>
          <w:sz w:val="30"/>
          <w:szCs w:val="30"/>
        </w:rPr>
        <w:t>月，因洪谦与明贝堂门诊部关联企业发生股东权益纠纷，明贝堂门诊部擅自将洪谦工资调低，每月实际领取</w:t>
      </w:r>
      <w:r>
        <w:rPr>
          <w:rFonts w:hint="eastAsia"/>
          <w:sz w:val="30"/>
          <w:szCs w:val="30"/>
        </w:rPr>
        <w:t>1300</w:t>
      </w:r>
      <w:r>
        <w:rPr>
          <w:rFonts w:hint="eastAsia"/>
          <w:sz w:val="30"/>
          <w:szCs w:val="30"/>
        </w:rPr>
        <w:t>元。当洪谦交涉后，明贝堂门诊部法定代表人答复只是暂扣，以后会补发。后明贝堂门诊部仍未补发，洪谦遂提起有关劳动待遇问题的仲裁和诉讼。在仲裁过程中，洪谦方知明贝堂门诊部已将洪谦从门诊部主任调整为门诊部办事员，但未通知洪谦，包括口头或书面。为工作岗位问题，洪谦多次与明贝堂门诊部交涉未果，并向区劳动监察大队投诉。</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日，明贝堂门诊部单方面</w:t>
      </w:r>
      <w:r>
        <w:rPr>
          <w:rFonts w:hint="eastAsia"/>
          <w:sz w:val="30"/>
          <w:szCs w:val="30"/>
        </w:rPr>
        <w:t>向洪谦发出内部工作变动通知书，将洪谦的岗位从办事员变更为煎药工，月工资</w:t>
      </w:r>
      <w:r>
        <w:rPr>
          <w:rFonts w:hint="eastAsia"/>
          <w:sz w:val="30"/>
          <w:szCs w:val="30"/>
        </w:rPr>
        <w:t>2350</w:t>
      </w:r>
      <w:r>
        <w:rPr>
          <w:rFonts w:hint="eastAsia"/>
          <w:sz w:val="30"/>
          <w:szCs w:val="30"/>
        </w:rPr>
        <w:t>元，并于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为洪谦量身定做了所谓的门诊部劳动规章制度，若不服从，将辞退洪谦，并每天强迫洪谦学习该制度。洪谦认为明贝堂门诊部多次调整工作岗位的行为严重违反劳动合同的约定，侵犯了职工的合法劳动权利。洪谦遂申请劳动仲裁，但仲裁裁决认为“本案洪谦原劳动合同岗位为门诊部主任，后因其违反高管忠实义务等事由，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日被调整岗位为门诊办事员。宁波市中级人民法院已作出终审判决，对申请人违反高管忠实义务的事实和调整岗位</w:t>
      </w:r>
      <w:r>
        <w:rPr>
          <w:rFonts w:hint="eastAsia"/>
          <w:sz w:val="30"/>
          <w:szCs w:val="30"/>
        </w:rPr>
        <w:t>的合法性予以确认……”。洪谦认为，该认定错误，理由为：</w:t>
      </w:r>
      <w:r>
        <w:rPr>
          <w:rFonts w:hint="eastAsia"/>
          <w:sz w:val="30"/>
          <w:szCs w:val="30"/>
        </w:rPr>
        <w:t>1.</w:t>
      </w:r>
      <w:r>
        <w:rPr>
          <w:rFonts w:hint="eastAsia"/>
          <w:sz w:val="30"/>
          <w:szCs w:val="30"/>
        </w:rPr>
        <w:t>浙江省高级人民法院作出的（</w:t>
      </w:r>
      <w:r>
        <w:rPr>
          <w:rFonts w:hint="eastAsia"/>
          <w:sz w:val="30"/>
          <w:szCs w:val="30"/>
        </w:rPr>
        <w:t>2014</w:t>
      </w:r>
      <w:r>
        <w:rPr>
          <w:rFonts w:hint="eastAsia"/>
          <w:sz w:val="30"/>
          <w:szCs w:val="30"/>
        </w:rPr>
        <w:t>）浙商提字第</w:t>
      </w:r>
      <w:r>
        <w:rPr>
          <w:rFonts w:hint="eastAsia"/>
          <w:sz w:val="30"/>
          <w:szCs w:val="30"/>
        </w:rPr>
        <w:t>86</w:t>
      </w:r>
      <w:r>
        <w:rPr>
          <w:rFonts w:hint="eastAsia"/>
          <w:sz w:val="30"/>
          <w:szCs w:val="30"/>
        </w:rPr>
        <w:t>号民事判决书，认为“洪谦一审起诉时，以明州投资公司临时股东会决议既违反了事实，也违反了法律和公司章程，是一种无效行为，洪谦作为公司的小股东，向公司有业务关系的其他公司投资入股，并不构成股东违反忠实义务为由，要求确认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日作出的股东会决议无效。一、二审法院均围绕洪谦是否为明州投资公司的高管，其行为是否违反竞业禁止和忠实义务进行审理。由于明州投资公司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日公司股</w:t>
      </w:r>
      <w:r>
        <w:rPr>
          <w:rFonts w:hint="eastAsia"/>
          <w:sz w:val="30"/>
          <w:szCs w:val="30"/>
        </w:rPr>
        <w:t>东会作出的决议内容，涉及我国公司法规定的公司归入权制度。而公司归入权是法律赋予公司的特别救济权，公司法第一百四十八条规定竞业禁止归入权就属于此。就本案洪谦的主张看，本院无需就股东会决议内容是否符合归入权的构成要求等进行实质审查，只有公司在提起归入权诉讼时，由受理案件的人民法院对决议内容进行实质审查，故本院仅对股东会决议作形式审查。”因此，宁波市中级人民法院关于洪谦违反忠实义务的认定不能成立。仲裁裁决根据宁波市中级人民法院判决书认定来确定洪谦违反忠实义务缺乏依据，明贝堂门诊部</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日擅自将洪谦岗位</w:t>
      </w:r>
      <w:r>
        <w:rPr>
          <w:rFonts w:hint="eastAsia"/>
          <w:sz w:val="30"/>
          <w:szCs w:val="30"/>
        </w:rPr>
        <w:t>从门诊部办事员变更为煎药工的行为违反了劳动合同法和劳动法的规定，仲裁裁决的认定缺乏事实和法律依据。现洪谦不服仲裁裁决，要求法院确认明贝堂门诊部</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日擅自将洪谦岗位从门诊办事员变更为煎药工的行为违法。</w:t>
      </w:r>
    </w:p>
    <w:p w:rsidR="00000000" w:rsidRDefault="006C3C3E">
      <w:pPr>
        <w:spacing w:line="500" w:lineRule="atLeast"/>
        <w:ind w:firstLine="600"/>
        <w:divId w:val="392386866"/>
        <w:rPr>
          <w:rFonts w:hint="eastAsia"/>
          <w:sz w:val="30"/>
          <w:szCs w:val="30"/>
        </w:rPr>
      </w:pPr>
      <w:r>
        <w:rPr>
          <w:rFonts w:hint="eastAsia"/>
          <w:sz w:val="30"/>
          <w:szCs w:val="30"/>
        </w:rPr>
        <w:t>明贝堂门诊部在原审中答辩称：在双方履行劳动合同过程中，明贝堂门诊部之前对洪谦从门诊部主任调岗到门诊部办事员，已经生效法律文书确认为合法。之后明贝堂门诊部将洪谦从门诊部办事员调整为煎药工，是根据单位生产经营需要。当时因为煎药机器增加，当天的药必须当天煎完，急需人员，故安排洪谦在内的几名员工调去煎药组</w:t>
      </w:r>
      <w:r>
        <w:rPr>
          <w:rFonts w:hint="eastAsia"/>
          <w:sz w:val="30"/>
          <w:szCs w:val="30"/>
        </w:rPr>
        <w:t>，属于明贝堂门诊部合法行使用工自主权。同时，将洪谦调整到煎药组，也是考虑到洪谦之前在办事员岗位只到岗不工作，导致了双方劳动权利义务严重失衡，故对洪谦的岗位再次进行了调整，但洪谦继续消极怠工，明贝堂门诊部认为双方劳动关系长期处于不和谐状态，对双方均不利，故主动撤回了调令。综上，洪谦的诉请无事实依据，应予以驳回。</w:t>
      </w:r>
    </w:p>
    <w:p w:rsidR="00000000" w:rsidRDefault="006C3C3E">
      <w:pPr>
        <w:spacing w:line="500" w:lineRule="atLeast"/>
        <w:ind w:firstLine="600"/>
        <w:divId w:val="1923640515"/>
        <w:rPr>
          <w:rFonts w:hint="eastAsia"/>
          <w:sz w:val="30"/>
          <w:szCs w:val="30"/>
        </w:rPr>
      </w:pPr>
      <w:r>
        <w:rPr>
          <w:rFonts w:hint="eastAsia"/>
          <w:sz w:val="30"/>
          <w:szCs w:val="30"/>
        </w:rPr>
        <w:t>原审法院审理认为：本案双方争议的焦点在于明贝堂门诊部将洪谦从门诊部办事员岗位调整至煎药工是否违法，洪谦主张明贝堂门诊部对其的该岗位调整属于恶意，而明贝堂门诊部主张该工作调整主要是基于单位生产经营需要。</w:t>
      </w:r>
      <w:r>
        <w:rPr>
          <w:rFonts w:hint="eastAsia"/>
          <w:sz w:val="30"/>
          <w:szCs w:val="30"/>
        </w:rPr>
        <w:t>原审法院认为，从现有审理查明的事实来看，明贝堂门诊部将洪谦调整至煎药岗位确是因为增加机器需要增加人员而进行的调整，调整人员也包括了其他员工，并非只是针对洪谦，且洪谦调整后的工资待遇较之前的办事员岗位有明显增加，并未减少洪谦的工资收入，而洪谦具有从业药师资格，完全能够胜任新岗位，故明贝堂门诊部将洪谦从办事员岗位调整到煎药工岗位，应当是属于明贝堂门诊部合理行使用工自主权，且洪谦实际上并未到岗，明贝堂门诊部也已经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日书面撤销了调整岗位的决定，由此，对洪谦要求确认明贝堂门诊部</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日擅自</w:t>
      </w:r>
      <w:r>
        <w:rPr>
          <w:rFonts w:hint="eastAsia"/>
          <w:sz w:val="30"/>
          <w:szCs w:val="30"/>
        </w:rPr>
        <w:t>将洪谦岗位从门诊办事员变更为煎药工的行为违法的请求，原审法院不予支持。据此，原审法院依照《中华人民共和国劳动合同法》第二条，《中华人民共和国劳动争议调解仲裁法》第六条的规定，作出判决：驳回洪谦的诉讼请求。</w:t>
      </w:r>
    </w:p>
    <w:p w:rsidR="00000000" w:rsidRDefault="006C3C3E">
      <w:pPr>
        <w:spacing w:line="500" w:lineRule="atLeast"/>
        <w:ind w:firstLine="600"/>
        <w:divId w:val="437871663"/>
        <w:rPr>
          <w:rFonts w:hint="eastAsia"/>
          <w:sz w:val="30"/>
          <w:szCs w:val="30"/>
        </w:rPr>
      </w:pPr>
      <w:r>
        <w:rPr>
          <w:rFonts w:hint="eastAsia"/>
          <w:sz w:val="30"/>
          <w:szCs w:val="30"/>
        </w:rPr>
        <w:t>宣判后，原审原告洪谦不服，向本院提起上诉，请求撤销一审判决，改判支持上诉人一审中的所有诉讼请求。理由如下：一、一审法院认为“被告将原告从办事员岗位调整为煎药工岗位，应当是属于被告合理行使用工自主权”不符合事实。</w:t>
      </w:r>
      <w:r>
        <w:rPr>
          <w:rFonts w:hint="eastAsia"/>
          <w:sz w:val="30"/>
          <w:szCs w:val="30"/>
        </w:rPr>
        <w:t>1.</w:t>
      </w:r>
      <w:r>
        <w:rPr>
          <w:rFonts w:hint="eastAsia"/>
          <w:sz w:val="30"/>
          <w:szCs w:val="30"/>
        </w:rPr>
        <w:t>从调岗依据看，被上诉人无权将上诉人从办事员调整为煎药工。被上诉人明贝堂门诊部的章程中规定本单</w:t>
      </w:r>
      <w:r>
        <w:rPr>
          <w:rFonts w:hint="eastAsia"/>
          <w:sz w:val="30"/>
          <w:szCs w:val="30"/>
        </w:rPr>
        <w:t>位的业务范围为中医内科、中医妇科、中医儿科。宁波市鄞州明贝中药煎药服务有限公司章程中规定公司经营范围为中药代煎、代送；膏方代熬煮；煎药机安装、调试、修理。上诉人洪谦是与被上诉人明贝堂门诊部签订的劳动合同。但被上诉人的业务范围根本不包括煎药，更没有煎药工这个工作岗位。因此，被上诉人将上诉人从办事员调整为煎药工缺乏事实依据，是违法的。</w:t>
      </w:r>
      <w:r>
        <w:rPr>
          <w:rFonts w:hint="eastAsia"/>
          <w:sz w:val="30"/>
          <w:szCs w:val="30"/>
        </w:rPr>
        <w:t>2.</w:t>
      </w:r>
      <w:r>
        <w:rPr>
          <w:rFonts w:hint="eastAsia"/>
          <w:sz w:val="30"/>
          <w:szCs w:val="30"/>
        </w:rPr>
        <w:t>从调整的岗位要求来看，上诉人并不适合煎药工岗位。上诉人已是一位上了年纪的人，连续工作</w:t>
      </w:r>
      <w:r>
        <w:rPr>
          <w:rFonts w:hint="eastAsia"/>
          <w:sz w:val="30"/>
          <w:szCs w:val="30"/>
        </w:rPr>
        <w:t>41</w:t>
      </w:r>
      <w:r>
        <w:rPr>
          <w:rFonts w:hint="eastAsia"/>
          <w:sz w:val="30"/>
          <w:szCs w:val="30"/>
        </w:rPr>
        <w:t>年，</w:t>
      </w:r>
      <w:r>
        <w:rPr>
          <w:rFonts w:hint="eastAsia"/>
          <w:sz w:val="30"/>
          <w:szCs w:val="30"/>
        </w:rPr>
        <w:t>58</w:t>
      </w:r>
      <w:r>
        <w:rPr>
          <w:rFonts w:hint="eastAsia"/>
          <w:sz w:val="30"/>
          <w:szCs w:val="30"/>
        </w:rPr>
        <w:t>岁，快退休了，眼睛也老花，不适合从事煎药工作。煎药是一项技术性很强的工作，不是谁</w:t>
      </w:r>
      <w:r>
        <w:rPr>
          <w:rFonts w:hint="eastAsia"/>
          <w:sz w:val="30"/>
          <w:szCs w:val="30"/>
        </w:rPr>
        <w:t>都胜任。一来煎药直接影响着药效，二来煎药的程序要求严格，三是煎药设备特殊，对工作人员的身体素质要求较高。对上诉人来说，并不适合从事煎药工作，万一因眼花等因素导致煎药时发生事故，药煎错了，很可能导致重大事故，如果上诉人的身体状况在如此环境下工作，自己也很容易被累倒。被上诉人将一位不适合从事煎药的老员工安排去煎药，其昭昭之心尽人皆知。二、被上诉人调整上诉人的工作岗位程序不合法。上诉人自亲手筹建明贝堂以来，一直担任门诊部主任岗位，管理得井井有条，并无任何的违章和事故发生，并不存在任何不称职的地方，被上诉人对上诉人</w:t>
      </w:r>
      <w:r>
        <w:rPr>
          <w:rFonts w:hint="eastAsia"/>
          <w:sz w:val="30"/>
          <w:szCs w:val="30"/>
        </w:rPr>
        <w:t>的两次职务调整，并不是因上诉人工作不称职发生的行为，而是在报复的情况下的迫害行为。根据劳动合同法调整工作岗位之规定，调岗属于变更劳动合同的主要内容，用人单位必须先与劳动者协商一致，未经劳动者同意，用人单位单方面调整岗位，是无效的。</w:t>
      </w:r>
    </w:p>
    <w:p w:rsidR="00000000" w:rsidRDefault="006C3C3E">
      <w:pPr>
        <w:spacing w:line="500" w:lineRule="atLeast"/>
        <w:ind w:firstLine="600"/>
        <w:divId w:val="2052267142"/>
        <w:rPr>
          <w:rFonts w:hint="eastAsia"/>
          <w:sz w:val="30"/>
          <w:szCs w:val="30"/>
        </w:rPr>
      </w:pPr>
      <w:r>
        <w:rPr>
          <w:rFonts w:hint="eastAsia"/>
          <w:sz w:val="30"/>
          <w:szCs w:val="30"/>
        </w:rPr>
        <w:t>明贝堂门诊部答辩称：原审法院认定事实清楚，适用法律正确，要求驳回上诉，维持原判。</w:t>
      </w:r>
    </w:p>
    <w:p w:rsidR="00000000" w:rsidRDefault="006C3C3E">
      <w:pPr>
        <w:spacing w:line="500" w:lineRule="atLeast"/>
        <w:ind w:firstLine="600"/>
        <w:divId w:val="1129204669"/>
        <w:rPr>
          <w:rFonts w:hint="eastAsia"/>
          <w:sz w:val="30"/>
          <w:szCs w:val="30"/>
        </w:rPr>
      </w:pPr>
      <w:r>
        <w:rPr>
          <w:rFonts w:hint="eastAsia"/>
          <w:sz w:val="30"/>
          <w:szCs w:val="30"/>
        </w:rPr>
        <w:t>在二审举证期间内，双方当事人均未提交新的证据。</w:t>
      </w:r>
    </w:p>
    <w:p w:rsidR="00000000" w:rsidRDefault="006C3C3E">
      <w:pPr>
        <w:spacing w:line="500" w:lineRule="atLeast"/>
        <w:ind w:firstLine="600"/>
        <w:divId w:val="525602702"/>
        <w:rPr>
          <w:rFonts w:hint="eastAsia"/>
          <w:sz w:val="30"/>
          <w:szCs w:val="30"/>
        </w:rPr>
      </w:pPr>
      <w:r>
        <w:rPr>
          <w:rFonts w:hint="eastAsia"/>
          <w:sz w:val="30"/>
          <w:szCs w:val="30"/>
        </w:rPr>
        <w:t>二审审理过程中，双方当事人对原审认定的事实均无异议。故本院经审理查明的事实与原审法院认定的事实一致。</w:t>
      </w:r>
    </w:p>
    <w:p w:rsidR="00000000" w:rsidRDefault="006C3C3E">
      <w:pPr>
        <w:spacing w:line="500" w:lineRule="atLeast"/>
        <w:ind w:firstLine="600"/>
        <w:divId w:val="1217008815"/>
        <w:rPr>
          <w:rFonts w:hint="eastAsia"/>
          <w:sz w:val="30"/>
          <w:szCs w:val="30"/>
        </w:rPr>
      </w:pPr>
      <w:r>
        <w:rPr>
          <w:rFonts w:hint="eastAsia"/>
          <w:sz w:val="30"/>
          <w:szCs w:val="30"/>
        </w:rPr>
        <w:t>本院认为：当事人对自己提出的诉讼请求所依据的事实</w:t>
      </w:r>
      <w:r>
        <w:rPr>
          <w:rFonts w:hint="eastAsia"/>
          <w:sz w:val="30"/>
          <w:szCs w:val="30"/>
        </w:rPr>
        <w:t>或者反驳对方诉讼请求所依据的事实有责任提供证据加以证明。没有证据或者证据不足以证明当事人的事实主张的，由负有举证责任的当事人承担不利后果。上诉人主张被上诉人将其从门诊部办事员岗位调整至煎药工岗位系恶意，但未提供相关证据予以证明。而被上诉人提供的证据显示，被上诉人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月新购了煎药机、包装机，且调整人员包括了其他员工，故本院有理由相信该工作调整确系经营之需要，而非特意针对上诉人。再者，上诉人具有从业药师资格，煎药亦非重体力劳动，故上诉人能够胜任煎药工岗位，而且上诉人工作调整后的工资待遇有明显</w:t>
      </w:r>
      <w:r>
        <w:rPr>
          <w:rFonts w:hint="eastAsia"/>
          <w:sz w:val="30"/>
          <w:szCs w:val="30"/>
        </w:rPr>
        <w:t>增加。基于上诉人实际并未到岗，被上诉人已于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日书面撤销了调整岗位的决定，因此，原审不予支持上诉人要求确认被上诉人</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擅自将其从门诊部办事员变更为煎药工的行为违法之诉请，并无不当。综上，原判认定事实清楚，适用法律正确，程序合法，判决得当。上诉人的上诉请求，缺乏依据，本院不予支持。依照《中华人民共和国民事诉讼法》第一百七十条第一款第（一）项之规定，判决如下：</w:t>
      </w:r>
    </w:p>
    <w:p w:rsidR="00000000" w:rsidRDefault="006C3C3E">
      <w:pPr>
        <w:spacing w:line="500" w:lineRule="atLeast"/>
        <w:ind w:firstLine="600"/>
        <w:divId w:val="431097521"/>
        <w:rPr>
          <w:rFonts w:hint="eastAsia"/>
          <w:sz w:val="30"/>
          <w:szCs w:val="30"/>
        </w:rPr>
      </w:pPr>
      <w:r>
        <w:rPr>
          <w:rFonts w:hint="eastAsia"/>
          <w:sz w:val="30"/>
          <w:szCs w:val="30"/>
        </w:rPr>
        <w:t>驳回上诉，维持原判。</w:t>
      </w:r>
    </w:p>
    <w:p w:rsidR="00000000" w:rsidRDefault="006C3C3E">
      <w:pPr>
        <w:spacing w:line="500" w:lineRule="atLeast"/>
        <w:ind w:firstLine="600"/>
        <w:divId w:val="881795740"/>
        <w:rPr>
          <w:rFonts w:hint="eastAsia"/>
          <w:sz w:val="30"/>
          <w:szCs w:val="30"/>
        </w:rPr>
      </w:pPr>
      <w:r>
        <w:rPr>
          <w:rFonts w:hint="eastAsia"/>
          <w:sz w:val="30"/>
          <w:szCs w:val="30"/>
        </w:rPr>
        <w:t>本判决为终审判决。</w:t>
      </w:r>
    </w:p>
    <w:p w:rsidR="00000000" w:rsidRDefault="006C3C3E">
      <w:pPr>
        <w:spacing w:line="500" w:lineRule="atLeast"/>
        <w:jc w:val="right"/>
        <w:divId w:val="1472165260"/>
        <w:rPr>
          <w:rFonts w:hint="eastAsia"/>
          <w:sz w:val="30"/>
          <w:szCs w:val="30"/>
        </w:rPr>
      </w:pPr>
      <w:r>
        <w:rPr>
          <w:rFonts w:hint="eastAsia"/>
          <w:sz w:val="30"/>
          <w:szCs w:val="30"/>
        </w:rPr>
        <w:t>审　判　长　　曹　炜</w:t>
      </w:r>
    </w:p>
    <w:p w:rsidR="00000000" w:rsidRDefault="006C3C3E">
      <w:pPr>
        <w:spacing w:line="500" w:lineRule="atLeast"/>
        <w:jc w:val="right"/>
        <w:divId w:val="450437230"/>
        <w:rPr>
          <w:rFonts w:hint="eastAsia"/>
          <w:sz w:val="30"/>
          <w:szCs w:val="30"/>
        </w:rPr>
      </w:pPr>
      <w:r>
        <w:rPr>
          <w:rFonts w:hint="eastAsia"/>
          <w:sz w:val="30"/>
          <w:szCs w:val="30"/>
        </w:rPr>
        <w:t>审　判　员　　梅亚琴</w:t>
      </w:r>
    </w:p>
    <w:p w:rsidR="00000000" w:rsidRDefault="006C3C3E">
      <w:pPr>
        <w:spacing w:line="500" w:lineRule="atLeast"/>
        <w:jc w:val="right"/>
        <w:divId w:val="862085567"/>
        <w:rPr>
          <w:rFonts w:hint="eastAsia"/>
          <w:sz w:val="30"/>
          <w:szCs w:val="30"/>
        </w:rPr>
      </w:pPr>
      <w:r>
        <w:rPr>
          <w:rFonts w:hint="eastAsia"/>
          <w:sz w:val="30"/>
          <w:szCs w:val="30"/>
        </w:rPr>
        <w:t>代理审判员　　龚　静</w:t>
      </w:r>
    </w:p>
    <w:p w:rsidR="00000000" w:rsidRDefault="006C3C3E">
      <w:pPr>
        <w:spacing w:line="500" w:lineRule="atLeast"/>
        <w:jc w:val="right"/>
        <w:divId w:val="2141142449"/>
        <w:rPr>
          <w:rFonts w:hint="eastAsia"/>
          <w:sz w:val="30"/>
          <w:szCs w:val="30"/>
        </w:rPr>
      </w:pPr>
      <w:r>
        <w:rPr>
          <w:rFonts w:hint="eastAsia"/>
          <w:sz w:val="30"/>
          <w:szCs w:val="30"/>
        </w:rPr>
        <w:t>二〇一五年十一月二日</w:t>
      </w:r>
    </w:p>
    <w:p w:rsidR="00000000" w:rsidRDefault="006C3C3E">
      <w:pPr>
        <w:spacing w:line="500" w:lineRule="atLeast"/>
        <w:jc w:val="right"/>
        <w:divId w:val="1442719867"/>
        <w:rPr>
          <w:rFonts w:hint="eastAsia"/>
          <w:sz w:val="30"/>
          <w:szCs w:val="30"/>
        </w:rPr>
      </w:pPr>
      <w:r>
        <w:rPr>
          <w:rFonts w:hint="eastAsia"/>
          <w:sz w:val="30"/>
          <w:szCs w:val="30"/>
        </w:rPr>
        <w:t>代书　记员　　许玲儿</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C3E" w:rsidRDefault="006C3C3E" w:rsidP="006C3C3E">
      <w:r>
        <w:separator/>
      </w:r>
    </w:p>
  </w:endnote>
  <w:endnote w:type="continuationSeparator" w:id="0">
    <w:p w:rsidR="006C3C3E" w:rsidRDefault="006C3C3E" w:rsidP="006C3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C3E" w:rsidRDefault="006C3C3E" w:rsidP="006C3C3E">
      <w:r>
        <w:separator/>
      </w:r>
    </w:p>
  </w:footnote>
  <w:footnote w:type="continuationSeparator" w:id="0">
    <w:p w:rsidR="006C3C3E" w:rsidRDefault="006C3C3E" w:rsidP="006C3C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C3C3E"/>
    <w:rsid w:val="006C3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C3C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3C3E"/>
    <w:rPr>
      <w:rFonts w:ascii="宋体" w:eastAsia="宋体" w:hAnsi="宋体" w:cs="宋体"/>
      <w:sz w:val="18"/>
      <w:szCs w:val="18"/>
    </w:rPr>
  </w:style>
  <w:style w:type="paragraph" w:styleId="a5">
    <w:name w:val="footer"/>
    <w:basedOn w:val="a"/>
    <w:link w:val="a6"/>
    <w:uiPriority w:val="99"/>
    <w:unhideWhenUsed/>
    <w:rsid w:val="006C3C3E"/>
    <w:pPr>
      <w:tabs>
        <w:tab w:val="center" w:pos="4153"/>
        <w:tab w:val="right" w:pos="8306"/>
      </w:tabs>
      <w:snapToGrid w:val="0"/>
    </w:pPr>
    <w:rPr>
      <w:sz w:val="18"/>
      <w:szCs w:val="18"/>
    </w:rPr>
  </w:style>
  <w:style w:type="character" w:customStyle="1" w:styleId="a6">
    <w:name w:val="页脚 字符"/>
    <w:basedOn w:val="a0"/>
    <w:link w:val="a5"/>
    <w:uiPriority w:val="99"/>
    <w:rsid w:val="006C3C3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07350">
      <w:marLeft w:val="0"/>
      <w:marRight w:val="0"/>
      <w:marTop w:val="10"/>
      <w:marBottom w:val="10"/>
      <w:divBdr>
        <w:top w:val="none" w:sz="0" w:space="0" w:color="auto"/>
        <w:left w:val="none" w:sz="0" w:space="0" w:color="auto"/>
        <w:bottom w:val="none" w:sz="0" w:space="0" w:color="auto"/>
        <w:right w:val="none" w:sz="0" w:space="0" w:color="auto"/>
      </w:divBdr>
    </w:div>
    <w:div w:id="294062442">
      <w:marLeft w:val="0"/>
      <w:marRight w:val="0"/>
      <w:marTop w:val="10"/>
      <w:marBottom w:val="10"/>
      <w:divBdr>
        <w:top w:val="none" w:sz="0" w:space="0" w:color="auto"/>
        <w:left w:val="none" w:sz="0" w:space="0" w:color="auto"/>
        <w:bottom w:val="none" w:sz="0" w:space="0" w:color="auto"/>
        <w:right w:val="none" w:sz="0" w:space="0" w:color="auto"/>
      </w:divBdr>
    </w:div>
    <w:div w:id="347365505">
      <w:marLeft w:val="0"/>
      <w:marRight w:val="0"/>
      <w:marTop w:val="10"/>
      <w:marBottom w:val="10"/>
      <w:divBdr>
        <w:top w:val="none" w:sz="0" w:space="0" w:color="auto"/>
        <w:left w:val="none" w:sz="0" w:space="0" w:color="auto"/>
        <w:bottom w:val="none" w:sz="0" w:space="0" w:color="auto"/>
        <w:right w:val="none" w:sz="0" w:space="0" w:color="auto"/>
      </w:divBdr>
    </w:div>
    <w:div w:id="392386866">
      <w:marLeft w:val="0"/>
      <w:marRight w:val="0"/>
      <w:marTop w:val="10"/>
      <w:marBottom w:val="10"/>
      <w:divBdr>
        <w:top w:val="none" w:sz="0" w:space="0" w:color="auto"/>
        <w:left w:val="none" w:sz="0" w:space="0" w:color="auto"/>
        <w:bottom w:val="none" w:sz="0" w:space="0" w:color="auto"/>
        <w:right w:val="none" w:sz="0" w:space="0" w:color="auto"/>
      </w:divBdr>
    </w:div>
    <w:div w:id="431097521">
      <w:marLeft w:val="0"/>
      <w:marRight w:val="0"/>
      <w:marTop w:val="10"/>
      <w:marBottom w:val="10"/>
      <w:divBdr>
        <w:top w:val="none" w:sz="0" w:space="0" w:color="auto"/>
        <w:left w:val="none" w:sz="0" w:space="0" w:color="auto"/>
        <w:bottom w:val="none" w:sz="0" w:space="0" w:color="auto"/>
        <w:right w:val="none" w:sz="0" w:space="0" w:color="auto"/>
      </w:divBdr>
    </w:div>
    <w:div w:id="437871663">
      <w:marLeft w:val="0"/>
      <w:marRight w:val="0"/>
      <w:marTop w:val="10"/>
      <w:marBottom w:val="10"/>
      <w:divBdr>
        <w:top w:val="none" w:sz="0" w:space="0" w:color="auto"/>
        <w:left w:val="none" w:sz="0" w:space="0" w:color="auto"/>
        <w:bottom w:val="none" w:sz="0" w:space="0" w:color="auto"/>
        <w:right w:val="none" w:sz="0" w:space="0" w:color="auto"/>
      </w:divBdr>
    </w:div>
    <w:div w:id="450437230">
      <w:marLeft w:val="0"/>
      <w:marRight w:val="720"/>
      <w:marTop w:val="10"/>
      <w:marBottom w:val="10"/>
      <w:divBdr>
        <w:top w:val="none" w:sz="0" w:space="0" w:color="auto"/>
        <w:left w:val="none" w:sz="0" w:space="0" w:color="auto"/>
        <w:bottom w:val="none" w:sz="0" w:space="0" w:color="auto"/>
        <w:right w:val="none" w:sz="0" w:space="0" w:color="auto"/>
      </w:divBdr>
    </w:div>
    <w:div w:id="509805122">
      <w:marLeft w:val="0"/>
      <w:marRight w:val="0"/>
      <w:marTop w:val="10"/>
      <w:marBottom w:val="10"/>
      <w:divBdr>
        <w:top w:val="none" w:sz="0" w:space="0" w:color="auto"/>
        <w:left w:val="none" w:sz="0" w:space="0" w:color="auto"/>
        <w:bottom w:val="none" w:sz="0" w:space="0" w:color="auto"/>
        <w:right w:val="none" w:sz="0" w:space="0" w:color="auto"/>
      </w:divBdr>
    </w:div>
    <w:div w:id="525602702">
      <w:marLeft w:val="0"/>
      <w:marRight w:val="0"/>
      <w:marTop w:val="10"/>
      <w:marBottom w:val="10"/>
      <w:divBdr>
        <w:top w:val="none" w:sz="0" w:space="0" w:color="auto"/>
        <w:left w:val="none" w:sz="0" w:space="0" w:color="auto"/>
        <w:bottom w:val="none" w:sz="0" w:space="0" w:color="auto"/>
        <w:right w:val="none" w:sz="0" w:space="0" w:color="auto"/>
      </w:divBdr>
    </w:div>
    <w:div w:id="552811146">
      <w:marLeft w:val="0"/>
      <w:marRight w:val="0"/>
      <w:marTop w:val="10"/>
      <w:marBottom w:val="10"/>
      <w:divBdr>
        <w:top w:val="none" w:sz="0" w:space="0" w:color="auto"/>
        <w:left w:val="none" w:sz="0" w:space="0" w:color="auto"/>
        <w:bottom w:val="none" w:sz="0" w:space="0" w:color="auto"/>
        <w:right w:val="none" w:sz="0" w:space="0" w:color="auto"/>
      </w:divBdr>
    </w:div>
    <w:div w:id="862085567">
      <w:marLeft w:val="0"/>
      <w:marRight w:val="720"/>
      <w:marTop w:val="10"/>
      <w:marBottom w:val="10"/>
      <w:divBdr>
        <w:top w:val="none" w:sz="0" w:space="0" w:color="auto"/>
        <w:left w:val="none" w:sz="0" w:space="0" w:color="auto"/>
        <w:bottom w:val="none" w:sz="0" w:space="0" w:color="auto"/>
        <w:right w:val="none" w:sz="0" w:space="0" w:color="auto"/>
      </w:divBdr>
    </w:div>
    <w:div w:id="881795740">
      <w:marLeft w:val="0"/>
      <w:marRight w:val="0"/>
      <w:marTop w:val="10"/>
      <w:marBottom w:val="10"/>
      <w:divBdr>
        <w:top w:val="none" w:sz="0" w:space="0" w:color="auto"/>
        <w:left w:val="none" w:sz="0" w:space="0" w:color="auto"/>
        <w:bottom w:val="none" w:sz="0" w:space="0" w:color="auto"/>
        <w:right w:val="none" w:sz="0" w:space="0" w:color="auto"/>
      </w:divBdr>
    </w:div>
    <w:div w:id="932319032">
      <w:marLeft w:val="0"/>
      <w:marRight w:val="0"/>
      <w:marTop w:val="10"/>
      <w:marBottom w:val="10"/>
      <w:divBdr>
        <w:top w:val="none" w:sz="0" w:space="0" w:color="auto"/>
        <w:left w:val="none" w:sz="0" w:space="0" w:color="auto"/>
        <w:bottom w:val="none" w:sz="0" w:space="0" w:color="auto"/>
        <w:right w:val="none" w:sz="0" w:space="0" w:color="auto"/>
      </w:divBdr>
    </w:div>
    <w:div w:id="1059017362">
      <w:marLeft w:val="0"/>
      <w:marRight w:val="0"/>
      <w:marTop w:val="10"/>
      <w:marBottom w:val="10"/>
      <w:divBdr>
        <w:top w:val="none" w:sz="0" w:space="0" w:color="auto"/>
        <w:left w:val="none" w:sz="0" w:space="0" w:color="auto"/>
        <w:bottom w:val="none" w:sz="0" w:space="0" w:color="auto"/>
        <w:right w:val="none" w:sz="0" w:space="0" w:color="auto"/>
      </w:divBdr>
    </w:div>
    <w:div w:id="1129204669">
      <w:marLeft w:val="0"/>
      <w:marRight w:val="0"/>
      <w:marTop w:val="10"/>
      <w:marBottom w:val="10"/>
      <w:divBdr>
        <w:top w:val="none" w:sz="0" w:space="0" w:color="auto"/>
        <w:left w:val="none" w:sz="0" w:space="0" w:color="auto"/>
        <w:bottom w:val="none" w:sz="0" w:space="0" w:color="auto"/>
        <w:right w:val="none" w:sz="0" w:space="0" w:color="auto"/>
      </w:divBdr>
    </w:div>
    <w:div w:id="1161505001">
      <w:marLeft w:val="0"/>
      <w:marRight w:val="0"/>
      <w:marTop w:val="10"/>
      <w:marBottom w:val="10"/>
      <w:divBdr>
        <w:top w:val="none" w:sz="0" w:space="0" w:color="auto"/>
        <w:left w:val="none" w:sz="0" w:space="0" w:color="auto"/>
        <w:bottom w:val="none" w:sz="0" w:space="0" w:color="auto"/>
        <w:right w:val="none" w:sz="0" w:space="0" w:color="auto"/>
      </w:divBdr>
    </w:div>
    <w:div w:id="1217008815">
      <w:marLeft w:val="0"/>
      <w:marRight w:val="0"/>
      <w:marTop w:val="10"/>
      <w:marBottom w:val="10"/>
      <w:divBdr>
        <w:top w:val="none" w:sz="0" w:space="0" w:color="auto"/>
        <w:left w:val="none" w:sz="0" w:space="0" w:color="auto"/>
        <w:bottom w:val="none" w:sz="0" w:space="0" w:color="auto"/>
        <w:right w:val="none" w:sz="0" w:space="0" w:color="auto"/>
      </w:divBdr>
    </w:div>
    <w:div w:id="1436368617">
      <w:marLeft w:val="0"/>
      <w:marRight w:val="0"/>
      <w:marTop w:val="10"/>
      <w:marBottom w:val="10"/>
      <w:divBdr>
        <w:top w:val="none" w:sz="0" w:space="0" w:color="auto"/>
        <w:left w:val="none" w:sz="0" w:space="0" w:color="auto"/>
        <w:bottom w:val="none" w:sz="0" w:space="0" w:color="auto"/>
        <w:right w:val="none" w:sz="0" w:space="0" w:color="auto"/>
      </w:divBdr>
    </w:div>
    <w:div w:id="1442719867">
      <w:marLeft w:val="0"/>
      <w:marRight w:val="720"/>
      <w:marTop w:val="10"/>
      <w:marBottom w:val="10"/>
      <w:divBdr>
        <w:top w:val="none" w:sz="0" w:space="0" w:color="auto"/>
        <w:left w:val="none" w:sz="0" w:space="0" w:color="auto"/>
        <w:bottom w:val="none" w:sz="0" w:space="0" w:color="auto"/>
        <w:right w:val="none" w:sz="0" w:space="0" w:color="auto"/>
      </w:divBdr>
    </w:div>
    <w:div w:id="1472165260">
      <w:marLeft w:val="0"/>
      <w:marRight w:val="720"/>
      <w:marTop w:val="10"/>
      <w:marBottom w:val="10"/>
      <w:divBdr>
        <w:top w:val="none" w:sz="0" w:space="0" w:color="auto"/>
        <w:left w:val="none" w:sz="0" w:space="0" w:color="auto"/>
        <w:bottom w:val="none" w:sz="0" w:space="0" w:color="auto"/>
        <w:right w:val="none" w:sz="0" w:space="0" w:color="auto"/>
      </w:divBdr>
    </w:div>
    <w:div w:id="1570073488">
      <w:marLeft w:val="0"/>
      <w:marRight w:val="0"/>
      <w:marTop w:val="10"/>
      <w:marBottom w:val="10"/>
      <w:divBdr>
        <w:top w:val="none" w:sz="0" w:space="0" w:color="auto"/>
        <w:left w:val="none" w:sz="0" w:space="0" w:color="auto"/>
        <w:bottom w:val="none" w:sz="0" w:space="0" w:color="auto"/>
        <w:right w:val="none" w:sz="0" w:space="0" w:color="auto"/>
      </w:divBdr>
    </w:div>
    <w:div w:id="1705641719">
      <w:marLeft w:val="0"/>
      <w:marRight w:val="0"/>
      <w:marTop w:val="10"/>
      <w:marBottom w:val="10"/>
      <w:divBdr>
        <w:top w:val="none" w:sz="0" w:space="0" w:color="auto"/>
        <w:left w:val="none" w:sz="0" w:space="0" w:color="auto"/>
        <w:bottom w:val="none" w:sz="0" w:space="0" w:color="auto"/>
        <w:right w:val="none" w:sz="0" w:space="0" w:color="auto"/>
      </w:divBdr>
    </w:div>
    <w:div w:id="1797599971">
      <w:marLeft w:val="0"/>
      <w:marRight w:val="0"/>
      <w:marTop w:val="10"/>
      <w:marBottom w:val="10"/>
      <w:divBdr>
        <w:top w:val="none" w:sz="0" w:space="0" w:color="auto"/>
        <w:left w:val="none" w:sz="0" w:space="0" w:color="auto"/>
        <w:bottom w:val="none" w:sz="0" w:space="0" w:color="auto"/>
        <w:right w:val="none" w:sz="0" w:space="0" w:color="auto"/>
      </w:divBdr>
    </w:div>
    <w:div w:id="1815291899">
      <w:marLeft w:val="0"/>
      <w:marRight w:val="0"/>
      <w:marTop w:val="10"/>
      <w:marBottom w:val="10"/>
      <w:divBdr>
        <w:top w:val="none" w:sz="0" w:space="0" w:color="auto"/>
        <w:left w:val="none" w:sz="0" w:space="0" w:color="auto"/>
        <w:bottom w:val="none" w:sz="0" w:space="0" w:color="auto"/>
        <w:right w:val="none" w:sz="0" w:space="0" w:color="auto"/>
      </w:divBdr>
    </w:div>
    <w:div w:id="1860847221">
      <w:marLeft w:val="0"/>
      <w:marRight w:val="0"/>
      <w:marTop w:val="10"/>
      <w:marBottom w:val="10"/>
      <w:divBdr>
        <w:top w:val="none" w:sz="0" w:space="0" w:color="auto"/>
        <w:left w:val="none" w:sz="0" w:space="0" w:color="auto"/>
        <w:bottom w:val="none" w:sz="0" w:space="0" w:color="auto"/>
        <w:right w:val="none" w:sz="0" w:space="0" w:color="auto"/>
      </w:divBdr>
    </w:div>
    <w:div w:id="1923640515">
      <w:marLeft w:val="0"/>
      <w:marRight w:val="0"/>
      <w:marTop w:val="10"/>
      <w:marBottom w:val="10"/>
      <w:divBdr>
        <w:top w:val="none" w:sz="0" w:space="0" w:color="auto"/>
        <w:left w:val="none" w:sz="0" w:space="0" w:color="auto"/>
        <w:bottom w:val="none" w:sz="0" w:space="0" w:color="auto"/>
        <w:right w:val="none" w:sz="0" w:space="0" w:color="auto"/>
      </w:divBdr>
    </w:div>
    <w:div w:id="1990137193">
      <w:marLeft w:val="0"/>
      <w:marRight w:val="0"/>
      <w:marTop w:val="10"/>
      <w:marBottom w:val="10"/>
      <w:divBdr>
        <w:top w:val="none" w:sz="0" w:space="0" w:color="auto"/>
        <w:left w:val="none" w:sz="0" w:space="0" w:color="auto"/>
        <w:bottom w:val="none" w:sz="0" w:space="0" w:color="auto"/>
        <w:right w:val="none" w:sz="0" w:space="0" w:color="auto"/>
      </w:divBdr>
    </w:div>
    <w:div w:id="2028483024">
      <w:marLeft w:val="0"/>
      <w:marRight w:val="0"/>
      <w:marTop w:val="10"/>
      <w:marBottom w:val="10"/>
      <w:divBdr>
        <w:top w:val="none" w:sz="0" w:space="0" w:color="auto"/>
        <w:left w:val="none" w:sz="0" w:space="0" w:color="auto"/>
        <w:bottom w:val="none" w:sz="0" w:space="0" w:color="auto"/>
        <w:right w:val="none" w:sz="0" w:space="0" w:color="auto"/>
      </w:divBdr>
    </w:div>
    <w:div w:id="2052267142">
      <w:marLeft w:val="0"/>
      <w:marRight w:val="0"/>
      <w:marTop w:val="10"/>
      <w:marBottom w:val="10"/>
      <w:divBdr>
        <w:top w:val="none" w:sz="0" w:space="0" w:color="auto"/>
        <w:left w:val="none" w:sz="0" w:space="0" w:color="auto"/>
        <w:bottom w:val="none" w:sz="0" w:space="0" w:color="auto"/>
        <w:right w:val="none" w:sz="0" w:space="0" w:color="auto"/>
      </w:divBdr>
    </w:div>
    <w:div w:id="2141142449">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4496</Characters>
  <Application>Microsoft Office Word</Application>
  <DocSecurity>0</DocSecurity>
  <Lines>37</Lines>
  <Paragraphs>10</Paragraphs>
  <ScaleCrop>false</ScaleCrop>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