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023DA">
      <w:pPr>
        <w:spacing w:line="500" w:lineRule="atLeast"/>
        <w:jc w:val="center"/>
        <w:divId w:val="740257456"/>
        <w:rPr>
          <w:rFonts w:ascii="黑体" w:eastAsia="黑体" w:hAnsi="黑体"/>
          <w:sz w:val="36"/>
          <w:szCs w:val="36"/>
        </w:rPr>
      </w:pPr>
      <w:bookmarkStart w:id="0" w:name="_GoBack"/>
      <w:bookmarkEnd w:id="0"/>
      <w:r>
        <w:rPr>
          <w:rFonts w:ascii="黑体" w:eastAsia="黑体" w:hAnsi="黑体" w:hint="eastAsia"/>
          <w:sz w:val="36"/>
          <w:szCs w:val="36"/>
        </w:rPr>
        <w:t>浙江省宁波市中级人民法院</w:t>
      </w:r>
    </w:p>
    <w:p w:rsidR="00000000" w:rsidRDefault="007023DA">
      <w:pPr>
        <w:spacing w:line="500" w:lineRule="atLeast"/>
        <w:jc w:val="center"/>
        <w:divId w:val="188186706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023DA">
      <w:pPr>
        <w:spacing w:line="500" w:lineRule="atLeast"/>
        <w:jc w:val="right"/>
        <w:divId w:val="149299397"/>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02</w:t>
      </w:r>
      <w:r>
        <w:rPr>
          <w:rFonts w:hint="eastAsia"/>
          <w:sz w:val="30"/>
          <w:szCs w:val="30"/>
        </w:rPr>
        <w:t>民终</w:t>
      </w:r>
      <w:r>
        <w:rPr>
          <w:rFonts w:hint="eastAsia"/>
          <w:sz w:val="30"/>
          <w:szCs w:val="30"/>
        </w:rPr>
        <w:t>4091</w:t>
      </w:r>
      <w:r>
        <w:rPr>
          <w:rFonts w:hint="eastAsia"/>
          <w:sz w:val="30"/>
          <w:szCs w:val="30"/>
        </w:rPr>
        <w:t>号</w:t>
      </w:r>
    </w:p>
    <w:p w:rsidR="00000000" w:rsidRDefault="007023DA">
      <w:pPr>
        <w:spacing w:line="500" w:lineRule="atLeast"/>
        <w:ind w:firstLine="600"/>
        <w:divId w:val="1058092859"/>
        <w:rPr>
          <w:rFonts w:hint="eastAsia"/>
          <w:sz w:val="30"/>
          <w:szCs w:val="30"/>
        </w:rPr>
      </w:pPr>
      <w:r>
        <w:rPr>
          <w:rFonts w:hint="eastAsia"/>
          <w:sz w:val="30"/>
          <w:szCs w:val="30"/>
        </w:rPr>
        <w:t>上诉人（原审被告）：洪谦，男，</w:t>
      </w:r>
      <w:r>
        <w:rPr>
          <w:rFonts w:hint="eastAsia"/>
          <w:sz w:val="30"/>
          <w:szCs w:val="30"/>
        </w:rPr>
        <w:t>1957</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日出生，汉族，宁波明州投资有限公司、宁波明州大药房有限公司股东，住宁波市鄞州区。</w:t>
      </w:r>
    </w:p>
    <w:p w:rsidR="00000000" w:rsidRDefault="007023DA">
      <w:pPr>
        <w:spacing w:line="500" w:lineRule="atLeast"/>
        <w:ind w:firstLine="600"/>
        <w:divId w:val="1562596942"/>
        <w:rPr>
          <w:rFonts w:hint="eastAsia"/>
          <w:sz w:val="30"/>
          <w:szCs w:val="30"/>
        </w:rPr>
      </w:pPr>
      <w:r>
        <w:rPr>
          <w:rFonts w:hint="eastAsia"/>
          <w:sz w:val="30"/>
          <w:szCs w:val="30"/>
        </w:rPr>
        <w:t>委托诉讼代理人：谢银忠，浙江正清和律师事务所律师。</w:t>
      </w:r>
    </w:p>
    <w:p w:rsidR="00000000" w:rsidRDefault="007023DA">
      <w:pPr>
        <w:spacing w:line="500" w:lineRule="atLeast"/>
        <w:ind w:firstLine="600"/>
        <w:divId w:val="292323249"/>
        <w:rPr>
          <w:rFonts w:hint="eastAsia"/>
          <w:sz w:val="30"/>
          <w:szCs w:val="30"/>
        </w:rPr>
      </w:pPr>
      <w:r>
        <w:rPr>
          <w:rFonts w:hint="eastAsia"/>
          <w:sz w:val="30"/>
          <w:szCs w:val="30"/>
        </w:rPr>
        <w:t>委托诉讼代理人：谢凤展，浙江正清和律师事务所律师。</w:t>
      </w:r>
    </w:p>
    <w:p w:rsidR="00000000" w:rsidRDefault="007023DA">
      <w:pPr>
        <w:spacing w:line="500" w:lineRule="atLeast"/>
        <w:ind w:firstLine="600"/>
        <w:divId w:val="1299383311"/>
        <w:rPr>
          <w:rFonts w:hint="eastAsia"/>
          <w:sz w:val="30"/>
          <w:szCs w:val="30"/>
        </w:rPr>
      </w:pPr>
      <w:r>
        <w:rPr>
          <w:rFonts w:hint="eastAsia"/>
          <w:sz w:val="30"/>
          <w:szCs w:val="30"/>
        </w:rPr>
        <w:t>被上诉人（原审原告）：宁波明州投资有限公司。住所地：宁波市鄞州区嵩江西路</w:t>
      </w:r>
      <w:r>
        <w:rPr>
          <w:rFonts w:hint="eastAsia"/>
          <w:sz w:val="30"/>
          <w:szCs w:val="30"/>
        </w:rPr>
        <w:t>321</w:t>
      </w:r>
      <w:r>
        <w:rPr>
          <w:rFonts w:hint="eastAsia"/>
          <w:sz w:val="30"/>
          <w:szCs w:val="30"/>
        </w:rPr>
        <w:t>号。</w:t>
      </w:r>
    </w:p>
    <w:p w:rsidR="00000000" w:rsidRDefault="007023DA">
      <w:pPr>
        <w:spacing w:line="500" w:lineRule="atLeast"/>
        <w:ind w:firstLine="600"/>
        <w:divId w:val="1024480408"/>
        <w:rPr>
          <w:rFonts w:hint="eastAsia"/>
          <w:sz w:val="30"/>
          <w:szCs w:val="30"/>
        </w:rPr>
      </w:pPr>
      <w:r>
        <w:rPr>
          <w:rFonts w:hint="eastAsia"/>
          <w:sz w:val="30"/>
          <w:szCs w:val="30"/>
        </w:rPr>
        <w:t>法定代表人：项志秋，该公司董事长。</w:t>
      </w:r>
    </w:p>
    <w:p w:rsidR="00000000" w:rsidRDefault="007023DA">
      <w:pPr>
        <w:spacing w:line="500" w:lineRule="atLeast"/>
        <w:ind w:firstLine="600"/>
        <w:divId w:val="1817722304"/>
        <w:rPr>
          <w:rFonts w:hint="eastAsia"/>
          <w:sz w:val="30"/>
          <w:szCs w:val="30"/>
        </w:rPr>
      </w:pPr>
      <w:r>
        <w:rPr>
          <w:rFonts w:hint="eastAsia"/>
          <w:sz w:val="30"/>
          <w:szCs w:val="30"/>
        </w:rPr>
        <w:t>委托诉讼代理人：任剑明，该公司股东。</w:t>
      </w:r>
    </w:p>
    <w:p w:rsidR="00000000" w:rsidRDefault="007023DA">
      <w:pPr>
        <w:spacing w:line="500" w:lineRule="atLeast"/>
        <w:ind w:firstLine="600"/>
        <w:divId w:val="2056200974"/>
        <w:rPr>
          <w:rFonts w:hint="eastAsia"/>
          <w:sz w:val="30"/>
          <w:szCs w:val="30"/>
        </w:rPr>
      </w:pPr>
      <w:r>
        <w:rPr>
          <w:rFonts w:hint="eastAsia"/>
          <w:sz w:val="30"/>
          <w:szCs w:val="30"/>
        </w:rPr>
        <w:t>委托诉讼代理人：周文献，浙江元甬律师事务所律师。</w:t>
      </w:r>
    </w:p>
    <w:p w:rsidR="00000000" w:rsidRDefault="007023DA">
      <w:pPr>
        <w:spacing w:line="500" w:lineRule="atLeast"/>
        <w:ind w:firstLine="600"/>
        <w:divId w:val="1929190414"/>
        <w:rPr>
          <w:rFonts w:hint="eastAsia"/>
          <w:sz w:val="30"/>
          <w:szCs w:val="30"/>
        </w:rPr>
      </w:pPr>
      <w:r>
        <w:rPr>
          <w:rFonts w:hint="eastAsia"/>
          <w:sz w:val="30"/>
          <w:szCs w:val="30"/>
        </w:rPr>
        <w:t>被上诉人（原审第三人）：宁波市鄞州医药药材有限公司。住所地：宁波市鄞州区嵩江西路</w:t>
      </w:r>
      <w:r>
        <w:rPr>
          <w:rFonts w:hint="eastAsia"/>
          <w:sz w:val="30"/>
          <w:szCs w:val="30"/>
        </w:rPr>
        <w:t>321</w:t>
      </w:r>
      <w:r>
        <w:rPr>
          <w:rFonts w:hint="eastAsia"/>
          <w:sz w:val="30"/>
          <w:szCs w:val="30"/>
        </w:rPr>
        <w:t>号。</w:t>
      </w:r>
    </w:p>
    <w:p w:rsidR="00000000" w:rsidRDefault="007023DA">
      <w:pPr>
        <w:spacing w:line="500" w:lineRule="atLeast"/>
        <w:ind w:firstLine="600"/>
        <w:divId w:val="1505704707"/>
        <w:rPr>
          <w:rFonts w:hint="eastAsia"/>
          <w:sz w:val="30"/>
          <w:szCs w:val="30"/>
        </w:rPr>
      </w:pPr>
      <w:r>
        <w:rPr>
          <w:rFonts w:hint="eastAsia"/>
          <w:sz w:val="30"/>
          <w:szCs w:val="30"/>
        </w:rPr>
        <w:t>法定代表人：项志秋，该公司董事长。</w:t>
      </w:r>
    </w:p>
    <w:p w:rsidR="00000000" w:rsidRDefault="007023DA">
      <w:pPr>
        <w:spacing w:line="500" w:lineRule="atLeast"/>
        <w:ind w:firstLine="600"/>
        <w:divId w:val="197082468"/>
        <w:rPr>
          <w:rFonts w:hint="eastAsia"/>
          <w:sz w:val="30"/>
          <w:szCs w:val="30"/>
        </w:rPr>
      </w:pPr>
      <w:r>
        <w:rPr>
          <w:rFonts w:hint="eastAsia"/>
          <w:sz w:val="30"/>
          <w:szCs w:val="30"/>
        </w:rPr>
        <w:t>上诉人洪谦因与被上诉人宁波明州投资有限公司（以下简称明州投资公司）、宁波市鄞州医药药材有限公司（以下简称鄞州医药药材公司）损害公司利益责任纠纷一案，不服宁波市鄞州区人民法院（</w:t>
      </w:r>
      <w:r>
        <w:rPr>
          <w:rFonts w:hint="eastAsia"/>
          <w:sz w:val="30"/>
          <w:szCs w:val="30"/>
        </w:rPr>
        <w:t>2015</w:t>
      </w:r>
      <w:r>
        <w:rPr>
          <w:rFonts w:hint="eastAsia"/>
          <w:sz w:val="30"/>
          <w:szCs w:val="30"/>
        </w:rPr>
        <w:t>）甬鄞商初字第</w:t>
      </w:r>
      <w:r>
        <w:rPr>
          <w:rFonts w:hint="eastAsia"/>
          <w:sz w:val="30"/>
          <w:szCs w:val="30"/>
        </w:rPr>
        <w:t>1098</w:t>
      </w:r>
      <w:r>
        <w:rPr>
          <w:rFonts w:hint="eastAsia"/>
          <w:sz w:val="30"/>
          <w:szCs w:val="30"/>
        </w:rPr>
        <w:t>号民事判决，向本院提起上诉。本院于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日立案受理后依法组成合议庭，经阅卷并询问当事人，决定不开庭审理。本案现已审理</w:t>
      </w:r>
      <w:r>
        <w:rPr>
          <w:rFonts w:hint="eastAsia"/>
          <w:sz w:val="30"/>
          <w:szCs w:val="30"/>
        </w:rPr>
        <w:t>终结。</w:t>
      </w:r>
    </w:p>
    <w:p w:rsidR="00000000" w:rsidRDefault="007023DA">
      <w:pPr>
        <w:spacing w:line="500" w:lineRule="atLeast"/>
        <w:ind w:firstLine="600"/>
        <w:divId w:val="879630950"/>
        <w:rPr>
          <w:rFonts w:hint="eastAsia"/>
          <w:sz w:val="30"/>
          <w:szCs w:val="30"/>
        </w:rPr>
      </w:pPr>
      <w:r>
        <w:rPr>
          <w:rFonts w:hint="eastAsia"/>
          <w:sz w:val="30"/>
          <w:szCs w:val="30"/>
        </w:rPr>
        <w:t>洪谦上诉请求：撤销一审判决，依法改判驳回明州投资公司一审的诉讼请求。事实和理由：一、一审法院以（</w:t>
      </w:r>
      <w:r>
        <w:rPr>
          <w:rFonts w:hint="eastAsia"/>
          <w:sz w:val="30"/>
          <w:szCs w:val="30"/>
        </w:rPr>
        <w:t>2015</w:t>
      </w:r>
      <w:r>
        <w:rPr>
          <w:rFonts w:hint="eastAsia"/>
          <w:sz w:val="30"/>
          <w:szCs w:val="30"/>
        </w:rPr>
        <w:t>）甬鄞商初字第</w:t>
      </w:r>
      <w:r>
        <w:rPr>
          <w:rFonts w:hint="eastAsia"/>
          <w:sz w:val="30"/>
          <w:szCs w:val="30"/>
        </w:rPr>
        <w:t>544</w:t>
      </w:r>
      <w:r>
        <w:rPr>
          <w:rFonts w:hint="eastAsia"/>
          <w:sz w:val="30"/>
          <w:szCs w:val="30"/>
        </w:rPr>
        <w:t>号民事判决结果认定洪谦违反公司忠实义务依据不足。首先，该判决尚未生效，以未生效判决作为定案依据</w:t>
      </w:r>
      <w:r>
        <w:rPr>
          <w:rFonts w:hint="eastAsia"/>
          <w:sz w:val="30"/>
          <w:szCs w:val="30"/>
        </w:rPr>
        <w:lastRenderedPageBreak/>
        <w:t>不符合证据规则；其次，该判决存在错误，洪谦的两次入股行为并未违反明州投资公司章程及公司法规定的竞业禁止义务和忠实义务；二、一审法院认定明州投资公司作为原告存在错误。虽然明州投资公司占有鄞州医药药材公司</w:t>
      </w:r>
      <w:r>
        <w:rPr>
          <w:rFonts w:hint="eastAsia"/>
          <w:sz w:val="30"/>
          <w:szCs w:val="30"/>
        </w:rPr>
        <w:t>90%</w:t>
      </w:r>
      <w:r>
        <w:rPr>
          <w:rFonts w:hint="eastAsia"/>
          <w:sz w:val="30"/>
          <w:szCs w:val="30"/>
        </w:rPr>
        <w:t>的股权，但两者从法律上是两家独立的公司，明州投资公司股东会决议效力并不及于鄞州医</w:t>
      </w:r>
      <w:r>
        <w:rPr>
          <w:rFonts w:hint="eastAsia"/>
          <w:sz w:val="30"/>
          <w:szCs w:val="30"/>
        </w:rPr>
        <w:t>药药材公司。洪谦取得涉案房屋是基于与鄞州医药药材公司的房屋买卖合同，买卖合同合法有效，洪谦支付了购房款并办理了房屋产权变更登记手续。即使房屋存在约定义务的限制条件，也只能由鄞州医药药材公司与洪谦约定；三、一审法院判令洪谦将涉案房屋由明州投资公司收回及过户至该公司名下，以及将已取得的租金归还给明州投资公司缺乏事实及法律依据。明州投资公司并非买卖合同当事人，无权直接对涉案房屋行使任何权利。洪谦与鄞州医药药材公司签订买卖合同时，买卖合同中并没有约定任何限制及约定义务的条款，鄞州医药药材公司也没有对该房屋的买卖作出</w:t>
      </w:r>
      <w:r>
        <w:rPr>
          <w:rFonts w:hint="eastAsia"/>
          <w:sz w:val="30"/>
          <w:szCs w:val="30"/>
        </w:rPr>
        <w:t>任何决议，因此，涉案房屋自买卖合同签订并付款后已属于洪谦的合法私人财产，任何单位及个人均不能对洪谦的私人财产作出任何限制条款；四、</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日明州投资公司股东会决议不能对洪谦入股贝因美集团有限公司（以下简称贝因美集团公司）的行为发生约束力。洪谦向贝因美集团公司汇付</w:t>
      </w:r>
      <w:r>
        <w:rPr>
          <w:rFonts w:hint="eastAsia"/>
          <w:sz w:val="30"/>
          <w:szCs w:val="30"/>
        </w:rPr>
        <w:t>1000000</w:t>
      </w:r>
      <w:r>
        <w:rPr>
          <w:rFonts w:hint="eastAsia"/>
          <w:sz w:val="30"/>
          <w:szCs w:val="30"/>
        </w:rPr>
        <w:t>元的时间是</w:t>
      </w:r>
      <w:r>
        <w:rPr>
          <w:rFonts w:hint="eastAsia"/>
          <w:sz w:val="30"/>
          <w:szCs w:val="30"/>
        </w:rPr>
        <w:t>2007</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日，因财务调整以股权方式存在是</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日，而明州投资公司股东会决议时间是</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日，晚于上述两项时间，因此，该股东会决议不能对洪谦之前的行为产生约束力；五、《中华人民共和国公司法</w:t>
      </w:r>
      <w:r>
        <w:rPr>
          <w:rFonts w:hint="eastAsia"/>
          <w:sz w:val="30"/>
          <w:szCs w:val="30"/>
        </w:rPr>
        <w:t>》并没有规定投资公司具有直接支配投资及控股公司财产的权利，也没有规定公司可以直接对股东的私人财产进行处罚，仅规定因违反公司法而取得的收入归公司所有。</w:t>
      </w:r>
    </w:p>
    <w:p w:rsidR="00000000" w:rsidRDefault="007023DA">
      <w:pPr>
        <w:spacing w:line="500" w:lineRule="atLeast"/>
        <w:ind w:firstLine="600"/>
        <w:divId w:val="1135951763"/>
        <w:rPr>
          <w:rFonts w:hint="eastAsia"/>
          <w:sz w:val="30"/>
          <w:szCs w:val="30"/>
        </w:rPr>
      </w:pPr>
      <w:r>
        <w:rPr>
          <w:rFonts w:hint="eastAsia"/>
          <w:sz w:val="30"/>
          <w:szCs w:val="30"/>
        </w:rPr>
        <w:lastRenderedPageBreak/>
        <w:t>明州投资公司辩称，一、洪谦作为明州投资公司的股东和高级管理人员，实施了违反对公司的忠实义务的行为，事实清楚；二、明州投资公司作为原告主体适格。</w:t>
      </w:r>
      <w:r>
        <w:rPr>
          <w:rFonts w:hint="eastAsia"/>
          <w:sz w:val="30"/>
          <w:szCs w:val="30"/>
        </w:rPr>
        <w:t>1.</w:t>
      </w:r>
      <w:r>
        <w:rPr>
          <w:rFonts w:hint="eastAsia"/>
          <w:sz w:val="30"/>
          <w:szCs w:val="30"/>
        </w:rPr>
        <w:t>明州投资公司、鄞州医药药材公司、宁波明州大药房有限公司（以下简称明州大药房）的实际投资人就是明州投资公司的</w:t>
      </w:r>
      <w:r>
        <w:rPr>
          <w:rFonts w:hint="eastAsia"/>
          <w:sz w:val="30"/>
          <w:szCs w:val="30"/>
        </w:rPr>
        <w:t>16</w:t>
      </w:r>
      <w:r>
        <w:rPr>
          <w:rFonts w:hint="eastAsia"/>
          <w:sz w:val="30"/>
          <w:szCs w:val="30"/>
        </w:rPr>
        <w:t>位自然人股东，</w:t>
      </w:r>
      <w:r>
        <w:rPr>
          <w:rFonts w:hint="eastAsia"/>
          <w:sz w:val="30"/>
          <w:szCs w:val="30"/>
        </w:rPr>
        <w:t>16</w:t>
      </w:r>
      <w:r>
        <w:rPr>
          <w:rFonts w:hint="eastAsia"/>
          <w:sz w:val="30"/>
          <w:szCs w:val="30"/>
        </w:rPr>
        <w:t>位自然人股东的意愿代表了三家公司全体股东的意愿。因此，在不违反法律法规的强制性规定，不损</w:t>
      </w:r>
      <w:r>
        <w:rPr>
          <w:rFonts w:hint="eastAsia"/>
          <w:sz w:val="30"/>
          <w:szCs w:val="30"/>
        </w:rPr>
        <w:t>害鄞州医药药材公司债权人利益的前提下，明州投资公司</w:t>
      </w:r>
      <w:r>
        <w:rPr>
          <w:rFonts w:hint="eastAsia"/>
          <w:sz w:val="30"/>
          <w:szCs w:val="30"/>
        </w:rPr>
        <w:t>16</w:t>
      </w:r>
      <w:r>
        <w:rPr>
          <w:rFonts w:hint="eastAsia"/>
          <w:sz w:val="30"/>
          <w:szCs w:val="30"/>
        </w:rPr>
        <w:t>位自然人股东有权对鄞州医药药材公司的财产作出处理决定。</w:t>
      </w:r>
      <w:r>
        <w:rPr>
          <w:rFonts w:hint="eastAsia"/>
          <w:sz w:val="30"/>
          <w:szCs w:val="30"/>
        </w:rPr>
        <w:t>2.</w:t>
      </w:r>
      <w:r>
        <w:rPr>
          <w:rFonts w:hint="eastAsia"/>
          <w:sz w:val="30"/>
          <w:szCs w:val="30"/>
        </w:rPr>
        <w:t>洪谦取得涉案房屋是基于</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日的股东会决议和《关于股东受售房选购方案实施细则》（以下简称《实施细则》）。洪谦在股东会决议和《实施细则》中签字确认，并按照执行，说明洪谦自愿受股东会决议和《实施细则》的约束；</w:t>
      </w:r>
      <w:r>
        <w:rPr>
          <w:rFonts w:hint="eastAsia"/>
          <w:sz w:val="30"/>
          <w:szCs w:val="30"/>
        </w:rPr>
        <w:t>3.</w:t>
      </w:r>
      <w:r>
        <w:rPr>
          <w:rFonts w:hint="eastAsia"/>
          <w:sz w:val="30"/>
          <w:szCs w:val="30"/>
        </w:rPr>
        <w:t>股东会决议和《实施细则》体现了全体投资人的意愿，是公司自治的表现；三、明州投资公司有权按照股东会决议，要求洪谦将涉案房屋交付并转移登记至明州投资公司名下，以及归还已经收取的租金。至</w:t>
      </w:r>
      <w:r>
        <w:rPr>
          <w:rFonts w:hint="eastAsia"/>
          <w:sz w:val="30"/>
          <w:szCs w:val="30"/>
        </w:rPr>
        <w:t>于明州投资公司与鄞州医药药材公司以及明州大药房之间的账目如何处理，与本案无关；四、</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日的股东会决议对洪谦之前的损害公司利益的行为有约束力。</w:t>
      </w:r>
      <w:r>
        <w:rPr>
          <w:rFonts w:hint="eastAsia"/>
          <w:sz w:val="30"/>
          <w:szCs w:val="30"/>
        </w:rPr>
        <w:t>1.</w:t>
      </w:r>
      <w:r>
        <w:rPr>
          <w:rFonts w:hint="eastAsia"/>
          <w:sz w:val="30"/>
          <w:szCs w:val="30"/>
        </w:rPr>
        <w:t>洪谦明知其行为损害公司利益而故意为之。</w:t>
      </w:r>
      <w:r>
        <w:rPr>
          <w:rFonts w:hint="eastAsia"/>
          <w:sz w:val="30"/>
          <w:szCs w:val="30"/>
        </w:rPr>
        <w:t>2.</w:t>
      </w:r>
      <w:r>
        <w:rPr>
          <w:rFonts w:hint="eastAsia"/>
          <w:sz w:val="30"/>
          <w:szCs w:val="30"/>
        </w:rPr>
        <w:t>洪谦持股行为持续，对公司的利益损害持续；五、一审法院适用法律正确。综上，请求驳回上诉，维持原判。</w:t>
      </w:r>
    </w:p>
    <w:p w:rsidR="00000000" w:rsidRDefault="007023DA">
      <w:pPr>
        <w:spacing w:line="500" w:lineRule="atLeast"/>
        <w:ind w:firstLine="600"/>
        <w:divId w:val="246962762"/>
        <w:rPr>
          <w:rFonts w:hint="eastAsia"/>
          <w:sz w:val="30"/>
          <w:szCs w:val="30"/>
        </w:rPr>
      </w:pPr>
      <w:r>
        <w:rPr>
          <w:rFonts w:hint="eastAsia"/>
          <w:sz w:val="30"/>
          <w:szCs w:val="30"/>
        </w:rPr>
        <w:t>鄞州医药药材公司未作答辩。</w:t>
      </w:r>
    </w:p>
    <w:p w:rsidR="00000000" w:rsidRDefault="007023DA">
      <w:pPr>
        <w:spacing w:line="500" w:lineRule="atLeast"/>
        <w:ind w:firstLine="600"/>
        <w:divId w:val="2026900324"/>
        <w:rPr>
          <w:rFonts w:hint="eastAsia"/>
          <w:sz w:val="30"/>
          <w:szCs w:val="30"/>
        </w:rPr>
      </w:pPr>
      <w:r>
        <w:rPr>
          <w:rFonts w:hint="eastAsia"/>
          <w:sz w:val="30"/>
          <w:szCs w:val="30"/>
        </w:rPr>
        <w:t>明州投资公司向一审法院提起诉讼，请求判令：一、洪谦所有的位于宁波市鄞州区宋诏桥凤凰新村</w:t>
      </w:r>
      <w:r>
        <w:rPr>
          <w:rFonts w:hint="eastAsia"/>
          <w:sz w:val="30"/>
          <w:szCs w:val="30"/>
        </w:rPr>
        <w:t>83</w:t>
      </w:r>
      <w:r>
        <w:rPr>
          <w:rFonts w:hint="eastAsia"/>
          <w:sz w:val="30"/>
          <w:szCs w:val="30"/>
        </w:rPr>
        <w:t>幢二层、建筑面积为</w:t>
      </w:r>
      <w:r>
        <w:rPr>
          <w:rFonts w:hint="eastAsia"/>
          <w:sz w:val="30"/>
          <w:szCs w:val="30"/>
        </w:rPr>
        <w:t>207</w:t>
      </w:r>
      <w:r>
        <w:rPr>
          <w:rFonts w:hint="eastAsia"/>
          <w:sz w:val="30"/>
          <w:szCs w:val="30"/>
        </w:rPr>
        <w:t>平方米的房屋归明州投资公司所有，并立即办理相应的房屋及土地使用权过户手续</w:t>
      </w:r>
      <w:r>
        <w:rPr>
          <w:rFonts w:hint="eastAsia"/>
          <w:sz w:val="30"/>
          <w:szCs w:val="30"/>
        </w:rPr>
        <w:t>；二、洪谦立即将其原基于上述房屋已获得的租金</w:t>
      </w:r>
      <w:r>
        <w:rPr>
          <w:rFonts w:hint="eastAsia"/>
          <w:sz w:val="30"/>
          <w:szCs w:val="30"/>
        </w:rPr>
        <w:t>363388.50</w:t>
      </w:r>
      <w:r>
        <w:rPr>
          <w:rFonts w:hint="eastAsia"/>
          <w:sz w:val="30"/>
          <w:szCs w:val="30"/>
        </w:rPr>
        <w:t>元支付给明州投资公司，并支付自</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日起至上述房屋实际过户之日止的租金给明州投资公司，同时赔偿自起诉之日起至判决确定的履行之日止按中国人民银行公布的同期贷款基准利率计算的利息损失。</w:t>
      </w:r>
    </w:p>
    <w:p w:rsidR="00000000" w:rsidRDefault="007023DA">
      <w:pPr>
        <w:spacing w:line="500" w:lineRule="atLeast"/>
        <w:ind w:firstLine="600"/>
        <w:divId w:val="313224764"/>
        <w:rPr>
          <w:rFonts w:hint="eastAsia"/>
          <w:sz w:val="30"/>
          <w:szCs w:val="30"/>
        </w:rPr>
      </w:pPr>
      <w:r>
        <w:rPr>
          <w:rFonts w:hint="eastAsia"/>
          <w:sz w:val="30"/>
          <w:szCs w:val="30"/>
        </w:rPr>
        <w:t>一审法院认定事实：明州投资公司的前身为宁波大榭开发区明州保健食品有限公司（以下简称保健公司），设立于</w:t>
      </w:r>
      <w:r>
        <w:rPr>
          <w:rFonts w:hint="eastAsia"/>
          <w:sz w:val="30"/>
          <w:szCs w:val="30"/>
        </w:rPr>
        <w:t>1994</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日，由宁波明州保健食品公司（以下简称明州公司，现名称为宁波明州医药有限公司）与鄞县医药药材公司明州药房两个法人股东发起设立，经营范围为</w:t>
      </w:r>
      <w:r>
        <w:rPr>
          <w:rFonts w:hint="eastAsia"/>
          <w:sz w:val="30"/>
          <w:szCs w:val="30"/>
        </w:rPr>
        <w:t>其他食品（除烟）、保健食品、食油、百货、日用杂货、五金交电、金属材料及煤炭的销售。</w:t>
      </w:r>
      <w:r>
        <w:rPr>
          <w:rFonts w:hint="eastAsia"/>
          <w:sz w:val="30"/>
          <w:szCs w:val="30"/>
        </w:rPr>
        <w:t>1996</w:t>
      </w:r>
      <w:r>
        <w:rPr>
          <w:rFonts w:hint="eastAsia"/>
          <w:sz w:val="30"/>
          <w:szCs w:val="30"/>
        </w:rPr>
        <w:t>年，保健公司申请变更登记，股东由原两个法人股东，转变为包括洪谦在内的</w:t>
      </w:r>
      <w:r>
        <w:rPr>
          <w:rFonts w:hint="eastAsia"/>
          <w:sz w:val="30"/>
          <w:szCs w:val="30"/>
        </w:rPr>
        <w:t>8</w:t>
      </w:r>
      <w:r>
        <w:rPr>
          <w:rFonts w:hint="eastAsia"/>
          <w:sz w:val="30"/>
          <w:szCs w:val="30"/>
        </w:rPr>
        <w:t>位自然人股东，公司经营范围不变。</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日，保健公司从</w:t>
      </w:r>
      <w:r>
        <w:rPr>
          <w:rFonts w:hint="eastAsia"/>
          <w:sz w:val="30"/>
          <w:szCs w:val="30"/>
        </w:rPr>
        <w:t>8</w:t>
      </w:r>
      <w:r>
        <w:rPr>
          <w:rFonts w:hint="eastAsia"/>
          <w:sz w:val="30"/>
          <w:szCs w:val="30"/>
        </w:rPr>
        <w:t>位自然人股东变更为</w:t>
      </w:r>
      <w:r>
        <w:rPr>
          <w:rFonts w:hint="eastAsia"/>
          <w:sz w:val="30"/>
          <w:szCs w:val="30"/>
        </w:rPr>
        <w:t>16</w:t>
      </w:r>
      <w:r>
        <w:rPr>
          <w:rFonts w:hint="eastAsia"/>
          <w:sz w:val="30"/>
          <w:szCs w:val="30"/>
        </w:rPr>
        <w:t>位自然人股东，洪谦仍为公司股东，经营范围不变。</w:t>
      </w:r>
      <w:r>
        <w:rPr>
          <w:rFonts w:hint="eastAsia"/>
          <w:sz w:val="30"/>
          <w:szCs w:val="30"/>
        </w:rPr>
        <w:t>2000</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日，保健公司经营范围变更为：其他食品（除烟）、保健食品、食油、百货、日用杂货、五金交电、金属材料的批发、零售、代购、代销；房屋租赁。</w:t>
      </w:r>
      <w:r>
        <w:rPr>
          <w:rFonts w:hint="eastAsia"/>
          <w:sz w:val="30"/>
          <w:szCs w:val="30"/>
        </w:rPr>
        <w:t>2002</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日，该公司名称变更为宁波大榭明州投资有限公司（后</w:t>
      </w:r>
      <w:r>
        <w:rPr>
          <w:rFonts w:hint="eastAsia"/>
          <w:sz w:val="30"/>
          <w:szCs w:val="30"/>
        </w:rPr>
        <w:t>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日变更登记为现名称即明州投资公司，住所地亦由宁波大榭开发区海洲南楼</w:t>
      </w:r>
      <w:r>
        <w:rPr>
          <w:rFonts w:hint="eastAsia"/>
          <w:sz w:val="30"/>
          <w:szCs w:val="30"/>
        </w:rPr>
        <w:t>405</w:t>
      </w:r>
      <w:r>
        <w:rPr>
          <w:rFonts w:hint="eastAsia"/>
          <w:sz w:val="30"/>
          <w:szCs w:val="30"/>
        </w:rPr>
        <w:t>室变更为宁波市鄞州区嵩江西路</w:t>
      </w:r>
      <w:r>
        <w:rPr>
          <w:rFonts w:hint="eastAsia"/>
          <w:sz w:val="30"/>
          <w:szCs w:val="30"/>
        </w:rPr>
        <w:t>321</w:t>
      </w:r>
      <w:r>
        <w:rPr>
          <w:rFonts w:hint="eastAsia"/>
          <w:sz w:val="30"/>
          <w:szCs w:val="30"/>
        </w:rPr>
        <w:t>号），经营范围变更为实业投资、房屋租赁，股东不变。</w:t>
      </w:r>
    </w:p>
    <w:p w:rsidR="00000000" w:rsidRDefault="007023DA">
      <w:pPr>
        <w:spacing w:line="500" w:lineRule="atLeast"/>
        <w:ind w:firstLine="600"/>
        <w:divId w:val="224024118"/>
        <w:rPr>
          <w:rFonts w:hint="eastAsia"/>
          <w:sz w:val="30"/>
          <w:szCs w:val="30"/>
        </w:rPr>
      </w:pPr>
      <w:r>
        <w:rPr>
          <w:rFonts w:hint="eastAsia"/>
          <w:sz w:val="30"/>
          <w:szCs w:val="30"/>
        </w:rPr>
        <w:t>1993</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日，浙江省鄞县医药药材有限公司（现名称为鄞州医药药材公司）组建鄞县明州副食物资公司（以下简称副食公司），法定代表人为梁国芬。</w:t>
      </w:r>
      <w:r>
        <w:rPr>
          <w:rFonts w:hint="eastAsia"/>
          <w:sz w:val="30"/>
          <w:szCs w:val="30"/>
        </w:rPr>
        <w:t>1994</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日，副食公司变更法定代表人为洪谦，同年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日，副食公司变更名称为明州公司。保健公司成立时，明州公司持有保健公司</w:t>
      </w:r>
      <w:r>
        <w:rPr>
          <w:rFonts w:hint="eastAsia"/>
          <w:sz w:val="30"/>
          <w:szCs w:val="30"/>
        </w:rPr>
        <w:t>90%</w:t>
      </w:r>
      <w:r>
        <w:rPr>
          <w:rFonts w:hint="eastAsia"/>
          <w:sz w:val="30"/>
          <w:szCs w:val="30"/>
        </w:rPr>
        <w:t>股权。</w:t>
      </w:r>
    </w:p>
    <w:p w:rsidR="00000000" w:rsidRDefault="007023DA">
      <w:pPr>
        <w:spacing w:line="500" w:lineRule="atLeast"/>
        <w:ind w:firstLine="600"/>
        <w:divId w:val="1680082029"/>
        <w:rPr>
          <w:rFonts w:hint="eastAsia"/>
          <w:sz w:val="30"/>
          <w:szCs w:val="30"/>
        </w:rPr>
      </w:pP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日，明州投资公司出资</w:t>
      </w:r>
      <w:r>
        <w:rPr>
          <w:rFonts w:hint="eastAsia"/>
          <w:sz w:val="30"/>
          <w:szCs w:val="30"/>
        </w:rPr>
        <w:t>400000</w:t>
      </w:r>
      <w:r>
        <w:rPr>
          <w:rFonts w:hint="eastAsia"/>
          <w:sz w:val="30"/>
          <w:szCs w:val="30"/>
        </w:rPr>
        <w:t>0</w:t>
      </w:r>
      <w:r>
        <w:rPr>
          <w:rFonts w:hint="eastAsia"/>
          <w:sz w:val="30"/>
          <w:szCs w:val="30"/>
        </w:rPr>
        <w:t>元，与宁波明州大药房</w:t>
      </w:r>
      <w:r>
        <w:rPr>
          <w:rFonts w:hint="eastAsia"/>
          <w:sz w:val="30"/>
          <w:szCs w:val="30"/>
        </w:rPr>
        <w:t>[</w:t>
      </w:r>
      <w:r>
        <w:rPr>
          <w:rFonts w:hint="eastAsia"/>
          <w:sz w:val="30"/>
          <w:szCs w:val="30"/>
        </w:rPr>
        <w:t>成立于</w:t>
      </w:r>
      <w:r>
        <w:rPr>
          <w:rFonts w:hint="eastAsia"/>
          <w:sz w:val="30"/>
          <w:szCs w:val="30"/>
        </w:rPr>
        <w:t>1984</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日（实为改制而来），注册资本现为</w:t>
      </w:r>
      <w:r>
        <w:rPr>
          <w:rFonts w:hint="eastAsia"/>
          <w:sz w:val="30"/>
          <w:szCs w:val="30"/>
        </w:rPr>
        <w:t>3000000</w:t>
      </w:r>
      <w:r>
        <w:rPr>
          <w:rFonts w:hint="eastAsia"/>
          <w:sz w:val="30"/>
          <w:szCs w:val="30"/>
        </w:rPr>
        <w:t>元，股东由法人股东明州投资公司及洪谦、项志秋等</w:t>
      </w:r>
      <w:r>
        <w:rPr>
          <w:rFonts w:hint="eastAsia"/>
          <w:sz w:val="30"/>
          <w:szCs w:val="30"/>
        </w:rPr>
        <w:t>16</w:t>
      </w:r>
      <w:r>
        <w:rPr>
          <w:rFonts w:hint="eastAsia"/>
          <w:sz w:val="30"/>
          <w:szCs w:val="30"/>
        </w:rPr>
        <w:t>位自然人股东组成，其中洪谦的持股比例为</w:t>
      </w:r>
      <w:r>
        <w:rPr>
          <w:rFonts w:hint="eastAsia"/>
          <w:sz w:val="30"/>
          <w:szCs w:val="30"/>
        </w:rPr>
        <w:t>3.5%]</w:t>
      </w:r>
      <w:r>
        <w:rPr>
          <w:rFonts w:hint="eastAsia"/>
          <w:sz w:val="30"/>
          <w:szCs w:val="30"/>
        </w:rPr>
        <w:t>出资</w:t>
      </w:r>
      <w:r>
        <w:rPr>
          <w:rFonts w:hint="eastAsia"/>
          <w:sz w:val="30"/>
          <w:szCs w:val="30"/>
        </w:rPr>
        <w:t>1000000</w:t>
      </w:r>
      <w:r>
        <w:rPr>
          <w:rFonts w:hint="eastAsia"/>
          <w:sz w:val="30"/>
          <w:szCs w:val="30"/>
        </w:rPr>
        <w:t>元共同设立了大榭保健公司（与明州投资公司的前身同名），由洪谦出任公司总经理并兼法定代表人，公司设董事会，其成员为三人即项志秋、邓新娣、梁国芬，由项志秋出任董事长，邓新娣出任副董事长。大榭保健公司成立时的经营范围为许可经营项目：定型包装食品、保健品批发、零售（有效期至</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日）；一般经营项</w:t>
      </w:r>
      <w:r>
        <w:rPr>
          <w:rFonts w:hint="eastAsia"/>
          <w:sz w:val="30"/>
          <w:szCs w:val="30"/>
        </w:rPr>
        <w:t>目：百货、日用品、文化用品、五金交电的批发、零售。</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日变更为许可经营项目：预包装食品、乳制品（含婴幼儿配方乳粉）的批发、零售（在许可证件有效期内经营）；一般经营项目：百货、日用品、文化用品、五金交电的批发、零售。</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日经营范围又作了相应变更。</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日，大榭保健公司的股东变更登记为杨志勇、周洪波，法定代表人亦相应地变更登记为杨志勇。</w:t>
      </w:r>
    </w:p>
    <w:p w:rsidR="00000000" w:rsidRDefault="007023DA">
      <w:pPr>
        <w:spacing w:line="500" w:lineRule="atLeast"/>
        <w:ind w:firstLine="600"/>
        <w:divId w:val="1097755958"/>
        <w:rPr>
          <w:rFonts w:hint="eastAsia"/>
          <w:sz w:val="30"/>
          <w:szCs w:val="30"/>
        </w:rPr>
      </w:pPr>
      <w:r>
        <w:rPr>
          <w:rFonts w:hint="eastAsia"/>
          <w:sz w:val="30"/>
          <w:szCs w:val="30"/>
        </w:rPr>
        <w:t>鄞州医药药材公司的股东现为明州投资公司、明州大药房，持股比例分别为</w:t>
      </w:r>
      <w:r>
        <w:rPr>
          <w:rFonts w:hint="eastAsia"/>
          <w:sz w:val="30"/>
          <w:szCs w:val="30"/>
        </w:rPr>
        <w:t>90%</w:t>
      </w:r>
      <w:r>
        <w:rPr>
          <w:rFonts w:hint="eastAsia"/>
          <w:sz w:val="30"/>
          <w:szCs w:val="30"/>
        </w:rPr>
        <w:t>、</w:t>
      </w:r>
      <w:r>
        <w:rPr>
          <w:rFonts w:hint="eastAsia"/>
          <w:sz w:val="30"/>
          <w:szCs w:val="30"/>
        </w:rPr>
        <w:t>10%</w:t>
      </w:r>
      <w:r>
        <w:rPr>
          <w:rFonts w:hint="eastAsia"/>
          <w:sz w:val="30"/>
          <w:szCs w:val="30"/>
        </w:rPr>
        <w:t>。</w:t>
      </w:r>
    </w:p>
    <w:p w:rsidR="00000000" w:rsidRDefault="007023DA">
      <w:pPr>
        <w:spacing w:line="500" w:lineRule="atLeast"/>
        <w:ind w:firstLine="600"/>
        <w:divId w:val="1744520049"/>
        <w:rPr>
          <w:rFonts w:hint="eastAsia"/>
          <w:sz w:val="30"/>
          <w:szCs w:val="30"/>
        </w:rPr>
      </w:pP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日，洪谦、项志</w:t>
      </w:r>
      <w:r>
        <w:rPr>
          <w:rFonts w:hint="eastAsia"/>
          <w:sz w:val="30"/>
          <w:szCs w:val="30"/>
        </w:rPr>
        <w:t>秋等</w:t>
      </w:r>
      <w:r>
        <w:rPr>
          <w:rFonts w:hint="eastAsia"/>
          <w:sz w:val="30"/>
          <w:szCs w:val="30"/>
        </w:rPr>
        <w:t>16</w:t>
      </w:r>
      <w:r>
        <w:rPr>
          <w:rFonts w:hint="eastAsia"/>
          <w:sz w:val="30"/>
          <w:szCs w:val="30"/>
        </w:rPr>
        <w:t>位自然人股东召开股东会会议并形成决议，一致表决通过了《实施细则》，该细则主要内容为：一、一致同意出售位于宁波市鄞州区宋诏桥凤凰新村</w:t>
      </w:r>
      <w:r>
        <w:rPr>
          <w:rFonts w:hint="eastAsia"/>
          <w:sz w:val="30"/>
          <w:szCs w:val="30"/>
        </w:rPr>
        <w:t>83</w:t>
      </w:r>
      <w:r>
        <w:rPr>
          <w:rFonts w:hint="eastAsia"/>
          <w:sz w:val="30"/>
          <w:szCs w:val="30"/>
        </w:rPr>
        <w:t>幢一层、二层及位于上海市浦东新区张杨路</w:t>
      </w:r>
      <w:r>
        <w:rPr>
          <w:rFonts w:hint="eastAsia"/>
          <w:sz w:val="30"/>
          <w:szCs w:val="30"/>
        </w:rPr>
        <w:t>2852-2860</w:t>
      </w:r>
      <w:r>
        <w:rPr>
          <w:rFonts w:hint="eastAsia"/>
          <w:sz w:val="30"/>
          <w:szCs w:val="30"/>
        </w:rPr>
        <w:t>一层、二层等房屋（建筑面积合计</w:t>
      </w:r>
      <w:r>
        <w:rPr>
          <w:rFonts w:hint="eastAsia"/>
          <w:sz w:val="30"/>
          <w:szCs w:val="30"/>
        </w:rPr>
        <w:t>5166.64</w:t>
      </w:r>
      <w:r>
        <w:rPr>
          <w:rFonts w:hint="eastAsia"/>
          <w:sz w:val="30"/>
          <w:szCs w:val="30"/>
        </w:rPr>
        <w:t>平方米），由股东遵守细则规定受售；二、具体规则包括：</w:t>
      </w:r>
      <w:r>
        <w:rPr>
          <w:rFonts w:hint="eastAsia"/>
          <w:sz w:val="30"/>
          <w:szCs w:val="30"/>
        </w:rPr>
        <w:t>1.</w:t>
      </w:r>
      <w:r>
        <w:rPr>
          <w:rFonts w:hint="eastAsia"/>
          <w:sz w:val="30"/>
          <w:szCs w:val="30"/>
        </w:rPr>
        <w:t>股东受售房必须严格遵守公司章程第十三条（五）、（六）点，第十七条及第三十条的相关责任规定，遵守规则，接受制约。如有违反，必须承担责任，按章程相关规定处理，退回原出资，不得享受权益。</w:t>
      </w:r>
      <w:r>
        <w:rPr>
          <w:rFonts w:hint="eastAsia"/>
          <w:sz w:val="30"/>
          <w:szCs w:val="30"/>
        </w:rPr>
        <w:t>2.</w:t>
      </w:r>
      <w:r>
        <w:rPr>
          <w:rFonts w:hint="eastAsia"/>
          <w:sz w:val="30"/>
          <w:szCs w:val="30"/>
        </w:rPr>
        <w:t>受售房产权证原则上八年内由公司</w:t>
      </w:r>
      <w:r>
        <w:rPr>
          <w:rFonts w:hint="eastAsia"/>
          <w:sz w:val="30"/>
          <w:szCs w:val="30"/>
        </w:rPr>
        <w:t>集中统一保管，不得上市转让；对分散单独办理受售房产权证的，公司保管年限原则上为五年；如遇特殊意外情况，经董事会决定可酌情处理。</w:t>
      </w:r>
      <w:r>
        <w:rPr>
          <w:rFonts w:hint="eastAsia"/>
          <w:sz w:val="30"/>
          <w:szCs w:val="30"/>
        </w:rPr>
        <w:t>3.</w:t>
      </w:r>
      <w:r>
        <w:rPr>
          <w:rFonts w:hint="eastAsia"/>
          <w:sz w:val="30"/>
          <w:szCs w:val="30"/>
        </w:rPr>
        <w:t>受售房后原则上八年内仍由公司统一出租，按受售房所处实际租金享受实际投资份额的税后收益；多人组合的受售房，按实际所处投资享受税后收益。对分散单独的、有受售房产权证的，统一出租原则上为五年；如遇特殊意外情况，经董事会决定酌情处理。</w:t>
      </w:r>
      <w:r>
        <w:rPr>
          <w:rFonts w:hint="eastAsia"/>
          <w:sz w:val="30"/>
          <w:szCs w:val="30"/>
        </w:rPr>
        <w:t>4.</w:t>
      </w:r>
      <w:r>
        <w:rPr>
          <w:rFonts w:hint="eastAsia"/>
          <w:sz w:val="30"/>
          <w:szCs w:val="30"/>
        </w:rPr>
        <w:t>股东受售房面积原则上不得超过应得份额面积，因受售房产权证不可分割原因，少于或多于应得份额面积的差额部分，双方均以每平方米</w:t>
      </w:r>
      <w:r>
        <w:rPr>
          <w:rFonts w:hint="eastAsia"/>
          <w:sz w:val="30"/>
          <w:szCs w:val="30"/>
        </w:rPr>
        <w:t>5000</w:t>
      </w:r>
      <w:r>
        <w:rPr>
          <w:rFonts w:hint="eastAsia"/>
          <w:sz w:val="30"/>
          <w:szCs w:val="30"/>
        </w:rPr>
        <w:t>元予以现金补偿或支付。</w:t>
      </w:r>
      <w:r>
        <w:rPr>
          <w:rFonts w:hint="eastAsia"/>
          <w:sz w:val="30"/>
          <w:szCs w:val="30"/>
        </w:rPr>
        <w:t>5</w:t>
      </w:r>
      <w:r>
        <w:rPr>
          <w:rFonts w:hint="eastAsia"/>
          <w:sz w:val="30"/>
          <w:szCs w:val="30"/>
        </w:rPr>
        <w:t>.</w:t>
      </w:r>
      <w:r>
        <w:rPr>
          <w:rFonts w:hint="eastAsia"/>
          <w:sz w:val="30"/>
          <w:szCs w:val="30"/>
        </w:rPr>
        <w:t>股东不愿受售房的，可改按所得份额面积计以每平方米</w:t>
      </w:r>
      <w:r>
        <w:rPr>
          <w:rFonts w:hint="eastAsia"/>
          <w:sz w:val="30"/>
          <w:szCs w:val="30"/>
        </w:rPr>
        <w:t>5000</w:t>
      </w:r>
      <w:r>
        <w:rPr>
          <w:rFonts w:hint="eastAsia"/>
          <w:sz w:val="30"/>
          <w:szCs w:val="30"/>
        </w:rPr>
        <w:t>元予以现金补偿……</w:t>
      </w:r>
      <w:r>
        <w:rPr>
          <w:rFonts w:hint="eastAsia"/>
          <w:sz w:val="30"/>
          <w:szCs w:val="30"/>
        </w:rPr>
        <w:t>9.</w:t>
      </w:r>
      <w:r>
        <w:rPr>
          <w:rFonts w:hint="eastAsia"/>
          <w:sz w:val="30"/>
          <w:szCs w:val="30"/>
        </w:rPr>
        <w:t>为保证受售房正常工作秩序，决议解释权和裁决权属公司董事会。上述决议作出后，针对每位股东购买的房屋，又单独形成了股东会决议，其中针对洪谦购买的房屋形成的《关于同意出售房产的股东会决议》内容为：“经二ＯＯ九年四月十八日在宁波市中山东路</w:t>
      </w:r>
      <w:r>
        <w:rPr>
          <w:rFonts w:hint="eastAsia"/>
          <w:sz w:val="30"/>
          <w:szCs w:val="30"/>
        </w:rPr>
        <w:t>357</w:t>
      </w:r>
      <w:r>
        <w:rPr>
          <w:rFonts w:hint="eastAsia"/>
          <w:sz w:val="30"/>
          <w:szCs w:val="30"/>
        </w:rPr>
        <w:t>号七楼会议室股东会决议，一致同意将坐落在宋诏桥凤凰新村</w:t>
      </w:r>
      <w:r>
        <w:rPr>
          <w:rFonts w:hint="eastAsia"/>
          <w:sz w:val="30"/>
          <w:szCs w:val="30"/>
        </w:rPr>
        <w:t>83</w:t>
      </w:r>
      <w:r>
        <w:rPr>
          <w:rFonts w:hint="eastAsia"/>
          <w:sz w:val="30"/>
          <w:szCs w:val="30"/>
        </w:rPr>
        <w:t>幢二层，建筑面积为</w:t>
      </w:r>
      <w:r>
        <w:rPr>
          <w:rFonts w:hint="eastAsia"/>
          <w:sz w:val="30"/>
          <w:szCs w:val="30"/>
        </w:rPr>
        <w:t>207</w:t>
      </w:r>
      <w:r>
        <w:rPr>
          <w:rFonts w:hint="eastAsia"/>
          <w:sz w:val="30"/>
          <w:szCs w:val="30"/>
        </w:rPr>
        <w:t>平方米，以每平方米</w:t>
      </w:r>
      <w:r>
        <w:rPr>
          <w:rFonts w:hint="eastAsia"/>
          <w:sz w:val="30"/>
          <w:szCs w:val="30"/>
        </w:rPr>
        <w:t>4000</w:t>
      </w:r>
      <w:r>
        <w:rPr>
          <w:rFonts w:hint="eastAsia"/>
          <w:sz w:val="30"/>
          <w:szCs w:val="30"/>
        </w:rPr>
        <w:t>元、合计人民币</w:t>
      </w:r>
      <w:r>
        <w:rPr>
          <w:rFonts w:hint="eastAsia"/>
          <w:sz w:val="30"/>
          <w:szCs w:val="30"/>
        </w:rPr>
        <w:t>828000</w:t>
      </w:r>
      <w:r>
        <w:rPr>
          <w:rFonts w:hint="eastAsia"/>
          <w:sz w:val="30"/>
          <w:szCs w:val="30"/>
        </w:rPr>
        <w:t>元（大写：捌拾贰万捌千元），出售给洪谦。”上述位于宁波市鄞州区</w:t>
      </w:r>
      <w:r>
        <w:rPr>
          <w:rFonts w:hint="eastAsia"/>
          <w:sz w:val="30"/>
          <w:szCs w:val="30"/>
        </w:rPr>
        <w:t>宋诏桥凤凰新村</w:t>
      </w:r>
      <w:r>
        <w:rPr>
          <w:rFonts w:hint="eastAsia"/>
          <w:sz w:val="30"/>
          <w:szCs w:val="30"/>
        </w:rPr>
        <w:t>83</w:t>
      </w:r>
      <w:r>
        <w:rPr>
          <w:rFonts w:hint="eastAsia"/>
          <w:sz w:val="30"/>
          <w:szCs w:val="30"/>
        </w:rPr>
        <w:t>幢一层、二层的房屋原产权人为鄞州医药药材公司，其中一层于</w:t>
      </w:r>
      <w:r>
        <w:rPr>
          <w:rFonts w:hint="eastAsia"/>
          <w:sz w:val="30"/>
          <w:szCs w:val="30"/>
        </w:rPr>
        <w:t>2009</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日已过户至项志秋、邓新娣、胡立君等</w:t>
      </w:r>
      <w:r>
        <w:rPr>
          <w:rFonts w:hint="eastAsia"/>
          <w:sz w:val="30"/>
          <w:szCs w:val="30"/>
        </w:rPr>
        <w:t>5</w:t>
      </w:r>
      <w:r>
        <w:rPr>
          <w:rFonts w:hint="eastAsia"/>
          <w:sz w:val="30"/>
          <w:szCs w:val="30"/>
        </w:rPr>
        <w:t>人名下按份共有，二层于同日过户至洪谦、胡立君等</w:t>
      </w:r>
      <w:r>
        <w:rPr>
          <w:rFonts w:hint="eastAsia"/>
          <w:sz w:val="30"/>
          <w:szCs w:val="30"/>
        </w:rPr>
        <w:t>7</w:t>
      </w:r>
      <w:r>
        <w:rPr>
          <w:rFonts w:hint="eastAsia"/>
          <w:sz w:val="30"/>
          <w:szCs w:val="30"/>
        </w:rPr>
        <w:t>人名下按份共有。鉴于三江购物俱乐部股份有限公司（以下简称三江公司）租用的位于宁波市鄞州区宋诏桥凤凰新村</w:t>
      </w:r>
      <w:r>
        <w:rPr>
          <w:rFonts w:hint="eastAsia"/>
          <w:sz w:val="30"/>
          <w:szCs w:val="30"/>
        </w:rPr>
        <w:t>83</w:t>
      </w:r>
      <w:r>
        <w:rPr>
          <w:rFonts w:hint="eastAsia"/>
          <w:sz w:val="30"/>
          <w:szCs w:val="30"/>
        </w:rPr>
        <w:t>幢一层、二层的房屋已转让给了洪谦、项志秋、邓新娣、胡立君等</w:t>
      </w:r>
      <w:r>
        <w:rPr>
          <w:rFonts w:hint="eastAsia"/>
          <w:sz w:val="30"/>
          <w:szCs w:val="30"/>
        </w:rPr>
        <w:t>11</w:t>
      </w:r>
      <w:r>
        <w:rPr>
          <w:rFonts w:hint="eastAsia"/>
          <w:sz w:val="30"/>
          <w:szCs w:val="30"/>
        </w:rPr>
        <w:t>位股东个人，遂由邓新娣出面与三江公司于</w:t>
      </w:r>
      <w:r>
        <w:rPr>
          <w:rFonts w:hint="eastAsia"/>
          <w:sz w:val="30"/>
          <w:szCs w:val="30"/>
        </w:rPr>
        <w:t>2009</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日重新签订了《房屋租赁合同》。因租赁期限将至，</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日，由邓新娣出面与三江公司续签了《房屋租赁合同》</w:t>
      </w:r>
      <w:r>
        <w:rPr>
          <w:rFonts w:hint="eastAsia"/>
          <w:sz w:val="30"/>
          <w:szCs w:val="30"/>
        </w:rPr>
        <w:t>。上述房屋租金一直由胡立君收取并转交，洪谦分四次已收到胡立君转交的截至</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日的租金合计</w:t>
      </w:r>
      <w:r>
        <w:rPr>
          <w:rFonts w:hint="eastAsia"/>
          <w:sz w:val="30"/>
          <w:szCs w:val="30"/>
        </w:rPr>
        <w:t>363388.50</w:t>
      </w:r>
      <w:r>
        <w:rPr>
          <w:rFonts w:hint="eastAsia"/>
          <w:sz w:val="30"/>
          <w:szCs w:val="30"/>
        </w:rPr>
        <w:t>元；</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日期间的租金</w:t>
      </w:r>
      <w:r>
        <w:rPr>
          <w:rFonts w:hint="eastAsia"/>
          <w:sz w:val="30"/>
          <w:szCs w:val="30"/>
        </w:rPr>
        <w:t>298886</w:t>
      </w:r>
      <w:r>
        <w:rPr>
          <w:rFonts w:hint="eastAsia"/>
          <w:sz w:val="30"/>
          <w:szCs w:val="30"/>
        </w:rPr>
        <w:t>元被明州投资公司扣留。</w:t>
      </w:r>
    </w:p>
    <w:p w:rsidR="00000000" w:rsidRDefault="007023DA">
      <w:pPr>
        <w:spacing w:line="500" w:lineRule="atLeast"/>
        <w:ind w:firstLine="600"/>
        <w:divId w:val="1644971037"/>
        <w:rPr>
          <w:rFonts w:hint="eastAsia"/>
          <w:sz w:val="30"/>
          <w:szCs w:val="30"/>
        </w:rPr>
      </w:pPr>
      <w:r>
        <w:rPr>
          <w:rFonts w:hint="eastAsia"/>
          <w:sz w:val="30"/>
          <w:szCs w:val="30"/>
        </w:rPr>
        <w:t>1999</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日，浙江贝因美科工贸股份有限公司（以下简称贝因美股份公司，于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日名称变更登记为贝因美婴童食品股份有限公司）注册成立，洪谦作为原始投资人于</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日投资</w:t>
      </w:r>
      <w:r>
        <w:rPr>
          <w:rFonts w:hint="eastAsia"/>
          <w:sz w:val="30"/>
          <w:szCs w:val="30"/>
        </w:rPr>
        <w:t>100000</w:t>
      </w:r>
      <w:r>
        <w:rPr>
          <w:rFonts w:hint="eastAsia"/>
          <w:sz w:val="30"/>
          <w:szCs w:val="30"/>
        </w:rPr>
        <w:t>元（实为洪谦</w:t>
      </w:r>
      <w:r>
        <w:rPr>
          <w:rFonts w:hint="eastAsia"/>
          <w:sz w:val="30"/>
          <w:szCs w:val="30"/>
        </w:rPr>
        <w:t>60000</w:t>
      </w:r>
      <w:r>
        <w:rPr>
          <w:rFonts w:hint="eastAsia"/>
          <w:sz w:val="30"/>
          <w:szCs w:val="30"/>
        </w:rPr>
        <w:t>元、虞夏萌</w:t>
      </w:r>
      <w:r>
        <w:rPr>
          <w:rFonts w:hint="eastAsia"/>
          <w:sz w:val="30"/>
          <w:szCs w:val="30"/>
        </w:rPr>
        <w:t>40000</w:t>
      </w:r>
      <w:r>
        <w:rPr>
          <w:rFonts w:hint="eastAsia"/>
          <w:sz w:val="30"/>
          <w:szCs w:val="30"/>
        </w:rPr>
        <w:t>元，合股</w:t>
      </w:r>
      <w:r>
        <w:rPr>
          <w:rFonts w:hint="eastAsia"/>
          <w:sz w:val="30"/>
          <w:szCs w:val="30"/>
        </w:rPr>
        <w:t>100000</w:t>
      </w:r>
      <w:r>
        <w:rPr>
          <w:rFonts w:hint="eastAsia"/>
          <w:sz w:val="30"/>
          <w:szCs w:val="30"/>
        </w:rPr>
        <w:t>元）。该公司的经营范围经多次变</w:t>
      </w:r>
      <w:r>
        <w:rPr>
          <w:rFonts w:hint="eastAsia"/>
          <w:sz w:val="30"/>
          <w:szCs w:val="30"/>
        </w:rPr>
        <w:t>更，主要经营范围为开发、生产、销售婴幼儿产品、儿童食品、营养食品、服装、玩具、日用百货，并提供相关资讯等服务，预包装食品、乳制品（含婴幼儿配方乳粉）的批发兼零售。</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日，贝因美股份公司经证监会审批公开上市，该笔</w:t>
      </w:r>
      <w:r>
        <w:rPr>
          <w:rFonts w:hint="eastAsia"/>
          <w:sz w:val="30"/>
          <w:szCs w:val="30"/>
        </w:rPr>
        <w:t>100000</w:t>
      </w:r>
      <w:r>
        <w:rPr>
          <w:rFonts w:hint="eastAsia"/>
          <w:sz w:val="30"/>
          <w:szCs w:val="30"/>
        </w:rPr>
        <w:t>元投资增资扩股为</w:t>
      </w:r>
      <w:r>
        <w:rPr>
          <w:rFonts w:hint="eastAsia"/>
          <w:sz w:val="30"/>
          <w:szCs w:val="30"/>
        </w:rPr>
        <w:t>235000</w:t>
      </w:r>
      <w:r>
        <w:rPr>
          <w:rFonts w:hint="eastAsia"/>
          <w:sz w:val="30"/>
          <w:szCs w:val="30"/>
        </w:rPr>
        <w:t>股。</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日，洪谦持有的上述股票解除限售，可上市流通，当日股票收盘价为</w:t>
      </w:r>
      <w:r>
        <w:rPr>
          <w:rFonts w:hint="eastAsia"/>
          <w:sz w:val="30"/>
          <w:szCs w:val="30"/>
        </w:rPr>
        <w:t>23.20</w:t>
      </w:r>
      <w:r>
        <w:rPr>
          <w:rFonts w:hint="eastAsia"/>
          <w:sz w:val="30"/>
          <w:szCs w:val="30"/>
        </w:rPr>
        <w:t>元</w:t>
      </w:r>
      <w:r>
        <w:rPr>
          <w:rFonts w:hint="eastAsia"/>
          <w:sz w:val="30"/>
          <w:szCs w:val="30"/>
        </w:rPr>
        <w:t>/</w:t>
      </w:r>
      <w:r>
        <w:rPr>
          <w:rFonts w:hint="eastAsia"/>
          <w:sz w:val="30"/>
          <w:szCs w:val="30"/>
        </w:rPr>
        <w:t>股。</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日至</w:t>
      </w:r>
      <w:r>
        <w:rPr>
          <w:rFonts w:hint="eastAsia"/>
          <w:sz w:val="30"/>
          <w:szCs w:val="30"/>
        </w:rPr>
        <w:t>18</w:t>
      </w:r>
      <w:r>
        <w:rPr>
          <w:rFonts w:hint="eastAsia"/>
          <w:sz w:val="30"/>
          <w:szCs w:val="30"/>
        </w:rPr>
        <w:t>日，洪谦将其持有的</w:t>
      </w:r>
      <w:r>
        <w:rPr>
          <w:rFonts w:hint="eastAsia"/>
          <w:sz w:val="30"/>
          <w:szCs w:val="30"/>
        </w:rPr>
        <w:t>235000</w:t>
      </w:r>
      <w:r>
        <w:rPr>
          <w:rFonts w:hint="eastAsia"/>
          <w:sz w:val="30"/>
          <w:szCs w:val="30"/>
        </w:rPr>
        <w:t>股股票出售，扣除手续费、印花税及所得税外，</w:t>
      </w:r>
      <w:r>
        <w:rPr>
          <w:rFonts w:hint="eastAsia"/>
          <w:sz w:val="30"/>
          <w:szCs w:val="30"/>
        </w:rPr>
        <w:t>235000</w:t>
      </w:r>
      <w:r>
        <w:rPr>
          <w:rFonts w:hint="eastAsia"/>
          <w:sz w:val="30"/>
          <w:szCs w:val="30"/>
        </w:rPr>
        <w:t>股股票收益总额为</w:t>
      </w:r>
      <w:r>
        <w:rPr>
          <w:rFonts w:hint="eastAsia"/>
          <w:sz w:val="30"/>
          <w:szCs w:val="30"/>
        </w:rPr>
        <w:t>3577544.39</w:t>
      </w:r>
      <w:r>
        <w:rPr>
          <w:rFonts w:hint="eastAsia"/>
          <w:sz w:val="30"/>
          <w:szCs w:val="30"/>
        </w:rPr>
        <w:t>元</w:t>
      </w:r>
      <w:r>
        <w:rPr>
          <w:rFonts w:hint="eastAsia"/>
          <w:sz w:val="30"/>
          <w:szCs w:val="30"/>
        </w:rPr>
        <w:t>，扣除其支付给</w:t>
      </w:r>
      <w:r>
        <w:rPr>
          <w:rFonts w:hint="eastAsia"/>
          <w:sz w:val="30"/>
          <w:szCs w:val="30"/>
        </w:rPr>
        <w:t>94000</w:t>
      </w:r>
      <w:r>
        <w:rPr>
          <w:rFonts w:hint="eastAsia"/>
          <w:sz w:val="30"/>
          <w:szCs w:val="30"/>
        </w:rPr>
        <w:t>股股票的实际所有人虞夏萌的</w:t>
      </w:r>
      <w:r>
        <w:rPr>
          <w:rFonts w:hint="eastAsia"/>
          <w:sz w:val="30"/>
          <w:szCs w:val="30"/>
        </w:rPr>
        <w:t>1386717.70</w:t>
      </w:r>
      <w:r>
        <w:rPr>
          <w:rFonts w:hint="eastAsia"/>
          <w:sz w:val="30"/>
          <w:szCs w:val="30"/>
        </w:rPr>
        <w:t>元（款项汇入虞夏萌配偶童佩霞账户），洪谦实际获得的投资收益为</w:t>
      </w:r>
      <w:r>
        <w:rPr>
          <w:rFonts w:hint="eastAsia"/>
          <w:sz w:val="30"/>
          <w:szCs w:val="30"/>
        </w:rPr>
        <w:t>2190826.69</w:t>
      </w:r>
      <w:r>
        <w:rPr>
          <w:rFonts w:hint="eastAsia"/>
          <w:sz w:val="30"/>
          <w:szCs w:val="30"/>
        </w:rPr>
        <w:t>元。洪谦持有的上述贝因美股份公司股份在上市流通前，洪谦已实际取得红利（已扣除税费）</w:t>
      </w:r>
      <w:r>
        <w:rPr>
          <w:rFonts w:hint="eastAsia"/>
          <w:sz w:val="30"/>
          <w:szCs w:val="30"/>
        </w:rPr>
        <w:t>55556.94</w:t>
      </w:r>
      <w:r>
        <w:rPr>
          <w:rFonts w:hint="eastAsia"/>
          <w:sz w:val="30"/>
          <w:szCs w:val="30"/>
        </w:rPr>
        <w:t>元，取得时间为</w:t>
      </w:r>
      <w:r>
        <w:rPr>
          <w:rFonts w:hint="eastAsia"/>
          <w:sz w:val="30"/>
          <w:szCs w:val="30"/>
        </w:rPr>
        <w:t>1999</w:t>
      </w:r>
      <w:r>
        <w:rPr>
          <w:rFonts w:hint="eastAsia"/>
          <w:sz w:val="30"/>
          <w:szCs w:val="30"/>
        </w:rPr>
        <w:t>年至</w:t>
      </w:r>
      <w:r>
        <w:rPr>
          <w:rFonts w:hint="eastAsia"/>
          <w:sz w:val="30"/>
          <w:szCs w:val="30"/>
        </w:rPr>
        <w:t>2006</w:t>
      </w:r>
      <w:r>
        <w:rPr>
          <w:rFonts w:hint="eastAsia"/>
          <w:sz w:val="30"/>
          <w:szCs w:val="30"/>
        </w:rPr>
        <w:t>年。</w:t>
      </w:r>
    </w:p>
    <w:p w:rsidR="00000000" w:rsidRDefault="007023DA">
      <w:pPr>
        <w:spacing w:line="500" w:lineRule="atLeast"/>
        <w:ind w:firstLine="600"/>
        <w:divId w:val="371929847"/>
        <w:rPr>
          <w:rFonts w:hint="eastAsia"/>
          <w:sz w:val="30"/>
          <w:szCs w:val="30"/>
        </w:rPr>
      </w:pP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日，洪谦受让贝因美集团公司原始股股权</w:t>
      </w:r>
      <w:r>
        <w:rPr>
          <w:rFonts w:hint="eastAsia"/>
          <w:sz w:val="30"/>
          <w:szCs w:val="30"/>
        </w:rPr>
        <w:t>734000</w:t>
      </w:r>
      <w:r>
        <w:rPr>
          <w:rFonts w:hint="eastAsia"/>
          <w:sz w:val="30"/>
          <w:szCs w:val="30"/>
        </w:rPr>
        <w:t>股。该公司的经营范围经多次变更，主要经营范围为许可经营项目：货运；一般经营项目：高科技开发及咨询，实业投资，投资咨询；批发零售服装、玩具、日用百货、机械设备、</w:t>
      </w:r>
      <w:r>
        <w:rPr>
          <w:rFonts w:hint="eastAsia"/>
          <w:sz w:val="30"/>
          <w:szCs w:val="30"/>
        </w:rPr>
        <w:t>办公用品、农产品（除食品）；计算机软件开发及应用服务；物业管理；日用品出租；货物进出口；含下属分支机构经营范围；其他无需报经审批的一切合法项目。</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日，洪谦将其对贝因美集团公司持有的上述</w:t>
      </w:r>
      <w:r>
        <w:rPr>
          <w:rFonts w:hint="eastAsia"/>
          <w:sz w:val="30"/>
          <w:szCs w:val="30"/>
        </w:rPr>
        <w:t>734000</w:t>
      </w:r>
      <w:r>
        <w:rPr>
          <w:rFonts w:hint="eastAsia"/>
          <w:sz w:val="30"/>
          <w:szCs w:val="30"/>
        </w:rPr>
        <w:t>股股权以</w:t>
      </w:r>
      <w:r>
        <w:rPr>
          <w:rFonts w:hint="eastAsia"/>
          <w:sz w:val="30"/>
          <w:szCs w:val="30"/>
        </w:rPr>
        <w:t>1468000</w:t>
      </w:r>
      <w:r>
        <w:rPr>
          <w:rFonts w:hint="eastAsia"/>
          <w:sz w:val="30"/>
          <w:szCs w:val="30"/>
        </w:rPr>
        <w:t>元的价格转让给了案外人梁佳。</w:t>
      </w:r>
    </w:p>
    <w:p w:rsidR="00000000" w:rsidRDefault="007023DA">
      <w:pPr>
        <w:spacing w:line="500" w:lineRule="atLeast"/>
        <w:ind w:firstLine="600"/>
        <w:divId w:val="1470854377"/>
        <w:rPr>
          <w:rFonts w:hint="eastAsia"/>
          <w:sz w:val="30"/>
          <w:szCs w:val="30"/>
        </w:rPr>
      </w:pPr>
      <w:r>
        <w:rPr>
          <w:rFonts w:hint="eastAsia"/>
          <w:sz w:val="30"/>
          <w:szCs w:val="30"/>
        </w:rPr>
        <w:t>在经营过程中，明州投资公司及大榭保健公司与贝因美股份公司有业务往来，主要为明州投资公司及大榭保健公司经销贝因美股份公司生产的贝因美奶粉等产品。</w:t>
      </w:r>
    </w:p>
    <w:p w:rsidR="00000000" w:rsidRDefault="007023DA">
      <w:pPr>
        <w:spacing w:line="500" w:lineRule="atLeast"/>
        <w:ind w:firstLine="600"/>
        <w:divId w:val="1077093806"/>
        <w:rPr>
          <w:rFonts w:hint="eastAsia"/>
          <w:sz w:val="30"/>
          <w:szCs w:val="30"/>
        </w:rPr>
      </w:pP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日，明州投资公司曾召开股东会会议并作出决议：经举报核实，洪谦同志在担任保健公司高管期间，</w:t>
      </w:r>
      <w:r>
        <w:rPr>
          <w:rFonts w:hint="eastAsia"/>
          <w:sz w:val="30"/>
          <w:szCs w:val="30"/>
        </w:rPr>
        <w:t>于</w:t>
      </w:r>
      <w:r>
        <w:rPr>
          <w:rFonts w:hint="eastAsia"/>
          <w:sz w:val="30"/>
          <w:szCs w:val="30"/>
        </w:rPr>
        <w:t>1999</w:t>
      </w:r>
      <w:r>
        <w:rPr>
          <w:rFonts w:hint="eastAsia"/>
          <w:sz w:val="30"/>
          <w:szCs w:val="30"/>
        </w:rPr>
        <w:t>年</w:t>
      </w:r>
      <w:r>
        <w:rPr>
          <w:rFonts w:hint="eastAsia"/>
          <w:sz w:val="30"/>
          <w:szCs w:val="30"/>
        </w:rPr>
        <w:t>4</w:t>
      </w:r>
      <w:r>
        <w:rPr>
          <w:rFonts w:hint="eastAsia"/>
          <w:sz w:val="30"/>
          <w:szCs w:val="30"/>
        </w:rPr>
        <w:t>月购买贝因美股份公司个人原始发起股</w:t>
      </w:r>
      <w:r>
        <w:rPr>
          <w:rFonts w:hint="eastAsia"/>
          <w:sz w:val="30"/>
          <w:szCs w:val="30"/>
        </w:rPr>
        <w:t>100000</w:t>
      </w:r>
      <w:r>
        <w:rPr>
          <w:rFonts w:hint="eastAsia"/>
          <w:sz w:val="30"/>
          <w:szCs w:val="30"/>
        </w:rPr>
        <w:t>元（股），</w:t>
      </w:r>
      <w:r>
        <w:rPr>
          <w:rFonts w:hint="eastAsia"/>
          <w:sz w:val="30"/>
          <w:szCs w:val="30"/>
        </w:rPr>
        <w:t>2011</w:t>
      </w:r>
      <w:r>
        <w:rPr>
          <w:rFonts w:hint="eastAsia"/>
          <w:sz w:val="30"/>
          <w:szCs w:val="30"/>
        </w:rPr>
        <w:t>年增股为</w:t>
      </w:r>
      <w:r>
        <w:rPr>
          <w:rFonts w:hint="eastAsia"/>
          <w:sz w:val="30"/>
          <w:szCs w:val="30"/>
        </w:rPr>
        <w:t>235000</w:t>
      </w:r>
      <w:r>
        <w:rPr>
          <w:rFonts w:hint="eastAsia"/>
          <w:sz w:val="30"/>
          <w:szCs w:val="30"/>
        </w:rPr>
        <w:t>股，发行上市时每股市值</w:t>
      </w:r>
      <w:r>
        <w:rPr>
          <w:rFonts w:hint="eastAsia"/>
          <w:sz w:val="30"/>
          <w:szCs w:val="30"/>
        </w:rPr>
        <w:t>42</w:t>
      </w:r>
      <w:r>
        <w:rPr>
          <w:rFonts w:hint="eastAsia"/>
          <w:sz w:val="30"/>
          <w:szCs w:val="30"/>
        </w:rPr>
        <w:t>元；于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月受让取得贝因美集团公司发起股</w:t>
      </w:r>
      <w:r>
        <w:rPr>
          <w:rFonts w:hint="eastAsia"/>
          <w:sz w:val="30"/>
          <w:szCs w:val="30"/>
        </w:rPr>
        <w:t>734000</w:t>
      </w:r>
      <w:r>
        <w:rPr>
          <w:rFonts w:hint="eastAsia"/>
          <w:sz w:val="30"/>
          <w:szCs w:val="30"/>
        </w:rPr>
        <w:t>股，违反公司法（</w:t>
      </w:r>
      <w:r>
        <w:rPr>
          <w:rFonts w:hint="eastAsia"/>
          <w:sz w:val="30"/>
          <w:szCs w:val="30"/>
        </w:rPr>
        <w:t>2005</w:t>
      </w:r>
      <w:r>
        <w:rPr>
          <w:rFonts w:hint="eastAsia"/>
          <w:sz w:val="30"/>
          <w:szCs w:val="30"/>
        </w:rPr>
        <w:t>年修订）第一百四十八条、第一百四十九条、第一百五十条和公司章程有关规定。具体处理决议：（</w:t>
      </w:r>
      <w:r>
        <w:rPr>
          <w:rFonts w:hint="eastAsia"/>
          <w:sz w:val="30"/>
          <w:szCs w:val="30"/>
        </w:rPr>
        <w:t>1</w:t>
      </w:r>
      <w:r>
        <w:rPr>
          <w:rFonts w:hint="eastAsia"/>
          <w:sz w:val="30"/>
          <w:szCs w:val="30"/>
        </w:rPr>
        <w:t>）以上述事实为依据，按照公司法（</w:t>
      </w:r>
      <w:r>
        <w:rPr>
          <w:rFonts w:hint="eastAsia"/>
          <w:sz w:val="30"/>
          <w:szCs w:val="30"/>
        </w:rPr>
        <w:t>2005</w:t>
      </w:r>
      <w:r>
        <w:rPr>
          <w:rFonts w:hint="eastAsia"/>
          <w:sz w:val="30"/>
          <w:szCs w:val="30"/>
        </w:rPr>
        <w:t>年修订）第一百四十八条、第一百四十九条、第一百五十条规定，上述收入归公司所有（具体通过法律途径解决）：（</w:t>
      </w:r>
      <w:r>
        <w:rPr>
          <w:rFonts w:hint="eastAsia"/>
          <w:sz w:val="30"/>
          <w:szCs w:val="30"/>
        </w:rPr>
        <w:t>2</w:t>
      </w:r>
      <w:r>
        <w:rPr>
          <w:rFonts w:hint="eastAsia"/>
          <w:sz w:val="30"/>
          <w:szCs w:val="30"/>
        </w:rPr>
        <w:t>）以上述事实为依据，按照公司章程有关条款承担章程规定的责任进行处理。</w:t>
      </w:r>
      <w:r>
        <w:rPr>
          <w:rFonts w:hint="eastAsia"/>
          <w:sz w:val="30"/>
          <w:szCs w:val="30"/>
        </w:rPr>
        <w:t>决议作出后，除洪谦有异议外，其余股东在决议中签字认可。</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日，洪谦向宁波市北仑区人民法院提起诉讼，要求撤销该份股东会决议。该院经审理依法撤销了该股东会决议。</w:t>
      </w:r>
    </w:p>
    <w:p w:rsidR="00000000" w:rsidRDefault="007023DA">
      <w:pPr>
        <w:spacing w:line="500" w:lineRule="atLeast"/>
        <w:ind w:firstLine="600"/>
        <w:divId w:val="83456072"/>
        <w:rPr>
          <w:rFonts w:hint="eastAsia"/>
          <w:sz w:val="30"/>
          <w:szCs w:val="30"/>
        </w:rPr>
      </w:pP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日，明州投资公司召开临时股东会会议，该公司全部股东与会。会议经股东讨论表决作出决议：一、经举报核实，洪谦同志在担任公司即投资设立关联公司董事兼经理、高管期间，于</w:t>
      </w:r>
      <w:r>
        <w:rPr>
          <w:rFonts w:hint="eastAsia"/>
          <w:sz w:val="30"/>
          <w:szCs w:val="30"/>
        </w:rPr>
        <w:t>1999</w:t>
      </w:r>
      <w:r>
        <w:rPr>
          <w:rFonts w:hint="eastAsia"/>
          <w:sz w:val="30"/>
          <w:szCs w:val="30"/>
        </w:rPr>
        <w:t>年</w:t>
      </w:r>
      <w:r>
        <w:rPr>
          <w:rFonts w:hint="eastAsia"/>
          <w:sz w:val="30"/>
          <w:szCs w:val="30"/>
        </w:rPr>
        <w:t>4</w:t>
      </w:r>
      <w:r>
        <w:rPr>
          <w:rFonts w:hint="eastAsia"/>
          <w:sz w:val="30"/>
          <w:szCs w:val="30"/>
        </w:rPr>
        <w:t>月作为原始投资人在贝因美股份公司投资</w:t>
      </w:r>
      <w:r>
        <w:rPr>
          <w:rFonts w:hint="eastAsia"/>
          <w:sz w:val="30"/>
          <w:szCs w:val="30"/>
        </w:rPr>
        <w:t>100000</w:t>
      </w:r>
      <w:r>
        <w:rPr>
          <w:rFonts w:hint="eastAsia"/>
          <w:sz w:val="30"/>
          <w:szCs w:val="30"/>
        </w:rPr>
        <w:t>股（其中洪谦实为</w:t>
      </w:r>
      <w:r>
        <w:rPr>
          <w:rFonts w:hint="eastAsia"/>
          <w:sz w:val="30"/>
          <w:szCs w:val="30"/>
        </w:rPr>
        <w:t>60000</w:t>
      </w:r>
      <w:r>
        <w:rPr>
          <w:rFonts w:hint="eastAsia"/>
          <w:sz w:val="30"/>
          <w:szCs w:val="30"/>
        </w:rPr>
        <w:t>股），</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日增资扩股为</w:t>
      </w:r>
      <w:r>
        <w:rPr>
          <w:rFonts w:hint="eastAsia"/>
          <w:sz w:val="30"/>
          <w:szCs w:val="30"/>
        </w:rPr>
        <w:t>235000</w:t>
      </w:r>
      <w:r>
        <w:rPr>
          <w:rFonts w:hint="eastAsia"/>
          <w:sz w:val="30"/>
          <w:szCs w:val="30"/>
        </w:rPr>
        <w:t>股，</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日，洪谦又受让取得贝因美集团公司原始股权</w:t>
      </w:r>
      <w:r>
        <w:rPr>
          <w:rFonts w:hint="eastAsia"/>
          <w:sz w:val="30"/>
          <w:szCs w:val="30"/>
        </w:rPr>
        <w:t>734000</w:t>
      </w:r>
      <w:r>
        <w:rPr>
          <w:rFonts w:hint="eastAsia"/>
          <w:sz w:val="30"/>
          <w:szCs w:val="30"/>
        </w:rPr>
        <w:t>元（股）。未经股东会同意，利用职务便利自营或为他人经营与本公司同类业务，违反公司法等相关法律规定；二、股东表决，依据上述事实</w:t>
      </w:r>
      <w:r>
        <w:rPr>
          <w:rFonts w:hint="eastAsia"/>
          <w:sz w:val="30"/>
          <w:szCs w:val="30"/>
        </w:rPr>
        <w:t>，根据法律的规定，上述所得的收入应当归公司所有。除洪谦外，其余股东均表决同意，占注册股东所持表决权的</w:t>
      </w:r>
      <w:r>
        <w:rPr>
          <w:rFonts w:hint="eastAsia"/>
          <w:sz w:val="30"/>
          <w:szCs w:val="30"/>
        </w:rPr>
        <w:t>96%</w:t>
      </w:r>
      <w:r>
        <w:rPr>
          <w:rFonts w:hint="eastAsia"/>
          <w:sz w:val="30"/>
          <w:szCs w:val="30"/>
        </w:rPr>
        <w:t>。</w:t>
      </w:r>
    </w:p>
    <w:p w:rsidR="00000000" w:rsidRDefault="007023DA">
      <w:pPr>
        <w:spacing w:line="500" w:lineRule="atLeast"/>
        <w:ind w:firstLine="600"/>
        <w:divId w:val="633565874"/>
        <w:rPr>
          <w:rFonts w:hint="eastAsia"/>
          <w:sz w:val="30"/>
          <w:szCs w:val="30"/>
        </w:rPr>
      </w:pPr>
      <w:r>
        <w:rPr>
          <w:rFonts w:hint="eastAsia"/>
          <w:sz w:val="30"/>
          <w:szCs w:val="30"/>
        </w:rPr>
        <w:t>浙江省宁波市中级人民法院对上诉人明州投资公司与被上诉人洪谦公司决议确认无效纠纷一案于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日作出了（</w:t>
      </w:r>
      <w:r>
        <w:rPr>
          <w:rFonts w:hint="eastAsia"/>
          <w:sz w:val="30"/>
          <w:szCs w:val="30"/>
        </w:rPr>
        <w:t>2013</w:t>
      </w:r>
      <w:r>
        <w:rPr>
          <w:rFonts w:hint="eastAsia"/>
          <w:sz w:val="30"/>
          <w:szCs w:val="30"/>
        </w:rPr>
        <w:t>）浙甬商终字第</w:t>
      </w:r>
      <w:r>
        <w:rPr>
          <w:rFonts w:hint="eastAsia"/>
          <w:sz w:val="30"/>
          <w:szCs w:val="30"/>
        </w:rPr>
        <w:t>896</w:t>
      </w:r>
      <w:r>
        <w:rPr>
          <w:rFonts w:hint="eastAsia"/>
          <w:sz w:val="30"/>
          <w:szCs w:val="30"/>
        </w:rPr>
        <w:t>号民事判决，该院针对洪谦入股贝因美股份公司、贝因美集团公司的行为是否违反忠实义务的问题认为：首先，洪谦于</w:t>
      </w:r>
      <w:r>
        <w:rPr>
          <w:rFonts w:hint="eastAsia"/>
          <w:sz w:val="30"/>
          <w:szCs w:val="30"/>
        </w:rPr>
        <w:t>1999</w:t>
      </w:r>
      <w:r>
        <w:rPr>
          <w:rFonts w:hint="eastAsia"/>
          <w:sz w:val="30"/>
          <w:szCs w:val="30"/>
        </w:rPr>
        <w:t>年</w:t>
      </w:r>
      <w:r>
        <w:rPr>
          <w:rFonts w:hint="eastAsia"/>
          <w:sz w:val="30"/>
          <w:szCs w:val="30"/>
        </w:rPr>
        <w:t>4</w:t>
      </w:r>
      <w:r>
        <w:rPr>
          <w:rFonts w:hint="eastAsia"/>
          <w:sz w:val="30"/>
          <w:szCs w:val="30"/>
        </w:rPr>
        <w:t>月入股贝因美股份公司时，贝因美股份公司的经营范围为：开发、生产、销售婴幼儿产品、儿童食品、营养食品、服装、玩具、日用百货，并提供相关资讯等服务，预包</w:t>
      </w:r>
      <w:r>
        <w:rPr>
          <w:rFonts w:hint="eastAsia"/>
          <w:sz w:val="30"/>
          <w:szCs w:val="30"/>
        </w:rPr>
        <w:t>装食品、乳制品（含婴幼儿配方乳粉）的批发兼零售。保健公司的经营范围为：其他食品（除烟）、保健食品、食油、百货、日用杂货、五金交电、金属材料及煤炭的销售。贝因美股份公司系生产婴幼儿食品的公司，而保健公司经营销售婴幼儿食品业务。两公司之间存在婴幼儿食品的交易关系。洪谦持有贝因美股份公司的股份后，与贝因美股份公司存在利害关系，而未经股东会、股东大会同意的情况下，洪谦担任董事的明州投资公司和与洪谦有利害关系的贝因美股份公司进行交易时，存在自身利益与公司利益相冲突的可能性，亦存在当自身利益与公司利益相冲突时，洪谦利用</w:t>
      </w:r>
      <w:r>
        <w:rPr>
          <w:rFonts w:hint="eastAsia"/>
          <w:sz w:val="30"/>
          <w:szCs w:val="30"/>
        </w:rPr>
        <w:t>董事地位牺牲公司利益为自己或者第三人谋取利益的可能性。故洪谦购买贝因美股份公司原始股的行为已经违反对公司的忠实义务；其次，洪谦于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受让贝因美集团公司股权时，虽非明州投资公司高管，仅是明州投资公司股东，但其是明州投资公司控股的大榭保健公司法定代表人兼总经理，大榭保健公司的经营范围为许可经营项目：定型包装食品、保健品批发、零售（有效期至</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日）；一般经营项目：百货、日用品、文化用品、五金交电的批发、零售。贝因美集团公司的经营范围为许可经营项目：货运；一般经营项目：高科技开发及咨询</w:t>
      </w:r>
      <w:r>
        <w:rPr>
          <w:rFonts w:hint="eastAsia"/>
          <w:sz w:val="30"/>
          <w:szCs w:val="30"/>
        </w:rPr>
        <w:t>，实业投资，投资咨询；批发零售服装、玩具、日用百货、机械设备、办公用品、农产品（除食品）；计算机软件开发及应用服务；物业管理；日用品出租；货物进出口；含下属分支机构经营范围；其他无需报经审批的一切合法项目。从上述经营范围可看出，大榭保健公司与贝因美集团公司存在同类经营项目，而根据</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的明州投资公司股东会决议所修改的公司章程规定，在投资设立控股公司任职期间不得从事为自己或他人谋取属于公司或投资设立控股公司的商业行为，不得自营或为他人从事公司或投资设立控股公司经营范围内业务。洪谦入股贝因美集团公</w:t>
      </w:r>
      <w:r>
        <w:rPr>
          <w:rFonts w:hint="eastAsia"/>
          <w:sz w:val="30"/>
          <w:szCs w:val="30"/>
        </w:rPr>
        <w:t>司的行为已经违反明州投资公司章程规定义务，应认定为违反公司忠实义务的行为。故明州投资公司以洪谦的上述行为违反公司法规定为由，将洪谦的上述相应收入归入明州投资公司未违反法律的禁止性规定。洪谦称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日的股东会决议违反法律规定，应认定为无效证据不足，理由不充分，难以支持。</w:t>
      </w:r>
    </w:p>
    <w:p w:rsidR="00000000" w:rsidRDefault="007023DA">
      <w:pPr>
        <w:spacing w:line="500" w:lineRule="atLeast"/>
        <w:ind w:firstLine="600"/>
        <w:divId w:val="936327837"/>
        <w:rPr>
          <w:rFonts w:hint="eastAsia"/>
          <w:sz w:val="30"/>
          <w:szCs w:val="30"/>
        </w:rPr>
      </w:pPr>
      <w:r>
        <w:rPr>
          <w:rFonts w:hint="eastAsia"/>
          <w:sz w:val="30"/>
          <w:szCs w:val="30"/>
        </w:rPr>
        <w:t>浙江省高级人民法院对申请再审人洪谦与被申请人明州投资公司公司决议确认无效纠纷一案于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日作出了（</w:t>
      </w:r>
      <w:r>
        <w:rPr>
          <w:rFonts w:hint="eastAsia"/>
          <w:sz w:val="30"/>
          <w:szCs w:val="30"/>
        </w:rPr>
        <w:t>2014</w:t>
      </w:r>
      <w:r>
        <w:rPr>
          <w:rFonts w:hint="eastAsia"/>
          <w:sz w:val="30"/>
          <w:szCs w:val="30"/>
        </w:rPr>
        <w:t>）浙商提字第</w:t>
      </w:r>
      <w:r>
        <w:rPr>
          <w:rFonts w:hint="eastAsia"/>
          <w:sz w:val="30"/>
          <w:szCs w:val="30"/>
        </w:rPr>
        <w:t>86</w:t>
      </w:r>
      <w:r>
        <w:rPr>
          <w:rFonts w:hint="eastAsia"/>
          <w:sz w:val="30"/>
          <w:szCs w:val="30"/>
        </w:rPr>
        <w:t>号民事判决，该院经再审认为：由于明州投资公司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日公司股东会作出的</w:t>
      </w:r>
      <w:r>
        <w:rPr>
          <w:rFonts w:hint="eastAsia"/>
          <w:sz w:val="30"/>
          <w:szCs w:val="30"/>
        </w:rPr>
        <w:t>决议内容，涉及我国公司法规定的公司归入权制度。而公司归入权是法律赋予公司的特别救济权，公司法（</w:t>
      </w:r>
      <w:r>
        <w:rPr>
          <w:rFonts w:hint="eastAsia"/>
          <w:sz w:val="30"/>
          <w:szCs w:val="30"/>
        </w:rPr>
        <w:t>2013</w:t>
      </w:r>
      <w:r>
        <w:rPr>
          <w:rFonts w:hint="eastAsia"/>
          <w:sz w:val="30"/>
          <w:szCs w:val="30"/>
        </w:rPr>
        <w:t>年修正）第一百四十八条规定的竞业禁止归入权就属于此。就本案洪谦的主张看，无需就股东会决议内容是否符合归入权的构成要件等进行实质审查，只有公司在提起归入权诉讼时，由受理案件的人民法院对决议内容进行实质性审查，故仅对该股东会决议作形式审查。经审查，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日作出的股东会决议，依照公司法（</w:t>
      </w:r>
      <w:r>
        <w:rPr>
          <w:rFonts w:hint="eastAsia"/>
          <w:sz w:val="30"/>
          <w:szCs w:val="30"/>
        </w:rPr>
        <w:t>2013</w:t>
      </w:r>
      <w:r>
        <w:rPr>
          <w:rFonts w:hint="eastAsia"/>
          <w:sz w:val="30"/>
          <w:szCs w:val="30"/>
        </w:rPr>
        <w:t>年修正）第二十二条的规定，股东会会议召集程序、表决方式未违反法律、行政法规或者公司章程的规定，</w:t>
      </w:r>
      <w:r>
        <w:rPr>
          <w:rFonts w:hint="eastAsia"/>
          <w:sz w:val="30"/>
          <w:szCs w:val="30"/>
        </w:rPr>
        <w:t>决议的内容也属于公司法第一百四十八条（</w:t>
      </w:r>
      <w:r>
        <w:rPr>
          <w:rFonts w:hint="eastAsia"/>
          <w:sz w:val="30"/>
          <w:szCs w:val="30"/>
        </w:rPr>
        <w:t>2013</w:t>
      </w:r>
      <w:r>
        <w:rPr>
          <w:rFonts w:hint="eastAsia"/>
          <w:sz w:val="30"/>
          <w:szCs w:val="30"/>
        </w:rPr>
        <w:t>年修正）规定的公司归入权制度，故洪谦申请再审的理由不能成立。二审判决驳回洪谦的诉讼请求正确。</w:t>
      </w:r>
    </w:p>
    <w:p w:rsidR="00000000" w:rsidRDefault="007023DA">
      <w:pPr>
        <w:spacing w:line="500" w:lineRule="atLeast"/>
        <w:ind w:firstLine="600"/>
        <w:divId w:val="728846054"/>
        <w:rPr>
          <w:rFonts w:hint="eastAsia"/>
          <w:sz w:val="30"/>
          <w:szCs w:val="30"/>
        </w:rPr>
      </w:pP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日，明州投资公司召开股东会会议，该公司全部股东与会。会议经股东讨论表决作出《宁波明州投资有限公司股东会决议（三）》，决议主要内容为：明州投资公司股东洪谦在</w:t>
      </w:r>
      <w:r>
        <w:rPr>
          <w:rFonts w:hint="eastAsia"/>
          <w:sz w:val="30"/>
          <w:szCs w:val="30"/>
        </w:rPr>
        <w:t>1994</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2002</w:t>
      </w:r>
      <w:r>
        <w:rPr>
          <w:rFonts w:hint="eastAsia"/>
          <w:sz w:val="30"/>
          <w:szCs w:val="30"/>
        </w:rPr>
        <w:t>年</w:t>
      </w:r>
      <w:r>
        <w:rPr>
          <w:rFonts w:hint="eastAsia"/>
          <w:sz w:val="30"/>
          <w:szCs w:val="30"/>
        </w:rPr>
        <w:t>4</w:t>
      </w:r>
      <w:r>
        <w:rPr>
          <w:rFonts w:hint="eastAsia"/>
          <w:sz w:val="30"/>
          <w:szCs w:val="30"/>
        </w:rPr>
        <w:t>月任职明州投资公司董事和经理期间，与贝因美股份公司经营同类业务，成为了该公司发起人股东，无对价取得该公司</w:t>
      </w:r>
      <w:r>
        <w:rPr>
          <w:rFonts w:hint="eastAsia"/>
          <w:sz w:val="30"/>
          <w:szCs w:val="30"/>
        </w:rPr>
        <w:t>100000</w:t>
      </w:r>
      <w:r>
        <w:rPr>
          <w:rFonts w:hint="eastAsia"/>
          <w:sz w:val="30"/>
          <w:szCs w:val="30"/>
        </w:rPr>
        <w:t>股发起人股份，并于</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月获得红利股份</w:t>
      </w:r>
      <w:r>
        <w:rPr>
          <w:rFonts w:hint="eastAsia"/>
          <w:sz w:val="30"/>
          <w:szCs w:val="30"/>
        </w:rPr>
        <w:t>1350</w:t>
      </w:r>
      <w:r>
        <w:rPr>
          <w:rFonts w:hint="eastAsia"/>
          <w:sz w:val="30"/>
          <w:szCs w:val="30"/>
        </w:rPr>
        <w:t>00</w:t>
      </w:r>
      <w:r>
        <w:rPr>
          <w:rFonts w:hint="eastAsia"/>
          <w:sz w:val="30"/>
          <w:szCs w:val="30"/>
        </w:rPr>
        <w:t>股。</w:t>
      </w:r>
      <w:r>
        <w:rPr>
          <w:rFonts w:hint="eastAsia"/>
          <w:sz w:val="30"/>
          <w:szCs w:val="30"/>
        </w:rPr>
        <w:t>2007</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2012</w:t>
      </w:r>
      <w:r>
        <w:rPr>
          <w:rFonts w:hint="eastAsia"/>
          <w:sz w:val="30"/>
          <w:szCs w:val="30"/>
        </w:rPr>
        <w:t>年</w:t>
      </w:r>
      <w:r>
        <w:rPr>
          <w:rFonts w:hint="eastAsia"/>
          <w:sz w:val="30"/>
          <w:szCs w:val="30"/>
        </w:rPr>
        <w:t>2</w:t>
      </w:r>
      <w:r>
        <w:rPr>
          <w:rFonts w:hint="eastAsia"/>
          <w:sz w:val="30"/>
          <w:szCs w:val="30"/>
        </w:rPr>
        <w:t>月，洪谦任职明州投资公司控股的大榭保健公司总经理兼法定代表人期间，与贝因美集团公司经营同类业务，无对价取得该公司</w:t>
      </w:r>
      <w:r>
        <w:rPr>
          <w:rFonts w:hint="eastAsia"/>
          <w:sz w:val="30"/>
          <w:szCs w:val="30"/>
        </w:rPr>
        <w:t>734000</w:t>
      </w:r>
      <w:r>
        <w:rPr>
          <w:rFonts w:hint="eastAsia"/>
          <w:sz w:val="30"/>
          <w:szCs w:val="30"/>
        </w:rPr>
        <w:t>元（股）原始股权。</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日，明州投资公司召开股东会会议作出决议，认定洪谦的上述行为违反公司法（</w:t>
      </w:r>
      <w:r>
        <w:rPr>
          <w:rFonts w:hint="eastAsia"/>
          <w:sz w:val="30"/>
          <w:szCs w:val="30"/>
        </w:rPr>
        <w:t>2005</w:t>
      </w:r>
      <w:r>
        <w:rPr>
          <w:rFonts w:hint="eastAsia"/>
          <w:sz w:val="30"/>
          <w:szCs w:val="30"/>
        </w:rPr>
        <w:t>年修订）第一百四十八条、第一百四十九条的规定，决议将洪谦的违法所得收归公司所有。对于洪谦违反公司法（</w:t>
      </w:r>
      <w:r>
        <w:rPr>
          <w:rFonts w:hint="eastAsia"/>
          <w:sz w:val="30"/>
          <w:szCs w:val="30"/>
        </w:rPr>
        <w:t>2005</w:t>
      </w:r>
      <w:r>
        <w:rPr>
          <w:rFonts w:hint="eastAsia"/>
          <w:sz w:val="30"/>
          <w:szCs w:val="30"/>
        </w:rPr>
        <w:t>年修订）第一百四十八条、第一百四十九条的规定，违反对公司忠实义务的事实以及股东会决议的有效性，浙江省宁波市中级人民法院（</w:t>
      </w:r>
      <w:r>
        <w:rPr>
          <w:rFonts w:hint="eastAsia"/>
          <w:sz w:val="30"/>
          <w:szCs w:val="30"/>
        </w:rPr>
        <w:t>2013</w:t>
      </w:r>
      <w:r>
        <w:rPr>
          <w:rFonts w:hint="eastAsia"/>
          <w:sz w:val="30"/>
          <w:szCs w:val="30"/>
        </w:rPr>
        <w:t>）浙甬商终字第</w:t>
      </w:r>
      <w:r>
        <w:rPr>
          <w:rFonts w:hint="eastAsia"/>
          <w:sz w:val="30"/>
          <w:szCs w:val="30"/>
        </w:rPr>
        <w:t>896</w:t>
      </w:r>
      <w:r>
        <w:rPr>
          <w:rFonts w:hint="eastAsia"/>
          <w:sz w:val="30"/>
          <w:szCs w:val="30"/>
        </w:rPr>
        <w:t>号民事判决和浙江省高级人民法院（</w:t>
      </w:r>
      <w:r>
        <w:rPr>
          <w:rFonts w:hint="eastAsia"/>
          <w:sz w:val="30"/>
          <w:szCs w:val="30"/>
        </w:rPr>
        <w:t>2014</w:t>
      </w:r>
      <w:r>
        <w:rPr>
          <w:rFonts w:hint="eastAsia"/>
          <w:sz w:val="30"/>
          <w:szCs w:val="30"/>
        </w:rPr>
        <w:t>）浙商提字第</w:t>
      </w:r>
      <w:r>
        <w:rPr>
          <w:rFonts w:hint="eastAsia"/>
          <w:sz w:val="30"/>
          <w:szCs w:val="30"/>
        </w:rPr>
        <w:t>86</w:t>
      </w:r>
      <w:r>
        <w:rPr>
          <w:rFonts w:hint="eastAsia"/>
          <w:sz w:val="30"/>
          <w:szCs w:val="30"/>
        </w:rPr>
        <w:t>号民事判决已经确认。根据公司章程和有关法律规定及</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日股东会决议《实施细则》规定，决议如下：一、洪谦应立即退回位于宁波市鄞州区宋诏桥凤凰新村</w:t>
      </w:r>
      <w:r>
        <w:rPr>
          <w:rFonts w:hint="eastAsia"/>
          <w:sz w:val="30"/>
          <w:szCs w:val="30"/>
        </w:rPr>
        <w:t>83</w:t>
      </w:r>
      <w:r>
        <w:rPr>
          <w:rFonts w:hint="eastAsia"/>
          <w:sz w:val="30"/>
          <w:szCs w:val="30"/>
        </w:rPr>
        <w:t>幢二层、建筑面积为</w:t>
      </w:r>
      <w:r>
        <w:rPr>
          <w:rFonts w:hint="eastAsia"/>
          <w:sz w:val="30"/>
          <w:szCs w:val="30"/>
        </w:rPr>
        <w:t>207</w:t>
      </w:r>
      <w:r>
        <w:rPr>
          <w:rFonts w:hint="eastAsia"/>
          <w:sz w:val="30"/>
          <w:szCs w:val="30"/>
        </w:rPr>
        <w:t>平方米的房屋，并协同明州投资公司办理房屋过户手续，同时公司退还原出资金额；二、洪谦已享受的租金收益归明州投资公司，并立即交付公司。该决议只有洪谦一人投反对票。</w:t>
      </w:r>
    </w:p>
    <w:p w:rsidR="00000000" w:rsidRDefault="007023DA">
      <w:pPr>
        <w:spacing w:line="500" w:lineRule="atLeast"/>
        <w:ind w:firstLine="600"/>
        <w:divId w:val="1861119796"/>
        <w:rPr>
          <w:rFonts w:hint="eastAsia"/>
          <w:sz w:val="30"/>
          <w:szCs w:val="30"/>
        </w:rPr>
      </w:pPr>
      <w:r>
        <w:rPr>
          <w:rFonts w:hint="eastAsia"/>
          <w:sz w:val="30"/>
          <w:szCs w:val="30"/>
        </w:rPr>
        <w:t>明州投资公司章程第十三条第五项规定：“股东认缴出资只能依法转让，不得退资，但认缴出资的个人如遇</w:t>
      </w:r>
      <w:r>
        <w:rPr>
          <w:rFonts w:hint="eastAsia"/>
          <w:sz w:val="30"/>
          <w:szCs w:val="30"/>
        </w:rPr>
        <w:t>在公司或投资设立控股公司离职、辞职、辞退和除名等情况（不包括退休），应无条件转让其出资给宁波明州大药房有限公司，转让的出资以初始认缴出资额为限。”第十三条第七项规定：“股东有责任保护公司的合法权益，不得擅自披露公司秘密，不得从事危害公司或投资设立控股公司利益的活动，即在公司或在投资设立控股公司任职或退休、离职、辞职、辞退除名后的五年内不得从事为自己或他人谋取属于公司或投资设立控股公司的商业行为，不得自营或为他人从事公司或投资设立控股公司经营范围内业务。否则，因损害公司和股东利益必须承担初始认缴出资额的五倍赔</w:t>
      </w:r>
      <w:r>
        <w:rPr>
          <w:rFonts w:hint="eastAsia"/>
          <w:sz w:val="30"/>
          <w:szCs w:val="30"/>
        </w:rPr>
        <w:t>偿金，赔偿给公司和其他股东。”第十四条规定：“股东要转让出资，须转让给宁波明州大药房有限公司，转让出资以初始认缴出资额为限，并经董事会决议半数以上表决权股东同意。”第三十条第一款规定：“公司及投资设立控股公司的股东、董事、监事、高级管理人员、部门负责人，有责任保护公司利益，不得擅自披露公司秘密，违反对公司忠实义务，损害公司利益，在退休、离职、辞职、辞退除名后五年内不得从事公司或投资设立控股公司经营范围内的业务，否则必须承担赔偿责任，股东按照前第十三条（七）赔偿，投资设立控股公司的各部门负责人以上年度职务奖金</w:t>
      </w:r>
      <w:r>
        <w:rPr>
          <w:rFonts w:hint="eastAsia"/>
          <w:sz w:val="30"/>
          <w:szCs w:val="30"/>
        </w:rPr>
        <w:t>和集资受益金的五倍赔偿给公司。”（以上条款均系</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经股东会讨论表决后作出修正）明州投资公司章程第十三条第六项规定：股东“必须尽责尽守，遵守法律、法规，维护企业利益，遵守公司制度，必须服从股东会决议。”第十七条规定：“股东会会议形式，分为定期会议和临时会议。股东会会议应由代表三分之二以上表决权的股东出席方可举行……”</w:t>
      </w:r>
    </w:p>
    <w:p w:rsidR="00000000" w:rsidRDefault="007023DA">
      <w:pPr>
        <w:spacing w:line="500" w:lineRule="atLeast"/>
        <w:ind w:firstLine="600"/>
        <w:divId w:val="1132819744"/>
        <w:rPr>
          <w:rFonts w:hint="eastAsia"/>
          <w:sz w:val="30"/>
          <w:szCs w:val="30"/>
        </w:rPr>
      </w:pPr>
      <w:r>
        <w:rPr>
          <w:rFonts w:hint="eastAsia"/>
          <w:sz w:val="30"/>
          <w:szCs w:val="30"/>
        </w:rPr>
        <w:t>一审法院认为：根据双方当事人的诉辩主张，案件的首要争议焦点在于：明州投资公司依据公司章程及《实施细则》规定要求洪谦退回向鄞州医药药材公司购买的涉案房屋及租金是否有相应的事实依据即</w:t>
      </w:r>
      <w:r>
        <w:rPr>
          <w:rFonts w:hint="eastAsia"/>
          <w:sz w:val="30"/>
          <w:szCs w:val="30"/>
        </w:rPr>
        <w:t>洪谦是否存在违反对公司忠实义务的行为。就此，在明州投资公司诉洪谦损害公司利益责任纠纷一案［案号为（</w:t>
      </w:r>
      <w:r>
        <w:rPr>
          <w:rFonts w:hint="eastAsia"/>
          <w:sz w:val="30"/>
          <w:szCs w:val="30"/>
        </w:rPr>
        <w:t>2015</w:t>
      </w:r>
      <w:r>
        <w:rPr>
          <w:rFonts w:hint="eastAsia"/>
          <w:sz w:val="30"/>
          <w:szCs w:val="30"/>
        </w:rPr>
        <w:t>）甬鄞商初字第</w:t>
      </w:r>
      <w:r>
        <w:rPr>
          <w:rFonts w:hint="eastAsia"/>
          <w:sz w:val="30"/>
          <w:szCs w:val="30"/>
        </w:rPr>
        <w:t>544</w:t>
      </w:r>
      <w:r>
        <w:rPr>
          <w:rFonts w:hint="eastAsia"/>
          <w:sz w:val="30"/>
          <w:szCs w:val="30"/>
        </w:rPr>
        <w:t>号］即归入权诉讼案件中已有定论，即认定洪谦于</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日投资入股贝因美股份公司时系明州投资公司的董事，于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日受让贝因美集团公司股权时系明州投资公司投资控股的大榭保健公司的高级管理人员，两次入股行为违反了公司法（</w:t>
      </w:r>
      <w:r>
        <w:rPr>
          <w:rFonts w:hint="eastAsia"/>
          <w:sz w:val="30"/>
          <w:szCs w:val="30"/>
        </w:rPr>
        <w:t>2013</w:t>
      </w:r>
      <w:r>
        <w:rPr>
          <w:rFonts w:hint="eastAsia"/>
          <w:sz w:val="30"/>
          <w:szCs w:val="30"/>
        </w:rPr>
        <w:t>年修正）第一百四十八条第一款第五项规定的董事、高级管理人员的竞业禁止及忠实义务。据此，洪谦存在违反对公司忠实义务的行为。公司法（</w:t>
      </w:r>
      <w:r>
        <w:rPr>
          <w:rFonts w:hint="eastAsia"/>
          <w:sz w:val="30"/>
          <w:szCs w:val="30"/>
        </w:rPr>
        <w:t>2013</w:t>
      </w:r>
      <w:r>
        <w:rPr>
          <w:rFonts w:hint="eastAsia"/>
          <w:sz w:val="30"/>
          <w:szCs w:val="30"/>
        </w:rPr>
        <w:t>年修正）第</w:t>
      </w:r>
      <w:r>
        <w:rPr>
          <w:rFonts w:hint="eastAsia"/>
          <w:sz w:val="30"/>
          <w:szCs w:val="30"/>
        </w:rPr>
        <w:t>十一条规定：“设立公司必须依法制定公司章程。公司章程对公司、股东、董事、监事、高级管理人员具有约束力。”公司章程是关于公司的组织结构、内部关系和开展公司业务活动的基本规则和依据，亦是股东自治意思规则的载体，具有公司自治特点，只要股东达成合意，且不违背法律、行政法规的强制性规定，公司章程即为有效，对公司、股东、公司经营管理人员均有约束效力。明州投资公司经修正的公司章程第三十条第一款、第十三条第七项系经包括洪谦在内的明州投资公司全体股东表决通过的，内容不违反法律、行政法规的强制性规定，应为合法有效，洪谦作为明州</w:t>
      </w:r>
      <w:r>
        <w:rPr>
          <w:rFonts w:hint="eastAsia"/>
          <w:sz w:val="30"/>
          <w:szCs w:val="30"/>
        </w:rPr>
        <w:t>投资公司的股东，依法应受上述章程条款的约束。上述章程条款系</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日修正的，对明州投资公司股东之前的行为不应有溯及力，即对洪谦</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日投资入股贝因美股份公司的行为不具有拘束力，但洪谦受让贝因美集团公司股权是在上述章程条款修正之后即</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日，该行为依法应受修正后的章程条款的规范约束，因该行为已被认定为违反对公司忠实义务的行为，故明州投资公司依法可依据上述修正后的章程条款制约洪谦。洪谦、项志秋等</w:t>
      </w:r>
      <w:r>
        <w:rPr>
          <w:rFonts w:hint="eastAsia"/>
          <w:sz w:val="30"/>
          <w:szCs w:val="30"/>
        </w:rPr>
        <w:t>16</w:t>
      </w:r>
      <w:r>
        <w:rPr>
          <w:rFonts w:hint="eastAsia"/>
          <w:sz w:val="30"/>
          <w:szCs w:val="30"/>
        </w:rPr>
        <w:t>名自然人股东于</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日通过的股东会决议系各股东的真实意思表示，内容不违</w:t>
      </w:r>
      <w:r>
        <w:rPr>
          <w:rFonts w:hint="eastAsia"/>
          <w:sz w:val="30"/>
          <w:szCs w:val="30"/>
        </w:rPr>
        <w:t>反法律、行政法规，应为合法有效，各股东均应受该决议约束。根据该次股东会会议的参会人员为明州投资公司的股东及决议内容如规定“股东受售房必须严格遵守公司章程第十三条（五）、（六）点，第十七条及第三十条的相关责任规定”（对照明州投资公司与鄞州医药药材公司的公司章程可知，该些章程条款均为明州投资公司的公司章程条款），以及各股东实际按在明州投资公司所持股权比例选购原在鄞州医药药材公司名下的房屋的事实，可推知上述股东会决议事实上系明州投资公司股东会作出的。因此，明州投资公司作为原告，并无不当。根据上述决议内容，因洪谦违</w:t>
      </w:r>
      <w:r>
        <w:rPr>
          <w:rFonts w:hint="eastAsia"/>
          <w:sz w:val="30"/>
          <w:szCs w:val="30"/>
        </w:rPr>
        <w:t>反对公司的忠实义务，明州投资公司依约有权收回洪谦已选购的房屋及相应租金收益。因自</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日起的租金实已被明州投资公司扣收，故洪谦无需再返还该部分租金收益，但洪谦受让房屋而支付的购房款，也应予返还。现明州投资公司在起诉状中已表示会将洪谦原交付的购房款</w:t>
      </w:r>
      <w:r>
        <w:rPr>
          <w:rFonts w:hint="eastAsia"/>
          <w:sz w:val="30"/>
          <w:szCs w:val="30"/>
        </w:rPr>
        <w:t>828000</w:t>
      </w:r>
      <w:r>
        <w:rPr>
          <w:rFonts w:hint="eastAsia"/>
          <w:sz w:val="30"/>
          <w:szCs w:val="30"/>
        </w:rPr>
        <w:t>元退还给洪谦，双方可根据债务互抵等原则自行解决。另洪谦一审庭审中认为其受让贝因美集团公司股权是在</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日，明州投资公司到</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日才起诉，早已超过了两年的法定诉讼时效期间。该院认为，诉讼时效期间从知道或应当知道权利被侵</w:t>
      </w:r>
      <w:r>
        <w:rPr>
          <w:rFonts w:hint="eastAsia"/>
          <w:sz w:val="30"/>
          <w:szCs w:val="30"/>
        </w:rPr>
        <w:t>害时起算。虽然洪谦的投资行为发生较早，但该投资行为一直处于持续状态。洪谦未能举证证明明州投资公司在其受让贝因美集团公司股权时即已知情，故诉讼时效期间不应自投资行为发生时起算。现洪谦在</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日向明州投资公司法定代表人项志秋发函，明州投资公司在</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日即第一次召开讨论处置洪谦对外投资行为的股东会会议并作出相关决议，双方此后就股东会决议是否可撤销，是否有效的问题进行了诉讼。故明州投资公司在浙江省高级人民法院（</w:t>
      </w:r>
      <w:r>
        <w:rPr>
          <w:rFonts w:hint="eastAsia"/>
          <w:sz w:val="30"/>
          <w:szCs w:val="30"/>
        </w:rPr>
        <w:t>2014</w:t>
      </w:r>
      <w:r>
        <w:rPr>
          <w:rFonts w:hint="eastAsia"/>
          <w:sz w:val="30"/>
          <w:szCs w:val="30"/>
        </w:rPr>
        <w:t>）浙商提字第</w:t>
      </w:r>
      <w:r>
        <w:rPr>
          <w:rFonts w:hint="eastAsia"/>
          <w:sz w:val="30"/>
          <w:szCs w:val="30"/>
        </w:rPr>
        <w:t>86</w:t>
      </w:r>
      <w:r>
        <w:rPr>
          <w:rFonts w:hint="eastAsia"/>
          <w:sz w:val="30"/>
          <w:szCs w:val="30"/>
        </w:rPr>
        <w:t>号民事判决生效后提起诉讼，并未超过诉讼时效期间。据此，一审法</w:t>
      </w:r>
      <w:r>
        <w:rPr>
          <w:rFonts w:hint="eastAsia"/>
          <w:sz w:val="30"/>
          <w:szCs w:val="30"/>
        </w:rPr>
        <w:t>院依照《中华人民共和国公司法》第十一条、第一百四十八条第一款第五项、第八项、第一百四十九条之规定，判决：一、洪谦名下的位于宁波市鄞州区宋诏桥凤凰新村</w:t>
      </w:r>
      <w:r>
        <w:rPr>
          <w:rFonts w:hint="eastAsia"/>
          <w:sz w:val="30"/>
          <w:szCs w:val="30"/>
        </w:rPr>
        <w:t>83</w:t>
      </w:r>
      <w:r>
        <w:rPr>
          <w:rFonts w:hint="eastAsia"/>
          <w:sz w:val="30"/>
          <w:szCs w:val="30"/>
        </w:rPr>
        <w:t>幢二层、建筑面积为</w:t>
      </w:r>
      <w:r>
        <w:rPr>
          <w:rFonts w:hint="eastAsia"/>
          <w:sz w:val="30"/>
          <w:szCs w:val="30"/>
        </w:rPr>
        <w:t>207</w:t>
      </w:r>
      <w:r>
        <w:rPr>
          <w:rFonts w:hint="eastAsia"/>
          <w:sz w:val="30"/>
          <w:szCs w:val="30"/>
        </w:rPr>
        <w:t>平方米的房屋由明州投资公司收回，限洪谦于判决生效后十日内将相应的房屋所有权及土地使用权过户至明州投资公司名下；二、限洪谦于判决生效后十日内将其原基于上述房屋已取得的租金</w:t>
      </w:r>
      <w:r>
        <w:rPr>
          <w:rFonts w:hint="eastAsia"/>
          <w:sz w:val="30"/>
          <w:szCs w:val="30"/>
        </w:rPr>
        <w:t>363388.50</w:t>
      </w:r>
      <w:r>
        <w:rPr>
          <w:rFonts w:hint="eastAsia"/>
          <w:sz w:val="30"/>
          <w:szCs w:val="30"/>
        </w:rPr>
        <w:t>元返还给明州投资公司，并赔偿自起诉之日即</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日起至判决确定的履行之日止按中国人民银行公布的同期同档次贷款基准利率计算的利息损失。如果未按</w:t>
      </w:r>
      <w:r>
        <w:rPr>
          <w:rFonts w:hint="eastAsia"/>
          <w:sz w:val="30"/>
          <w:szCs w:val="30"/>
        </w:rPr>
        <w:t>判决指定的期间履行给付金钱义务，应当依照《中华人民共和国民事诉讼法》第二百五十三条及相关司法解释之规定，加倍支付迟延履行期间的债务利息（加倍部分债务利息＝债务人尚未清偿的生效法律文书确定的除一般债务利息之外的金钱债务×日万分之一点七五×迟延履行期间）。案件受理费</w:t>
      </w:r>
      <w:r>
        <w:rPr>
          <w:rFonts w:hint="eastAsia"/>
          <w:sz w:val="30"/>
          <w:szCs w:val="30"/>
        </w:rPr>
        <w:t>25346</w:t>
      </w:r>
      <w:r>
        <w:rPr>
          <w:rFonts w:hint="eastAsia"/>
          <w:sz w:val="30"/>
          <w:szCs w:val="30"/>
        </w:rPr>
        <w:t>元，由洪谦负担。</w:t>
      </w:r>
    </w:p>
    <w:p w:rsidR="00000000" w:rsidRDefault="007023DA">
      <w:pPr>
        <w:spacing w:line="500" w:lineRule="atLeast"/>
        <w:ind w:firstLine="600"/>
        <w:divId w:val="32006770"/>
        <w:rPr>
          <w:rFonts w:hint="eastAsia"/>
          <w:sz w:val="30"/>
          <w:szCs w:val="30"/>
        </w:rPr>
      </w:pPr>
      <w:r>
        <w:rPr>
          <w:rFonts w:hint="eastAsia"/>
          <w:sz w:val="30"/>
          <w:szCs w:val="30"/>
        </w:rPr>
        <w:t>二审中，各方当事人均未向本院提供新的证据。</w:t>
      </w:r>
    </w:p>
    <w:p w:rsidR="00000000" w:rsidRDefault="007023DA">
      <w:pPr>
        <w:spacing w:line="500" w:lineRule="atLeast"/>
        <w:ind w:firstLine="600"/>
        <w:divId w:val="1226839881"/>
        <w:rPr>
          <w:rFonts w:hint="eastAsia"/>
          <w:sz w:val="30"/>
          <w:szCs w:val="30"/>
        </w:rPr>
      </w:pPr>
      <w:r>
        <w:rPr>
          <w:rFonts w:hint="eastAsia"/>
          <w:sz w:val="30"/>
          <w:szCs w:val="30"/>
        </w:rPr>
        <w:t>本院经审理对一审法院认定的事实予以确认。</w:t>
      </w:r>
    </w:p>
    <w:p w:rsidR="00000000" w:rsidRDefault="007023DA">
      <w:pPr>
        <w:spacing w:line="500" w:lineRule="atLeast"/>
        <w:ind w:firstLine="600"/>
        <w:divId w:val="1323195824"/>
        <w:rPr>
          <w:rFonts w:hint="eastAsia"/>
          <w:sz w:val="30"/>
          <w:szCs w:val="30"/>
        </w:rPr>
      </w:pPr>
      <w:r>
        <w:rPr>
          <w:rFonts w:hint="eastAsia"/>
          <w:sz w:val="30"/>
          <w:szCs w:val="30"/>
        </w:rPr>
        <w:t>另认定：</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日，明州投资公司为与洪谦损害公司利益责任纠纷向一审法院起诉，一审法院于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日作出（</w:t>
      </w:r>
      <w:r>
        <w:rPr>
          <w:rFonts w:hint="eastAsia"/>
          <w:sz w:val="30"/>
          <w:szCs w:val="30"/>
        </w:rPr>
        <w:t>2015</w:t>
      </w:r>
      <w:r>
        <w:rPr>
          <w:rFonts w:hint="eastAsia"/>
          <w:sz w:val="30"/>
          <w:szCs w:val="30"/>
        </w:rPr>
        <w:t>）甬鄞</w:t>
      </w:r>
      <w:r>
        <w:rPr>
          <w:rFonts w:hint="eastAsia"/>
          <w:sz w:val="30"/>
          <w:szCs w:val="30"/>
        </w:rPr>
        <w:t>商初字第</w:t>
      </w:r>
      <w:r>
        <w:rPr>
          <w:rFonts w:hint="eastAsia"/>
          <w:sz w:val="30"/>
          <w:szCs w:val="30"/>
        </w:rPr>
        <w:t>544</w:t>
      </w:r>
      <w:r>
        <w:rPr>
          <w:rFonts w:hint="eastAsia"/>
          <w:sz w:val="30"/>
          <w:szCs w:val="30"/>
        </w:rPr>
        <w:t>号民事判决，认定洪谦在任职明州投资公司董事、大榭保健公司法定代表人兼总经理期间，未经股东会、董事会同意，入股贝因美股份公司、贝因美集团公司，并发生交易关系，违反竞业禁止和忠实义务。并判决：一、洪谦支付明州投资公司因持有贝因美股份公司股票而获得的现金红利</w:t>
      </w:r>
      <w:r>
        <w:rPr>
          <w:rFonts w:hint="eastAsia"/>
          <w:sz w:val="30"/>
          <w:szCs w:val="30"/>
        </w:rPr>
        <w:t>55556.94</w:t>
      </w:r>
      <w:r>
        <w:rPr>
          <w:rFonts w:hint="eastAsia"/>
          <w:sz w:val="30"/>
          <w:szCs w:val="30"/>
        </w:rPr>
        <w:t>元及自</w:t>
      </w:r>
      <w:r>
        <w:rPr>
          <w:rFonts w:hint="eastAsia"/>
          <w:sz w:val="30"/>
          <w:szCs w:val="30"/>
        </w:rPr>
        <w:t>2007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日起以未付红利为基数按中国人民银行同期（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年）同类贷款基准利率计算至判决确定履行之日止的利息损失；二、洪谦支付明州投资公司因转让贝因美股份公司股票而获得的收益</w:t>
      </w:r>
      <w:r>
        <w:rPr>
          <w:rFonts w:hint="eastAsia"/>
          <w:sz w:val="30"/>
          <w:szCs w:val="30"/>
        </w:rPr>
        <w:t>2190826.69</w:t>
      </w:r>
      <w:r>
        <w:rPr>
          <w:rFonts w:hint="eastAsia"/>
          <w:sz w:val="30"/>
          <w:szCs w:val="30"/>
        </w:rPr>
        <w:t>元及自</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日起以未付收益为基数按中国人民银行同期（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年）同类贷款基准利率计算至判决确定履行之日止的利息；三、洪谦支付明州投资公司因持有贝因美集团公司股份而获得的现金红利</w:t>
      </w:r>
      <w:r>
        <w:rPr>
          <w:rFonts w:hint="eastAsia"/>
          <w:sz w:val="30"/>
          <w:szCs w:val="30"/>
        </w:rPr>
        <w:t>117350</w:t>
      </w:r>
      <w:r>
        <w:rPr>
          <w:rFonts w:hint="eastAsia"/>
          <w:sz w:val="30"/>
          <w:szCs w:val="30"/>
        </w:rPr>
        <w:t>元及自取得红利之次日起以未付红利为基数按中国人民银行同期（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年）同类贷款基准利率计算至判决确定履行之日止的利息（其中</w:t>
      </w:r>
      <w:r>
        <w:rPr>
          <w:rFonts w:hint="eastAsia"/>
          <w:sz w:val="30"/>
          <w:szCs w:val="30"/>
        </w:rPr>
        <w:t>58650</w:t>
      </w:r>
      <w:r>
        <w:rPr>
          <w:rFonts w:hint="eastAsia"/>
          <w:sz w:val="30"/>
          <w:szCs w:val="30"/>
        </w:rPr>
        <w:t>元自</w:t>
      </w:r>
      <w:r>
        <w:rPr>
          <w:rFonts w:hint="eastAsia"/>
          <w:sz w:val="30"/>
          <w:szCs w:val="30"/>
        </w:rPr>
        <w:t>2008</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日起计息，</w:t>
      </w:r>
      <w:r>
        <w:rPr>
          <w:rFonts w:hint="eastAsia"/>
          <w:sz w:val="30"/>
          <w:szCs w:val="30"/>
        </w:rPr>
        <w:t>58700</w:t>
      </w:r>
      <w:r>
        <w:rPr>
          <w:rFonts w:hint="eastAsia"/>
          <w:sz w:val="30"/>
          <w:szCs w:val="30"/>
        </w:rPr>
        <w:t>元自</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日起计息）；四、洪谦支付明州投资公司因转让贝因美集团公司股权而获得的收益</w:t>
      </w:r>
      <w:r>
        <w:rPr>
          <w:rFonts w:hint="eastAsia"/>
          <w:sz w:val="30"/>
          <w:szCs w:val="30"/>
        </w:rPr>
        <w:t>373666</w:t>
      </w:r>
      <w:r>
        <w:rPr>
          <w:rFonts w:hint="eastAsia"/>
          <w:sz w:val="30"/>
          <w:szCs w:val="30"/>
        </w:rPr>
        <w:t>元（已扣除持股成本</w:t>
      </w:r>
      <w:r>
        <w:rPr>
          <w:rFonts w:hint="eastAsia"/>
          <w:sz w:val="30"/>
          <w:szCs w:val="30"/>
        </w:rPr>
        <w:t>1000000</w:t>
      </w:r>
      <w:r>
        <w:rPr>
          <w:rFonts w:hint="eastAsia"/>
          <w:sz w:val="30"/>
          <w:szCs w:val="30"/>
        </w:rPr>
        <w:t>元）及自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日起以未付收益为基数按中国人民银行同期（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年）同类贷款基准利率计算至判决确定履行之日止的利息；五、洪谦赔偿明州投资公司经济损失</w:t>
      </w:r>
      <w:r>
        <w:rPr>
          <w:rFonts w:hint="eastAsia"/>
          <w:sz w:val="30"/>
          <w:szCs w:val="30"/>
        </w:rPr>
        <w:t>9577114.56</w:t>
      </w:r>
      <w:r>
        <w:rPr>
          <w:rFonts w:hint="eastAsia"/>
          <w:sz w:val="30"/>
          <w:szCs w:val="30"/>
        </w:rPr>
        <w:t>元；上述第一项至第五项付款义务，限洪谦于判决生效后十日内履行完毕；六、驳回明州投资公司的其他诉讼请求。洪谦、明州投资公司均不服向本院提起上诉，本院经审理于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日作出（</w:t>
      </w:r>
      <w:r>
        <w:rPr>
          <w:rFonts w:hint="eastAsia"/>
          <w:sz w:val="30"/>
          <w:szCs w:val="30"/>
        </w:rPr>
        <w:t>2016</w:t>
      </w:r>
      <w:r>
        <w:rPr>
          <w:rFonts w:hint="eastAsia"/>
          <w:sz w:val="30"/>
          <w:szCs w:val="30"/>
        </w:rPr>
        <w:t>）浙</w:t>
      </w:r>
      <w:r>
        <w:rPr>
          <w:rFonts w:hint="eastAsia"/>
          <w:sz w:val="30"/>
          <w:szCs w:val="30"/>
        </w:rPr>
        <w:t>02</w:t>
      </w:r>
      <w:r>
        <w:rPr>
          <w:rFonts w:hint="eastAsia"/>
          <w:sz w:val="30"/>
          <w:szCs w:val="30"/>
        </w:rPr>
        <w:t>民终</w:t>
      </w:r>
      <w:r>
        <w:rPr>
          <w:rFonts w:hint="eastAsia"/>
          <w:sz w:val="30"/>
          <w:szCs w:val="30"/>
        </w:rPr>
        <w:t>3822</w:t>
      </w:r>
      <w:r>
        <w:rPr>
          <w:rFonts w:hint="eastAsia"/>
          <w:sz w:val="30"/>
          <w:szCs w:val="30"/>
        </w:rPr>
        <w:t>号民事判决，判决：驳回上诉，维持原判。该判决现已发生法律效力。</w:t>
      </w:r>
    </w:p>
    <w:p w:rsidR="00000000" w:rsidRDefault="007023DA">
      <w:pPr>
        <w:spacing w:line="500" w:lineRule="atLeast"/>
        <w:ind w:firstLine="600"/>
        <w:divId w:val="1561020234"/>
        <w:rPr>
          <w:rFonts w:hint="eastAsia"/>
          <w:sz w:val="30"/>
          <w:szCs w:val="30"/>
        </w:rPr>
      </w:pPr>
      <w:r>
        <w:rPr>
          <w:rFonts w:hint="eastAsia"/>
          <w:sz w:val="30"/>
          <w:szCs w:val="30"/>
        </w:rPr>
        <w:t>本院认为：首先，洪谦在担任明州投资公司董事期间，未经股东会、董事会同意，入股贝因美股</w:t>
      </w:r>
      <w:r>
        <w:rPr>
          <w:rFonts w:hint="eastAsia"/>
          <w:sz w:val="30"/>
          <w:szCs w:val="30"/>
        </w:rPr>
        <w:t>份公司、贝因美集团公司，并发生交易关系，违反了公司法第一百四十八条规定的竞业禁止和忠实义务，该事实已经被生效判决所确认。</w:t>
      </w:r>
    </w:p>
    <w:p w:rsidR="00000000" w:rsidRDefault="007023DA">
      <w:pPr>
        <w:spacing w:line="500" w:lineRule="atLeast"/>
        <w:ind w:firstLine="600"/>
        <w:divId w:val="1821575033"/>
        <w:rPr>
          <w:rFonts w:hint="eastAsia"/>
          <w:sz w:val="30"/>
          <w:szCs w:val="30"/>
        </w:rPr>
      </w:pPr>
      <w:r>
        <w:rPr>
          <w:rFonts w:hint="eastAsia"/>
          <w:sz w:val="30"/>
          <w:szCs w:val="30"/>
        </w:rPr>
        <w:t>其次，洪谦受售涉案房屋前，包括洪谦在内的明州投资公司全部</w:t>
      </w:r>
      <w:r>
        <w:rPr>
          <w:rFonts w:hint="eastAsia"/>
          <w:sz w:val="30"/>
          <w:szCs w:val="30"/>
        </w:rPr>
        <w:t>16</w:t>
      </w:r>
      <w:r>
        <w:rPr>
          <w:rFonts w:hint="eastAsia"/>
          <w:sz w:val="30"/>
          <w:szCs w:val="30"/>
        </w:rPr>
        <w:t>位自然人股东于</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召开股东会会议并形成决议，一致表决通过了《实施细则》。该《实施细则》规定的股东受售房规则包括，股东受售房屋必须严格遵守公司章程第十三条（五）、（六）点，第十七条及第三十条的相关责任规定，如有违反，按章程相关规定处理，退回原出资，不得享受权益。洪谦在该股东会决议中签字，表示愿遵守《实施细则》规定受</w:t>
      </w:r>
      <w:r>
        <w:rPr>
          <w:rFonts w:hint="eastAsia"/>
          <w:sz w:val="30"/>
          <w:szCs w:val="30"/>
        </w:rPr>
        <w:t>售，愿受《实施细则》的约束。明州投资公司以洪谦违反股东会决议及《实施细则》为由提起诉讼，主体适格。</w:t>
      </w:r>
    </w:p>
    <w:p w:rsidR="00000000" w:rsidRDefault="007023DA">
      <w:pPr>
        <w:spacing w:line="500" w:lineRule="atLeast"/>
        <w:ind w:firstLine="600"/>
        <w:divId w:val="716244258"/>
        <w:rPr>
          <w:rFonts w:hint="eastAsia"/>
          <w:sz w:val="30"/>
          <w:szCs w:val="30"/>
        </w:rPr>
      </w:pPr>
      <w:r>
        <w:rPr>
          <w:rFonts w:hint="eastAsia"/>
          <w:sz w:val="30"/>
          <w:szCs w:val="30"/>
        </w:rPr>
        <w:t>再次，修正后的明州投资公司章程第三十条规定，公司及投资设立控股公司的股东、董事、监事、高级管理人员、部门负责人，有责任保护公司利益，不得擅自披露公司秘密，违反对公司忠实义务，损害公司利益，在退休、离职、辞职、辞退除名后五年内不得从事公司或投资设立控股公司经营范围内的业务。该公司章程修正时，洪谦入股贝因美股份公司行为持续，而后，洪谦又入股贝因美集团公司，因此，洪谦违反忠实义务、违反公司章程的行为持续，根据《实施</w:t>
      </w:r>
      <w:r>
        <w:rPr>
          <w:rFonts w:hint="eastAsia"/>
          <w:sz w:val="30"/>
          <w:szCs w:val="30"/>
        </w:rPr>
        <w:t>细则》的规定，洪谦不得享有受售房屋的权利。</w:t>
      </w:r>
    </w:p>
    <w:p w:rsidR="00000000" w:rsidRDefault="007023DA">
      <w:pPr>
        <w:spacing w:line="500" w:lineRule="atLeast"/>
        <w:ind w:firstLine="600"/>
        <w:divId w:val="1698660192"/>
        <w:rPr>
          <w:rFonts w:hint="eastAsia"/>
          <w:sz w:val="30"/>
          <w:szCs w:val="30"/>
        </w:rPr>
      </w:pPr>
      <w:r>
        <w:rPr>
          <w:rFonts w:hint="eastAsia"/>
          <w:sz w:val="30"/>
          <w:szCs w:val="30"/>
        </w:rPr>
        <w:t>最后，虽然明州投资公司股东会决议同意出售给洪谦的房屋原产权人是鄞州医药药材公司，但鄞州医药药材公司的股东为明州投资公司及明州大药房，而明州大药房的股东由法人股东明州投资公司即明州投资公司的</w:t>
      </w:r>
      <w:r>
        <w:rPr>
          <w:rFonts w:hint="eastAsia"/>
          <w:sz w:val="30"/>
          <w:szCs w:val="30"/>
        </w:rPr>
        <w:t>16</w:t>
      </w:r>
      <w:r>
        <w:rPr>
          <w:rFonts w:hint="eastAsia"/>
          <w:sz w:val="30"/>
          <w:szCs w:val="30"/>
        </w:rPr>
        <w:t>位自然人股东组成。因此，在明州投资公司股东会决议中签字的</w:t>
      </w:r>
      <w:r>
        <w:rPr>
          <w:rFonts w:hint="eastAsia"/>
          <w:sz w:val="30"/>
          <w:szCs w:val="30"/>
        </w:rPr>
        <w:t>16</w:t>
      </w:r>
      <w:r>
        <w:rPr>
          <w:rFonts w:hint="eastAsia"/>
          <w:sz w:val="30"/>
          <w:szCs w:val="30"/>
        </w:rPr>
        <w:t>位自然人股东同样代表了鄞州医药药材公司的利益，明州投资公司股东会决议同意出售给洪谦涉案房屋以及要求洪谦向明州投资公司退回涉案房屋、交付租金，也均代表了鄞州医药药材公司的意志。一审审理过程中，鄞州医药药材公司也明确表示</w:t>
      </w:r>
      <w:r>
        <w:rPr>
          <w:rFonts w:hint="eastAsia"/>
          <w:sz w:val="30"/>
          <w:szCs w:val="30"/>
        </w:rPr>
        <w:t>对明州投资公司的诉讼请求无异议。因此，明州投资公司要求洪谦退回涉案房屋及租金的诉请应予支持。</w:t>
      </w:r>
    </w:p>
    <w:p w:rsidR="00000000" w:rsidRDefault="007023DA">
      <w:pPr>
        <w:spacing w:line="500" w:lineRule="atLeast"/>
        <w:ind w:firstLine="600"/>
        <w:divId w:val="817769541"/>
        <w:rPr>
          <w:rFonts w:hint="eastAsia"/>
          <w:sz w:val="30"/>
          <w:szCs w:val="30"/>
        </w:rPr>
      </w:pPr>
      <w:r>
        <w:rPr>
          <w:rFonts w:hint="eastAsia"/>
          <w:sz w:val="30"/>
          <w:szCs w:val="30"/>
        </w:rPr>
        <w:t>综上所述，洪谦的上诉请求不能成立，应予驳回；一审判决认定事实清楚，适用法律正确，应予维持。依照《中华人民共和国民事诉讼法》第一百七十条第一款第一项之规定，判决如下：</w:t>
      </w:r>
    </w:p>
    <w:p w:rsidR="00000000" w:rsidRDefault="007023DA">
      <w:pPr>
        <w:spacing w:line="500" w:lineRule="atLeast"/>
        <w:ind w:firstLine="600"/>
        <w:divId w:val="2008091139"/>
        <w:rPr>
          <w:rFonts w:hint="eastAsia"/>
          <w:sz w:val="30"/>
          <w:szCs w:val="30"/>
        </w:rPr>
      </w:pPr>
      <w:r>
        <w:rPr>
          <w:rFonts w:hint="eastAsia"/>
          <w:sz w:val="30"/>
          <w:szCs w:val="30"/>
        </w:rPr>
        <w:t>驳回上诉，维持原判。</w:t>
      </w:r>
    </w:p>
    <w:p w:rsidR="00000000" w:rsidRDefault="007023DA">
      <w:pPr>
        <w:spacing w:line="500" w:lineRule="atLeast"/>
        <w:ind w:firstLine="600"/>
        <w:divId w:val="337275271"/>
        <w:rPr>
          <w:rFonts w:hint="eastAsia"/>
          <w:sz w:val="30"/>
          <w:szCs w:val="30"/>
        </w:rPr>
      </w:pPr>
      <w:r>
        <w:rPr>
          <w:rFonts w:hint="eastAsia"/>
          <w:sz w:val="30"/>
          <w:szCs w:val="30"/>
        </w:rPr>
        <w:t>二审案件受理费</w:t>
      </w:r>
      <w:r>
        <w:rPr>
          <w:rFonts w:hint="eastAsia"/>
          <w:sz w:val="30"/>
          <w:szCs w:val="30"/>
        </w:rPr>
        <w:t>25346</w:t>
      </w:r>
      <w:r>
        <w:rPr>
          <w:rFonts w:hint="eastAsia"/>
          <w:sz w:val="30"/>
          <w:szCs w:val="30"/>
        </w:rPr>
        <w:t>元，由上诉人洪谦负担。</w:t>
      </w:r>
    </w:p>
    <w:p w:rsidR="00000000" w:rsidRDefault="007023DA">
      <w:pPr>
        <w:spacing w:line="500" w:lineRule="atLeast"/>
        <w:ind w:firstLine="600"/>
        <w:divId w:val="1995066576"/>
        <w:rPr>
          <w:rFonts w:hint="eastAsia"/>
          <w:sz w:val="30"/>
          <w:szCs w:val="30"/>
        </w:rPr>
      </w:pPr>
      <w:r>
        <w:rPr>
          <w:rFonts w:hint="eastAsia"/>
          <w:sz w:val="30"/>
          <w:szCs w:val="30"/>
        </w:rPr>
        <w:t>本判决为终审判决。</w:t>
      </w:r>
    </w:p>
    <w:p w:rsidR="00000000" w:rsidRDefault="007023DA">
      <w:pPr>
        <w:spacing w:line="500" w:lineRule="atLeast"/>
        <w:jc w:val="right"/>
        <w:divId w:val="1605844412"/>
        <w:rPr>
          <w:rFonts w:hint="eastAsia"/>
          <w:sz w:val="30"/>
          <w:szCs w:val="30"/>
        </w:rPr>
      </w:pPr>
      <w:r>
        <w:rPr>
          <w:rFonts w:hint="eastAsia"/>
          <w:sz w:val="30"/>
          <w:szCs w:val="30"/>
        </w:rPr>
        <w:t>审　判　长　　胡曙炜</w:t>
      </w:r>
    </w:p>
    <w:p w:rsidR="00000000" w:rsidRDefault="007023DA">
      <w:pPr>
        <w:spacing w:line="500" w:lineRule="atLeast"/>
        <w:jc w:val="right"/>
        <w:divId w:val="1883394398"/>
        <w:rPr>
          <w:rFonts w:hint="eastAsia"/>
          <w:sz w:val="30"/>
          <w:szCs w:val="30"/>
        </w:rPr>
      </w:pPr>
      <w:r>
        <w:rPr>
          <w:rFonts w:hint="eastAsia"/>
          <w:sz w:val="30"/>
          <w:szCs w:val="30"/>
        </w:rPr>
        <w:t>代理审判员　　朱　静</w:t>
      </w:r>
    </w:p>
    <w:p w:rsidR="00000000" w:rsidRDefault="007023DA">
      <w:pPr>
        <w:spacing w:line="500" w:lineRule="atLeast"/>
        <w:jc w:val="right"/>
        <w:divId w:val="838543033"/>
        <w:rPr>
          <w:rFonts w:hint="eastAsia"/>
          <w:sz w:val="30"/>
          <w:szCs w:val="30"/>
        </w:rPr>
      </w:pPr>
      <w:r>
        <w:rPr>
          <w:rFonts w:hint="eastAsia"/>
          <w:sz w:val="30"/>
          <w:szCs w:val="30"/>
        </w:rPr>
        <w:t>代理审判员　　施　晓</w:t>
      </w:r>
    </w:p>
    <w:p w:rsidR="00000000" w:rsidRDefault="007023DA">
      <w:pPr>
        <w:spacing w:line="500" w:lineRule="atLeast"/>
        <w:jc w:val="right"/>
        <w:divId w:val="681511361"/>
        <w:rPr>
          <w:rFonts w:hint="eastAsia"/>
          <w:sz w:val="30"/>
          <w:szCs w:val="30"/>
        </w:rPr>
      </w:pPr>
      <w:r>
        <w:rPr>
          <w:rFonts w:hint="eastAsia"/>
          <w:sz w:val="30"/>
          <w:szCs w:val="30"/>
        </w:rPr>
        <w:t>二〇一七年七月十八日</w:t>
      </w:r>
    </w:p>
    <w:p w:rsidR="00000000" w:rsidRDefault="007023DA">
      <w:pPr>
        <w:spacing w:line="500" w:lineRule="atLeast"/>
        <w:jc w:val="right"/>
        <w:divId w:val="868688811"/>
        <w:rPr>
          <w:rFonts w:hint="eastAsia"/>
          <w:sz w:val="30"/>
          <w:szCs w:val="30"/>
        </w:rPr>
      </w:pPr>
      <w:r>
        <w:rPr>
          <w:rFonts w:hint="eastAsia"/>
          <w:sz w:val="30"/>
          <w:szCs w:val="30"/>
        </w:rPr>
        <w:t>书　记　员　　谢　倩</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3DA" w:rsidRDefault="007023DA" w:rsidP="007023DA">
      <w:r>
        <w:separator/>
      </w:r>
    </w:p>
  </w:endnote>
  <w:endnote w:type="continuationSeparator" w:id="0">
    <w:p w:rsidR="007023DA" w:rsidRDefault="007023DA" w:rsidP="00702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3DA" w:rsidRDefault="007023DA" w:rsidP="007023DA">
      <w:r>
        <w:separator/>
      </w:r>
    </w:p>
  </w:footnote>
  <w:footnote w:type="continuationSeparator" w:id="0">
    <w:p w:rsidR="007023DA" w:rsidRDefault="007023DA" w:rsidP="007023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023DA"/>
    <w:rsid w:val="00702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023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23DA"/>
    <w:rPr>
      <w:rFonts w:ascii="宋体" w:eastAsia="宋体" w:hAnsi="宋体" w:cs="宋体"/>
      <w:sz w:val="18"/>
      <w:szCs w:val="18"/>
    </w:rPr>
  </w:style>
  <w:style w:type="paragraph" w:styleId="a5">
    <w:name w:val="footer"/>
    <w:basedOn w:val="a"/>
    <w:link w:val="a6"/>
    <w:uiPriority w:val="99"/>
    <w:unhideWhenUsed/>
    <w:rsid w:val="007023DA"/>
    <w:pPr>
      <w:tabs>
        <w:tab w:val="center" w:pos="4153"/>
        <w:tab w:val="right" w:pos="8306"/>
      </w:tabs>
      <w:snapToGrid w:val="0"/>
    </w:pPr>
    <w:rPr>
      <w:sz w:val="18"/>
      <w:szCs w:val="18"/>
    </w:rPr>
  </w:style>
  <w:style w:type="character" w:customStyle="1" w:styleId="a6">
    <w:name w:val="页脚 字符"/>
    <w:basedOn w:val="a0"/>
    <w:link w:val="a5"/>
    <w:uiPriority w:val="99"/>
    <w:rsid w:val="007023D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6770">
      <w:marLeft w:val="0"/>
      <w:marRight w:val="0"/>
      <w:marTop w:val="10"/>
      <w:marBottom w:val="10"/>
      <w:divBdr>
        <w:top w:val="none" w:sz="0" w:space="0" w:color="auto"/>
        <w:left w:val="none" w:sz="0" w:space="0" w:color="auto"/>
        <w:bottom w:val="none" w:sz="0" w:space="0" w:color="auto"/>
        <w:right w:val="none" w:sz="0" w:space="0" w:color="auto"/>
      </w:divBdr>
    </w:div>
    <w:div w:id="83456072">
      <w:marLeft w:val="0"/>
      <w:marRight w:val="0"/>
      <w:marTop w:val="10"/>
      <w:marBottom w:val="10"/>
      <w:divBdr>
        <w:top w:val="none" w:sz="0" w:space="0" w:color="auto"/>
        <w:left w:val="none" w:sz="0" w:space="0" w:color="auto"/>
        <w:bottom w:val="none" w:sz="0" w:space="0" w:color="auto"/>
        <w:right w:val="none" w:sz="0" w:space="0" w:color="auto"/>
      </w:divBdr>
    </w:div>
    <w:div w:id="149299397">
      <w:marLeft w:val="0"/>
      <w:marRight w:val="0"/>
      <w:marTop w:val="10"/>
      <w:marBottom w:val="10"/>
      <w:divBdr>
        <w:top w:val="none" w:sz="0" w:space="0" w:color="auto"/>
        <w:left w:val="none" w:sz="0" w:space="0" w:color="auto"/>
        <w:bottom w:val="none" w:sz="0" w:space="0" w:color="auto"/>
        <w:right w:val="none" w:sz="0" w:space="0" w:color="auto"/>
      </w:divBdr>
    </w:div>
    <w:div w:id="197082468">
      <w:marLeft w:val="0"/>
      <w:marRight w:val="0"/>
      <w:marTop w:val="10"/>
      <w:marBottom w:val="10"/>
      <w:divBdr>
        <w:top w:val="none" w:sz="0" w:space="0" w:color="auto"/>
        <w:left w:val="none" w:sz="0" w:space="0" w:color="auto"/>
        <w:bottom w:val="none" w:sz="0" w:space="0" w:color="auto"/>
        <w:right w:val="none" w:sz="0" w:space="0" w:color="auto"/>
      </w:divBdr>
    </w:div>
    <w:div w:id="224024118">
      <w:marLeft w:val="0"/>
      <w:marRight w:val="0"/>
      <w:marTop w:val="10"/>
      <w:marBottom w:val="10"/>
      <w:divBdr>
        <w:top w:val="none" w:sz="0" w:space="0" w:color="auto"/>
        <w:left w:val="none" w:sz="0" w:space="0" w:color="auto"/>
        <w:bottom w:val="none" w:sz="0" w:space="0" w:color="auto"/>
        <w:right w:val="none" w:sz="0" w:space="0" w:color="auto"/>
      </w:divBdr>
    </w:div>
    <w:div w:id="246962762">
      <w:marLeft w:val="0"/>
      <w:marRight w:val="0"/>
      <w:marTop w:val="10"/>
      <w:marBottom w:val="10"/>
      <w:divBdr>
        <w:top w:val="none" w:sz="0" w:space="0" w:color="auto"/>
        <w:left w:val="none" w:sz="0" w:space="0" w:color="auto"/>
        <w:bottom w:val="none" w:sz="0" w:space="0" w:color="auto"/>
        <w:right w:val="none" w:sz="0" w:space="0" w:color="auto"/>
      </w:divBdr>
    </w:div>
    <w:div w:id="292323249">
      <w:marLeft w:val="0"/>
      <w:marRight w:val="0"/>
      <w:marTop w:val="10"/>
      <w:marBottom w:val="10"/>
      <w:divBdr>
        <w:top w:val="none" w:sz="0" w:space="0" w:color="auto"/>
        <w:left w:val="none" w:sz="0" w:space="0" w:color="auto"/>
        <w:bottom w:val="none" w:sz="0" w:space="0" w:color="auto"/>
        <w:right w:val="none" w:sz="0" w:space="0" w:color="auto"/>
      </w:divBdr>
    </w:div>
    <w:div w:id="313224764">
      <w:marLeft w:val="0"/>
      <w:marRight w:val="0"/>
      <w:marTop w:val="10"/>
      <w:marBottom w:val="10"/>
      <w:divBdr>
        <w:top w:val="none" w:sz="0" w:space="0" w:color="auto"/>
        <w:left w:val="none" w:sz="0" w:space="0" w:color="auto"/>
        <w:bottom w:val="none" w:sz="0" w:space="0" w:color="auto"/>
        <w:right w:val="none" w:sz="0" w:space="0" w:color="auto"/>
      </w:divBdr>
    </w:div>
    <w:div w:id="337275271">
      <w:marLeft w:val="0"/>
      <w:marRight w:val="0"/>
      <w:marTop w:val="10"/>
      <w:marBottom w:val="10"/>
      <w:divBdr>
        <w:top w:val="none" w:sz="0" w:space="0" w:color="auto"/>
        <w:left w:val="none" w:sz="0" w:space="0" w:color="auto"/>
        <w:bottom w:val="none" w:sz="0" w:space="0" w:color="auto"/>
        <w:right w:val="none" w:sz="0" w:space="0" w:color="auto"/>
      </w:divBdr>
    </w:div>
    <w:div w:id="371929847">
      <w:marLeft w:val="0"/>
      <w:marRight w:val="0"/>
      <w:marTop w:val="10"/>
      <w:marBottom w:val="10"/>
      <w:divBdr>
        <w:top w:val="none" w:sz="0" w:space="0" w:color="auto"/>
        <w:left w:val="none" w:sz="0" w:space="0" w:color="auto"/>
        <w:bottom w:val="none" w:sz="0" w:space="0" w:color="auto"/>
        <w:right w:val="none" w:sz="0" w:space="0" w:color="auto"/>
      </w:divBdr>
    </w:div>
    <w:div w:id="633565874">
      <w:marLeft w:val="0"/>
      <w:marRight w:val="0"/>
      <w:marTop w:val="10"/>
      <w:marBottom w:val="10"/>
      <w:divBdr>
        <w:top w:val="none" w:sz="0" w:space="0" w:color="auto"/>
        <w:left w:val="none" w:sz="0" w:space="0" w:color="auto"/>
        <w:bottom w:val="none" w:sz="0" w:space="0" w:color="auto"/>
        <w:right w:val="none" w:sz="0" w:space="0" w:color="auto"/>
      </w:divBdr>
    </w:div>
    <w:div w:id="681511361">
      <w:marLeft w:val="0"/>
      <w:marRight w:val="720"/>
      <w:marTop w:val="10"/>
      <w:marBottom w:val="10"/>
      <w:divBdr>
        <w:top w:val="none" w:sz="0" w:space="0" w:color="auto"/>
        <w:left w:val="none" w:sz="0" w:space="0" w:color="auto"/>
        <w:bottom w:val="none" w:sz="0" w:space="0" w:color="auto"/>
        <w:right w:val="none" w:sz="0" w:space="0" w:color="auto"/>
      </w:divBdr>
    </w:div>
    <w:div w:id="716244258">
      <w:marLeft w:val="0"/>
      <w:marRight w:val="0"/>
      <w:marTop w:val="10"/>
      <w:marBottom w:val="10"/>
      <w:divBdr>
        <w:top w:val="none" w:sz="0" w:space="0" w:color="auto"/>
        <w:left w:val="none" w:sz="0" w:space="0" w:color="auto"/>
        <w:bottom w:val="none" w:sz="0" w:space="0" w:color="auto"/>
        <w:right w:val="none" w:sz="0" w:space="0" w:color="auto"/>
      </w:divBdr>
    </w:div>
    <w:div w:id="728846054">
      <w:marLeft w:val="0"/>
      <w:marRight w:val="0"/>
      <w:marTop w:val="10"/>
      <w:marBottom w:val="10"/>
      <w:divBdr>
        <w:top w:val="none" w:sz="0" w:space="0" w:color="auto"/>
        <w:left w:val="none" w:sz="0" w:space="0" w:color="auto"/>
        <w:bottom w:val="none" w:sz="0" w:space="0" w:color="auto"/>
        <w:right w:val="none" w:sz="0" w:space="0" w:color="auto"/>
      </w:divBdr>
    </w:div>
    <w:div w:id="740257456">
      <w:marLeft w:val="0"/>
      <w:marRight w:val="0"/>
      <w:marTop w:val="10"/>
      <w:marBottom w:val="10"/>
      <w:divBdr>
        <w:top w:val="none" w:sz="0" w:space="0" w:color="auto"/>
        <w:left w:val="none" w:sz="0" w:space="0" w:color="auto"/>
        <w:bottom w:val="none" w:sz="0" w:space="0" w:color="auto"/>
        <w:right w:val="none" w:sz="0" w:space="0" w:color="auto"/>
      </w:divBdr>
    </w:div>
    <w:div w:id="817769541">
      <w:marLeft w:val="0"/>
      <w:marRight w:val="0"/>
      <w:marTop w:val="10"/>
      <w:marBottom w:val="10"/>
      <w:divBdr>
        <w:top w:val="none" w:sz="0" w:space="0" w:color="auto"/>
        <w:left w:val="none" w:sz="0" w:space="0" w:color="auto"/>
        <w:bottom w:val="none" w:sz="0" w:space="0" w:color="auto"/>
        <w:right w:val="none" w:sz="0" w:space="0" w:color="auto"/>
      </w:divBdr>
    </w:div>
    <w:div w:id="838543033">
      <w:marLeft w:val="0"/>
      <w:marRight w:val="720"/>
      <w:marTop w:val="10"/>
      <w:marBottom w:val="10"/>
      <w:divBdr>
        <w:top w:val="none" w:sz="0" w:space="0" w:color="auto"/>
        <w:left w:val="none" w:sz="0" w:space="0" w:color="auto"/>
        <w:bottom w:val="none" w:sz="0" w:space="0" w:color="auto"/>
        <w:right w:val="none" w:sz="0" w:space="0" w:color="auto"/>
      </w:divBdr>
    </w:div>
    <w:div w:id="868688811">
      <w:marLeft w:val="0"/>
      <w:marRight w:val="720"/>
      <w:marTop w:val="10"/>
      <w:marBottom w:val="10"/>
      <w:divBdr>
        <w:top w:val="none" w:sz="0" w:space="0" w:color="auto"/>
        <w:left w:val="none" w:sz="0" w:space="0" w:color="auto"/>
        <w:bottom w:val="none" w:sz="0" w:space="0" w:color="auto"/>
        <w:right w:val="none" w:sz="0" w:space="0" w:color="auto"/>
      </w:divBdr>
    </w:div>
    <w:div w:id="879630950">
      <w:marLeft w:val="0"/>
      <w:marRight w:val="0"/>
      <w:marTop w:val="10"/>
      <w:marBottom w:val="10"/>
      <w:divBdr>
        <w:top w:val="none" w:sz="0" w:space="0" w:color="auto"/>
        <w:left w:val="none" w:sz="0" w:space="0" w:color="auto"/>
        <w:bottom w:val="none" w:sz="0" w:space="0" w:color="auto"/>
        <w:right w:val="none" w:sz="0" w:space="0" w:color="auto"/>
      </w:divBdr>
    </w:div>
    <w:div w:id="936327837">
      <w:marLeft w:val="0"/>
      <w:marRight w:val="0"/>
      <w:marTop w:val="10"/>
      <w:marBottom w:val="10"/>
      <w:divBdr>
        <w:top w:val="none" w:sz="0" w:space="0" w:color="auto"/>
        <w:left w:val="none" w:sz="0" w:space="0" w:color="auto"/>
        <w:bottom w:val="none" w:sz="0" w:space="0" w:color="auto"/>
        <w:right w:val="none" w:sz="0" w:space="0" w:color="auto"/>
      </w:divBdr>
    </w:div>
    <w:div w:id="1024480408">
      <w:marLeft w:val="0"/>
      <w:marRight w:val="0"/>
      <w:marTop w:val="10"/>
      <w:marBottom w:val="10"/>
      <w:divBdr>
        <w:top w:val="none" w:sz="0" w:space="0" w:color="auto"/>
        <w:left w:val="none" w:sz="0" w:space="0" w:color="auto"/>
        <w:bottom w:val="none" w:sz="0" w:space="0" w:color="auto"/>
        <w:right w:val="none" w:sz="0" w:space="0" w:color="auto"/>
      </w:divBdr>
    </w:div>
    <w:div w:id="1058092859">
      <w:marLeft w:val="0"/>
      <w:marRight w:val="0"/>
      <w:marTop w:val="10"/>
      <w:marBottom w:val="10"/>
      <w:divBdr>
        <w:top w:val="none" w:sz="0" w:space="0" w:color="auto"/>
        <w:left w:val="none" w:sz="0" w:space="0" w:color="auto"/>
        <w:bottom w:val="none" w:sz="0" w:space="0" w:color="auto"/>
        <w:right w:val="none" w:sz="0" w:space="0" w:color="auto"/>
      </w:divBdr>
    </w:div>
    <w:div w:id="1077093806">
      <w:marLeft w:val="0"/>
      <w:marRight w:val="0"/>
      <w:marTop w:val="10"/>
      <w:marBottom w:val="10"/>
      <w:divBdr>
        <w:top w:val="none" w:sz="0" w:space="0" w:color="auto"/>
        <w:left w:val="none" w:sz="0" w:space="0" w:color="auto"/>
        <w:bottom w:val="none" w:sz="0" w:space="0" w:color="auto"/>
        <w:right w:val="none" w:sz="0" w:space="0" w:color="auto"/>
      </w:divBdr>
    </w:div>
    <w:div w:id="1097755958">
      <w:marLeft w:val="0"/>
      <w:marRight w:val="0"/>
      <w:marTop w:val="10"/>
      <w:marBottom w:val="10"/>
      <w:divBdr>
        <w:top w:val="none" w:sz="0" w:space="0" w:color="auto"/>
        <w:left w:val="none" w:sz="0" w:space="0" w:color="auto"/>
        <w:bottom w:val="none" w:sz="0" w:space="0" w:color="auto"/>
        <w:right w:val="none" w:sz="0" w:space="0" w:color="auto"/>
      </w:divBdr>
    </w:div>
    <w:div w:id="1132819744">
      <w:marLeft w:val="0"/>
      <w:marRight w:val="0"/>
      <w:marTop w:val="10"/>
      <w:marBottom w:val="10"/>
      <w:divBdr>
        <w:top w:val="none" w:sz="0" w:space="0" w:color="auto"/>
        <w:left w:val="none" w:sz="0" w:space="0" w:color="auto"/>
        <w:bottom w:val="none" w:sz="0" w:space="0" w:color="auto"/>
        <w:right w:val="none" w:sz="0" w:space="0" w:color="auto"/>
      </w:divBdr>
    </w:div>
    <w:div w:id="1135951763">
      <w:marLeft w:val="0"/>
      <w:marRight w:val="0"/>
      <w:marTop w:val="10"/>
      <w:marBottom w:val="10"/>
      <w:divBdr>
        <w:top w:val="none" w:sz="0" w:space="0" w:color="auto"/>
        <w:left w:val="none" w:sz="0" w:space="0" w:color="auto"/>
        <w:bottom w:val="none" w:sz="0" w:space="0" w:color="auto"/>
        <w:right w:val="none" w:sz="0" w:space="0" w:color="auto"/>
      </w:divBdr>
    </w:div>
    <w:div w:id="1226839881">
      <w:marLeft w:val="0"/>
      <w:marRight w:val="0"/>
      <w:marTop w:val="10"/>
      <w:marBottom w:val="10"/>
      <w:divBdr>
        <w:top w:val="none" w:sz="0" w:space="0" w:color="auto"/>
        <w:left w:val="none" w:sz="0" w:space="0" w:color="auto"/>
        <w:bottom w:val="none" w:sz="0" w:space="0" w:color="auto"/>
        <w:right w:val="none" w:sz="0" w:space="0" w:color="auto"/>
      </w:divBdr>
    </w:div>
    <w:div w:id="1299383311">
      <w:marLeft w:val="0"/>
      <w:marRight w:val="0"/>
      <w:marTop w:val="10"/>
      <w:marBottom w:val="10"/>
      <w:divBdr>
        <w:top w:val="none" w:sz="0" w:space="0" w:color="auto"/>
        <w:left w:val="none" w:sz="0" w:space="0" w:color="auto"/>
        <w:bottom w:val="none" w:sz="0" w:space="0" w:color="auto"/>
        <w:right w:val="none" w:sz="0" w:space="0" w:color="auto"/>
      </w:divBdr>
    </w:div>
    <w:div w:id="1323195824">
      <w:marLeft w:val="0"/>
      <w:marRight w:val="0"/>
      <w:marTop w:val="10"/>
      <w:marBottom w:val="10"/>
      <w:divBdr>
        <w:top w:val="none" w:sz="0" w:space="0" w:color="auto"/>
        <w:left w:val="none" w:sz="0" w:space="0" w:color="auto"/>
        <w:bottom w:val="none" w:sz="0" w:space="0" w:color="auto"/>
        <w:right w:val="none" w:sz="0" w:space="0" w:color="auto"/>
      </w:divBdr>
    </w:div>
    <w:div w:id="1470854377">
      <w:marLeft w:val="0"/>
      <w:marRight w:val="0"/>
      <w:marTop w:val="10"/>
      <w:marBottom w:val="10"/>
      <w:divBdr>
        <w:top w:val="none" w:sz="0" w:space="0" w:color="auto"/>
        <w:left w:val="none" w:sz="0" w:space="0" w:color="auto"/>
        <w:bottom w:val="none" w:sz="0" w:space="0" w:color="auto"/>
        <w:right w:val="none" w:sz="0" w:space="0" w:color="auto"/>
      </w:divBdr>
    </w:div>
    <w:div w:id="1505704707">
      <w:marLeft w:val="0"/>
      <w:marRight w:val="0"/>
      <w:marTop w:val="10"/>
      <w:marBottom w:val="10"/>
      <w:divBdr>
        <w:top w:val="none" w:sz="0" w:space="0" w:color="auto"/>
        <w:left w:val="none" w:sz="0" w:space="0" w:color="auto"/>
        <w:bottom w:val="none" w:sz="0" w:space="0" w:color="auto"/>
        <w:right w:val="none" w:sz="0" w:space="0" w:color="auto"/>
      </w:divBdr>
    </w:div>
    <w:div w:id="1561020234">
      <w:marLeft w:val="0"/>
      <w:marRight w:val="0"/>
      <w:marTop w:val="10"/>
      <w:marBottom w:val="10"/>
      <w:divBdr>
        <w:top w:val="none" w:sz="0" w:space="0" w:color="auto"/>
        <w:left w:val="none" w:sz="0" w:space="0" w:color="auto"/>
        <w:bottom w:val="none" w:sz="0" w:space="0" w:color="auto"/>
        <w:right w:val="none" w:sz="0" w:space="0" w:color="auto"/>
      </w:divBdr>
    </w:div>
    <w:div w:id="1562596942">
      <w:marLeft w:val="0"/>
      <w:marRight w:val="0"/>
      <w:marTop w:val="10"/>
      <w:marBottom w:val="10"/>
      <w:divBdr>
        <w:top w:val="none" w:sz="0" w:space="0" w:color="auto"/>
        <w:left w:val="none" w:sz="0" w:space="0" w:color="auto"/>
        <w:bottom w:val="none" w:sz="0" w:space="0" w:color="auto"/>
        <w:right w:val="none" w:sz="0" w:space="0" w:color="auto"/>
      </w:divBdr>
    </w:div>
    <w:div w:id="1605844412">
      <w:marLeft w:val="0"/>
      <w:marRight w:val="720"/>
      <w:marTop w:val="10"/>
      <w:marBottom w:val="10"/>
      <w:divBdr>
        <w:top w:val="none" w:sz="0" w:space="0" w:color="auto"/>
        <w:left w:val="none" w:sz="0" w:space="0" w:color="auto"/>
        <w:bottom w:val="none" w:sz="0" w:space="0" w:color="auto"/>
        <w:right w:val="none" w:sz="0" w:space="0" w:color="auto"/>
      </w:divBdr>
    </w:div>
    <w:div w:id="1644971037">
      <w:marLeft w:val="0"/>
      <w:marRight w:val="0"/>
      <w:marTop w:val="10"/>
      <w:marBottom w:val="10"/>
      <w:divBdr>
        <w:top w:val="none" w:sz="0" w:space="0" w:color="auto"/>
        <w:left w:val="none" w:sz="0" w:space="0" w:color="auto"/>
        <w:bottom w:val="none" w:sz="0" w:space="0" w:color="auto"/>
        <w:right w:val="none" w:sz="0" w:space="0" w:color="auto"/>
      </w:divBdr>
    </w:div>
    <w:div w:id="1680082029">
      <w:marLeft w:val="0"/>
      <w:marRight w:val="0"/>
      <w:marTop w:val="10"/>
      <w:marBottom w:val="10"/>
      <w:divBdr>
        <w:top w:val="none" w:sz="0" w:space="0" w:color="auto"/>
        <w:left w:val="none" w:sz="0" w:space="0" w:color="auto"/>
        <w:bottom w:val="none" w:sz="0" w:space="0" w:color="auto"/>
        <w:right w:val="none" w:sz="0" w:space="0" w:color="auto"/>
      </w:divBdr>
    </w:div>
    <w:div w:id="1698660192">
      <w:marLeft w:val="0"/>
      <w:marRight w:val="0"/>
      <w:marTop w:val="10"/>
      <w:marBottom w:val="10"/>
      <w:divBdr>
        <w:top w:val="none" w:sz="0" w:space="0" w:color="auto"/>
        <w:left w:val="none" w:sz="0" w:space="0" w:color="auto"/>
        <w:bottom w:val="none" w:sz="0" w:space="0" w:color="auto"/>
        <w:right w:val="none" w:sz="0" w:space="0" w:color="auto"/>
      </w:divBdr>
    </w:div>
    <w:div w:id="1744520049">
      <w:marLeft w:val="0"/>
      <w:marRight w:val="0"/>
      <w:marTop w:val="10"/>
      <w:marBottom w:val="10"/>
      <w:divBdr>
        <w:top w:val="none" w:sz="0" w:space="0" w:color="auto"/>
        <w:left w:val="none" w:sz="0" w:space="0" w:color="auto"/>
        <w:bottom w:val="none" w:sz="0" w:space="0" w:color="auto"/>
        <w:right w:val="none" w:sz="0" w:space="0" w:color="auto"/>
      </w:divBdr>
    </w:div>
    <w:div w:id="1817722304">
      <w:marLeft w:val="0"/>
      <w:marRight w:val="0"/>
      <w:marTop w:val="10"/>
      <w:marBottom w:val="10"/>
      <w:divBdr>
        <w:top w:val="none" w:sz="0" w:space="0" w:color="auto"/>
        <w:left w:val="none" w:sz="0" w:space="0" w:color="auto"/>
        <w:bottom w:val="none" w:sz="0" w:space="0" w:color="auto"/>
        <w:right w:val="none" w:sz="0" w:space="0" w:color="auto"/>
      </w:divBdr>
    </w:div>
    <w:div w:id="1821575033">
      <w:marLeft w:val="0"/>
      <w:marRight w:val="0"/>
      <w:marTop w:val="10"/>
      <w:marBottom w:val="10"/>
      <w:divBdr>
        <w:top w:val="none" w:sz="0" w:space="0" w:color="auto"/>
        <w:left w:val="none" w:sz="0" w:space="0" w:color="auto"/>
        <w:bottom w:val="none" w:sz="0" w:space="0" w:color="auto"/>
        <w:right w:val="none" w:sz="0" w:space="0" w:color="auto"/>
      </w:divBdr>
    </w:div>
    <w:div w:id="1861119796">
      <w:marLeft w:val="0"/>
      <w:marRight w:val="0"/>
      <w:marTop w:val="10"/>
      <w:marBottom w:val="10"/>
      <w:divBdr>
        <w:top w:val="none" w:sz="0" w:space="0" w:color="auto"/>
        <w:left w:val="none" w:sz="0" w:space="0" w:color="auto"/>
        <w:bottom w:val="none" w:sz="0" w:space="0" w:color="auto"/>
        <w:right w:val="none" w:sz="0" w:space="0" w:color="auto"/>
      </w:divBdr>
    </w:div>
    <w:div w:id="1881867064">
      <w:marLeft w:val="0"/>
      <w:marRight w:val="0"/>
      <w:marTop w:val="10"/>
      <w:marBottom w:val="10"/>
      <w:divBdr>
        <w:top w:val="none" w:sz="0" w:space="0" w:color="auto"/>
        <w:left w:val="none" w:sz="0" w:space="0" w:color="auto"/>
        <w:bottom w:val="none" w:sz="0" w:space="0" w:color="auto"/>
        <w:right w:val="none" w:sz="0" w:space="0" w:color="auto"/>
      </w:divBdr>
    </w:div>
    <w:div w:id="1883394398">
      <w:marLeft w:val="0"/>
      <w:marRight w:val="720"/>
      <w:marTop w:val="10"/>
      <w:marBottom w:val="10"/>
      <w:divBdr>
        <w:top w:val="none" w:sz="0" w:space="0" w:color="auto"/>
        <w:left w:val="none" w:sz="0" w:space="0" w:color="auto"/>
        <w:bottom w:val="none" w:sz="0" w:space="0" w:color="auto"/>
        <w:right w:val="none" w:sz="0" w:space="0" w:color="auto"/>
      </w:divBdr>
    </w:div>
    <w:div w:id="1929190414">
      <w:marLeft w:val="0"/>
      <w:marRight w:val="0"/>
      <w:marTop w:val="10"/>
      <w:marBottom w:val="10"/>
      <w:divBdr>
        <w:top w:val="none" w:sz="0" w:space="0" w:color="auto"/>
        <w:left w:val="none" w:sz="0" w:space="0" w:color="auto"/>
        <w:bottom w:val="none" w:sz="0" w:space="0" w:color="auto"/>
        <w:right w:val="none" w:sz="0" w:space="0" w:color="auto"/>
      </w:divBdr>
    </w:div>
    <w:div w:id="1995066576">
      <w:marLeft w:val="0"/>
      <w:marRight w:val="0"/>
      <w:marTop w:val="10"/>
      <w:marBottom w:val="10"/>
      <w:divBdr>
        <w:top w:val="none" w:sz="0" w:space="0" w:color="auto"/>
        <w:left w:val="none" w:sz="0" w:space="0" w:color="auto"/>
        <w:bottom w:val="none" w:sz="0" w:space="0" w:color="auto"/>
        <w:right w:val="none" w:sz="0" w:space="0" w:color="auto"/>
      </w:divBdr>
    </w:div>
    <w:div w:id="2008091139">
      <w:marLeft w:val="0"/>
      <w:marRight w:val="0"/>
      <w:marTop w:val="10"/>
      <w:marBottom w:val="10"/>
      <w:divBdr>
        <w:top w:val="none" w:sz="0" w:space="0" w:color="auto"/>
        <w:left w:val="none" w:sz="0" w:space="0" w:color="auto"/>
        <w:bottom w:val="none" w:sz="0" w:space="0" w:color="auto"/>
        <w:right w:val="none" w:sz="0" w:space="0" w:color="auto"/>
      </w:divBdr>
    </w:div>
    <w:div w:id="2026900324">
      <w:marLeft w:val="0"/>
      <w:marRight w:val="0"/>
      <w:marTop w:val="10"/>
      <w:marBottom w:val="10"/>
      <w:divBdr>
        <w:top w:val="none" w:sz="0" w:space="0" w:color="auto"/>
        <w:left w:val="none" w:sz="0" w:space="0" w:color="auto"/>
        <w:bottom w:val="none" w:sz="0" w:space="0" w:color="auto"/>
        <w:right w:val="none" w:sz="0" w:space="0" w:color="auto"/>
      </w:divBdr>
    </w:div>
    <w:div w:id="205620097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1916</Words>
  <Characters>10923</Characters>
  <Application>Microsoft Office Word</Application>
  <DocSecurity>0</DocSecurity>
  <Lines>91</Lines>
  <Paragraphs>25</Paragraphs>
  <ScaleCrop>false</ScaleCrop>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