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84B1F">
      <w:pPr>
        <w:spacing w:line="500" w:lineRule="atLeast"/>
        <w:jc w:val="center"/>
        <w:divId w:val="1100762361"/>
        <w:rPr>
          <w:rFonts w:ascii="黑体" w:eastAsia="黑体" w:hAnsi="黑体"/>
          <w:sz w:val="36"/>
          <w:szCs w:val="36"/>
        </w:rPr>
      </w:pPr>
      <w:bookmarkStart w:id="0" w:name="_GoBack"/>
      <w:bookmarkEnd w:id="0"/>
      <w:r>
        <w:rPr>
          <w:rFonts w:ascii="黑体" w:eastAsia="黑体" w:hAnsi="黑体" w:hint="eastAsia"/>
          <w:sz w:val="36"/>
          <w:szCs w:val="36"/>
        </w:rPr>
        <w:t>中华人民共和国上海市高级人民法院</w:t>
      </w:r>
    </w:p>
    <w:p w:rsidR="00000000" w:rsidRDefault="00584B1F">
      <w:pPr>
        <w:spacing w:line="500" w:lineRule="atLeast"/>
        <w:jc w:val="center"/>
        <w:divId w:val="29892602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84B1F">
      <w:pPr>
        <w:spacing w:line="500" w:lineRule="atLeast"/>
        <w:jc w:val="right"/>
        <w:divId w:val="735587639"/>
        <w:rPr>
          <w:rFonts w:hint="eastAsia"/>
          <w:sz w:val="30"/>
          <w:szCs w:val="30"/>
        </w:rPr>
      </w:pPr>
      <w:r>
        <w:rPr>
          <w:rFonts w:hint="eastAsia"/>
          <w:sz w:val="30"/>
          <w:szCs w:val="30"/>
        </w:rPr>
        <w:t>（</w:t>
      </w:r>
      <w:r>
        <w:rPr>
          <w:rFonts w:hint="eastAsia"/>
          <w:sz w:val="30"/>
          <w:szCs w:val="30"/>
        </w:rPr>
        <w:t>2015</w:t>
      </w:r>
      <w:r>
        <w:rPr>
          <w:rFonts w:hint="eastAsia"/>
          <w:sz w:val="30"/>
          <w:szCs w:val="30"/>
        </w:rPr>
        <w:t>）沪高民五</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S9</w:t>
      </w:r>
      <w:r>
        <w:rPr>
          <w:rFonts w:hint="eastAsia"/>
          <w:sz w:val="30"/>
          <w:szCs w:val="30"/>
        </w:rPr>
        <w:t>号</w:t>
      </w:r>
    </w:p>
    <w:p w:rsidR="00000000" w:rsidRDefault="00584B1F">
      <w:pPr>
        <w:spacing w:line="500" w:lineRule="atLeast"/>
        <w:ind w:firstLine="600"/>
        <w:divId w:val="898832486"/>
        <w:rPr>
          <w:rFonts w:hint="eastAsia"/>
          <w:sz w:val="30"/>
          <w:szCs w:val="30"/>
        </w:rPr>
      </w:pPr>
      <w:r>
        <w:rPr>
          <w:rFonts w:hint="eastAsia"/>
          <w:sz w:val="30"/>
          <w:szCs w:val="30"/>
        </w:rPr>
        <w:t>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：浙江九龙山国际旅游开发有限公司，住所地浙江省平湖市。</w:t>
      </w:r>
    </w:p>
    <w:p w:rsidR="00000000" w:rsidRDefault="00584B1F">
      <w:pPr>
        <w:spacing w:line="500" w:lineRule="atLeast"/>
        <w:ind w:firstLine="600"/>
        <w:divId w:val="232198282"/>
        <w:rPr>
          <w:rFonts w:hint="eastAsia"/>
          <w:sz w:val="30"/>
          <w:szCs w:val="30"/>
        </w:rPr>
      </w:pPr>
      <w:r>
        <w:rPr>
          <w:rFonts w:hint="eastAsia"/>
          <w:sz w:val="30"/>
          <w:szCs w:val="30"/>
        </w:rPr>
        <w:t>法定代表人：李勤夫，执行董事。</w:t>
      </w:r>
    </w:p>
    <w:p w:rsidR="00000000" w:rsidRDefault="00584B1F">
      <w:pPr>
        <w:spacing w:line="500" w:lineRule="atLeast"/>
        <w:ind w:firstLine="600"/>
        <w:divId w:val="20672768"/>
        <w:rPr>
          <w:rFonts w:hint="eastAsia"/>
          <w:sz w:val="30"/>
          <w:szCs w:val="30"/>
        </w:rPr>
      </w:pPr>
      <w:r>
        <w:rPr>
          <w:rFonts w:hint="eastAsia"/>
          <w:sz w:val="30"/>
          <w:szCs w:val="30"/>
        </w:rPr>
        <w:t>委托诉讼代理人：林建华、黄华庚，上海市锦天城律师事务所律师。</w:t>
      </w:r>
    </w:p>
    <w:p w:rsidR="00000000" w:rsidRDefault="00584B1F">
      <w:pPr>
        <w:spacing w:line="500" w:lineRule="atLeast"/>
        <w:ind w:firstLine="600"/>
        <w:divId w:val="854223992"/>
        <w:rPr>
          <w:rFonts w:hint="eastAsia"/>
          <w:sz w:val="30"/>
          <w:szCs w:val="30"/>
        </w:rPr>
      </w:pPr>
      <w:r>
        <w:rPr>
          <w:rFonts w:hint="eastAsia"/>
          <w:sz w:val="30"/>
          <w:szCs w:val="30"/>
        </w:rPr>
        <w:t>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w:t>
      </w:r>
      <w:r>
        <w:rPr>
          <w:rFonts w:hint="eastAsia"/>
          <w:sz w:val="30"/>
          <w:szCs w:val="30"/>
        </w:rPr>
        <w:t>ResortPropertyInternationalLtd.</w:t>
      </w:r>
      <w:r>
        <w:rPr>
          <w:rFonts w:hint="eastAsia"/>
          <w:sz w:val="30"/>
          <w:szCs w:val="30"/>
        </w:rPr>
        <w:t>，住所地英属维尔京群岛托尔托拉岛罗德城布莱克本公路海草甸房</w:t>
      </w:r>
      <w:r>
        <w:rPr>
          <w:rFonts w:hint="eastAsia"/>
          <w:sz w:val="30"/>
          <w:szCs w:val="30"/>
        </w:rPr>
        <w:t>(SeaMeadowHouse,BlackburneHighway,RoadTown,Tortola,BritishVirginIslands.)</w:t>
      </w:r>
      <w:r>
        <w:rPr>
          <w:rFonts w:hint="eastAsia"/>
          <w:sz w:val="30"/>
          <w:szCs w:val="30"/>
        </w:rPr>
        <w:t>。</w:t>
      </w:r>
    </w:p>
    <w:p w:rsidR="00000000" w:rsidRDefault="00584B1F">
      <w:pPr>
        <w:spacing w:line="500" w:lineRule="atLeast"/>
        <w:ind w:firstLine="600"/>
        <w:divId w:val="1889563728"/>
        <w:rPr>
          <w:rFonts w:hint="eastAsia"/>
          <w:sz w:val="30"/>
          <w:szCs w:val="30"/>
        </w:rPr>
      </w:pPr>
      <w:r>
        <w:rPr>
          <w:rFonts w:hint="eastAsia"/>
          <w:sz w:val="30"/>
          <w:szCs w:val="30"/>
        </w:rPr>
        <w:t>法定代表人：李勤夫，董事长。</w:t>
      </w:r>
    </w:p>
    <w:p w:rsidR="00000000" w:rsidRDefault="00584B1F">
      <w:pPr>
        <w:spacing w:line="500" w:lineRule="atLeast"/>
        <w:ind w:firstLine="600"/>
        <w:divId w:val="1075206857"/>
        <w:rPr>
          <w:rFonts w:hint="eastAsia"/>
          <w:sz w:val="30"/>
          <w:szCs w:val="30"/>
        </w:rPr>
      </w:pPr>
      <w:r>
        <w:rPr>
          <w:rFonts w:hint="eastAsia"/>
          <w:sz w:val="30"/>
          <w:szCs w:val="30"/>
        </w:rPr>
        <w:t>委托诉讼代理人：林建华、黄华庚，上海市锦天城律师事务所律师。</w:t>
      </w:r>
    </w:p>
    <w:p w:rsidR="00000000" w:rsidRDefault="00584B1F">
      <w:pPr>
        <w:spacing w:line="500" w:lineRule="atLeast"/>
        <w:ind w:firstLine="600"/>
        <w:divId w:val="1779568539"/>
        <w:rPr>
          <w:rFonts w:hint="eastAsia"/>
          <w:sz w:val="30"/>
          <w:szCs w:val="30"/>
        </w:rPr>
      </w:pPr>
      <w:r>
        <w:rPr>
          <w:rFonts w:hint="eastAsia"/>
          <w:sz w:val="30"/>
          <w:szCs w:val="30"/>
        </w:rPr>
        <w:t>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w:t>
      </w:r>
      <w:r>
        <w:rPr>
          <w:rFonts w:hint="eastAsia"/>
          <w:sz w:val="30"/>
          <w:szCs w:val="30"/>
        </w:rPr>
        <w:t>OceanGardenHoldingsLtd.</w:t>
      </w:r>
      <w:r>
        <w:rPr>
          <w:rFonts w:hint="eastAsia"/>
          <w:sz w:val="30"/>
          <w:szCs w:val="30"/>
        </w:rPr>
        <w:t>，住所地英属维尔京群岛托尔托拉岛罗德城</w:t>
      </w:r>
      <w:r>
        <w:rPr>
          <w:rFonts w:hint="eastAsia"/>
          <w:sz w:val="30"/>
          <w:szCs w:val="30"/>
        </w:rPr>
        <w:t>DeCastro</w:t>
      </w:r>
      <w:r>
        <w:rPr>
          <w:rFonts w:hint="eastAsia"/>
          <w:sz w:val="30"/>
          <w:szCs w:val="30"/>
        </w:rPr>
        <w:t>街</w:t>
      </w:r>
      <w:r>
        <w:rPr>
          <w:rFonts w:hint="eastAsia"/>
          <w:sz w:val="30"/>
          <w:szCs w:val="30"/>
        </w:rPr>
        <w:t>XXX</w:t>
      </w:r>
      <w:r>
        <w:rPr>
          <w:rFonts w:hint="eastAsia"/>
          <w:sz w:val="30"/>
          <w:szCs w:val="30"/>
        </w:rPr>
        <w:t>号</w:t>
      </w:r>
      <w:r>
        <w:rPr>
          <w:rFonts w:hint="eastAsia"/>
          <w:sz w:val="30"/>
          <w:szCs w:val="30"/>
        </w:rPr>
        <w:t>Wickham</w:t>
      </w:r>
      <w:r>
        <w:rPr>
          <w:rFonts w:hint="eastAsia"/>
          <w:sz w:val="30"/>
          <w:szCs w:val="30"/>
        </w:rPr>
        <w:t>’</w:t>
      </w:r>
      <w:r>
        <w:rPr>
          <w:rFonts w:hint="eastAsia"/>
          <w:sz w:val="30"/>
          <w:szCs w:val="30"/>
        </w:rPr>
        <w:t>sCay1(AkaraBuilding,24DeCastroStreet,Wickham</w:t>
      </w:r>
      <w:r>
        <w:rPr>
          <w:rFonts w:hint="eastAsia"/>
          <w:sz w:val="30"/>
          <w:szCs w:val="30"/>
        </w:rPr>
        <w:t>’</w:t>
      </w:r>
      <w:r>
        <w:rPr>
          <w:rFonts w:hint="eastAsia"/>
          <w:sz w:val="30"/>
          <w:szCs w:val="30"/>
        </w:rPr>
        <w:t>sCay1,RoadTown,Tortola,BritishVirginIslands.)</w:t>
      </w:r>
      <w:r>
        <w:rPr>
          <w:rFonts w:hint="eastAsia"/>
          <w:sz w:val="30"/>
          <w:szCs w:val="30"/>
        </w:rPr>
        <w:t>。</w:t>
      </w:r>
    </w:p>
    <w:p w:rsidR="00000000" w:rsidRDefault="00584B1F">
      <w:pPr>
        <w:spacing w:line="500" w:lineRule="atLeast"/>
        <w:ind w:firstLine="600"/>
        <w:divId w:val="935556399"/>
        <w:rPr>
          <w:rFonts w:hint="eastAsia"/>
          <w:sz w:val="30"/>
          <w:szCs w:val="30"/>
        </w:rPr>
      </w:pPr>
      <w:r>
        <w:rPr>
          <w:rFonts w:hint="eastAsia"/>
          <w:sz w:val="30"/>
          <w:szCs w:val="30"/>
        </w:rPr>
        <w:t>法定代表人：李勤夫，董事长。</w:t>
      </w:r>
    </w:p>
    <w:p w:rsidR="00000000" w:rsidRDefault="00584B1F">
      <w:pPr>
        <w:spacing w:line="500" w:lineRule="atLeast"/>
        <w:ind w:firstLine="600"/>
        <w:divId w:val="990445935"/>
        <w:rPr>
          <w:rFonts w:hint="eastAsia"/>
          <w:sz w:val="30"/>
          <w:szCs w:val="30"/>
        </w:rPr>
      </w:pPr>
      <w:r>
        <w:rPr>
          <w:rFonts w:hint="eastAsia"/>
          <w:sz w:val="30"/>
          <w:szCs w:val="30"/>
        </w:rPr>
        <w:t>委托诉讼代理人：林建华、黄华庚，上海市锦天城律师事务所律师。</w:t>
      </w:r>
    </w:p>
    <w:p w:rsidR="00000000" w:rsidRDefault="00584B1F">
      <w:pPr>
        <w:spacing w:line="500" w:lineRule="atLeast"/>
        <w:ind w:firstLine="600"/>
        <w:divId w:val="111437887"/>
        <w:rPr>
          <w:rFonts w:hint="eastAsia"/>
          <w:sz w:val="30"/>
          <w:szCs w:val="30"/>
        </w:rPr>
      </w:pPr>
      <w:r>
        <w:rPr>
          <w:rFonts w:hint="eastAsia"/>
          <w:sz w:val="30"/>
          <w:szCs w:val="30"/>
        </w:rPr>
        <w:t>被上诉人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：海航资产管理集团有限公司，住所地海南省海口市。</w:t>
      </w:r>
    </w:p>
    <w:p w:rsidR="00000000" w:rsidRDefault="00584B1F">
      <w:pPr>
        <w:spacing w:line="500" w:lineRule="atLeast"/>
        <w:ind w:firstLine="600"/>
        <w:divId w:val="1371877365"/>
        <w:rPr>
          <w:rFonts w:hint="eastAsia"/>
          <w:sz w:val="30"/>
          <w:szCs w:val="30"/>
        </w:rPr>
      </w:pPr>
      <w:r>
        <w:rPr>
          <w:rFonts w:hint="eastAsia"/>
          <w:sz w:val="30"/>
          <w:szCs w:val="30"/>
        </w:rPr>
        <w:t>法定代表人：李令通，董事长兼总裁。</w:t>
      </w:r>
    </w:p>
    <w:p w:rsidR="00000000" w:rsidRDefault="00584B1F">
      <w:pPr>
        <w:spacing w:line="500" w:lineRule="atLeast"/>
        <w:ind w:firstLine="600"/>
        <w:divId w:val="1697391274"/>
        <w:rPr>
          <w:rFonts w:hint="eastAsia"/>
          <w:sz w:val="30"/>
          <w:szCs w:val="30"/>
        </w:rPr>
      </w:pPr>
      <w:r>
        <w:rPr>
          <w:rFonts w:hint="eastAsia"/>
          <w:sz w:val="30"/>
          <w:szCs w:val="30"/>
        </w:rPr>
        <w:t>委托诉讼代理人：徐笑蕾，上海润言律师事务所律师。</w:t>
      </w:r>
    </w:p>
    <w:p w:rsidR="00000000" w:rsidRDefault="00584B1F">
      <w:pPr>
        <w:spacing w:line="500" w:lineRule="atLeast"/>
        <w:ind w:firstLine="600"/>
        <w:divId w:val="1788423654"/>
        <w:rPr>
          <w:rFonts w:hint="eastAsia"/>
          <w:sz w:val="30"/>
          <w:szCs w:val="30"/>
        </w:rPr>
      </w:pPr>
      <w:r>
        <w:rPr>
          <w:rFonts w:hint="eastAsia"/>
          <w:sz w:val="30"/>
          <w:szCs w:val="30"/>
        </w:rPr>
        <w:lastRenderedPageBreak/>
        <w:t>原审被告：李勤夫，男，汉族，</w:t>
      </w:r>
      <w:r>
        <w:rPr>
          <w:rFonts w:hint="eastAsia"/>
          <w:sz w:val="30"/>
          <w:szCs w:val="30"/>
        </w:rPr>
        <w:t>1962</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日生，住上海市。</w:t>
      </w:r>
    </w:p>
    <w:p w:rsidR="00000000" w:rsidRDefault="00584B1F">
      <w:pPr>
        <w:spacing w:line="500" w:lineRule="atLeast"/>
        <w:ind w:firstLine="600"/>
        <w:divId w:val="1981691260"/>
        <w:rPr>
          <w:rFonts w:hint="eastAsia"/>
          <w:sz w:val="30"/>
          <w:szCs w:val="30"/>
        </w:rPr>
      </w:pPr>
      <w:r>
        <w:rPr>
          <w:rFonts w:hint="eastAsia"/>
          <w:sz w:val="30"/>
          <w:szCs w:val="30"/>
        </w:rPr>
        <w:t>原</w:t>
      </w:r>
      <w:r>
        <w:rPr>
          <w:rFonts w:hint="eastAsia"/>
          <w:sz w:val="30"/>
          <w:szCs w:val="30"/>
        </w:rPr>
        <w:t>审被告：杨志凌，男，汉族，</w:t>
      </w:r>
      <w:r>
        <w:rPr>
          <w:rFonts w:hint="eastAsia"/>
          <w:sz w:val="30"/>
          <w:szCs w:val="30"/>
        </w:rPr>
        <w:t>1963</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日生，住北京市。</w:t>
      </w:r>
    </w:p>
    <w:p w:rsidR="00000000" w:rsidRDefault="00584B1F">
      <w:pPr>
        <w:spacing w:line="500" w:lineRule="atLeast"/>
        <w:ind w:firstLine="600"/>
        <w:divId w:val="1618100409"/>
        <w:rPr>
          <w:rFonts w:hint="eastAsia"/>
          <w:sz w:val="30"/>
          <w:szCs w:val="30"/>
        </w:rPr>
      </w:pPr>
      <w:r>
        <w:rPr>
          <w:rFonts w:hint="eastAsia"/>
          <w:sz w:val="30"/>
          <w:szCs w:val="30"/>
        </w:rPr>
        <w:t>原审被告：顾北亭，男，汉族，</w:t>
      </w:r>
      <w:r>
        <w:rPr>
          <w:rFonts w:hint="eastAsia"/>
          <w:sz w:val="30"/>
          <w:szCs w:val="30"/>
        </w:rPr>
        <w:t>1959</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日生，住浙江省平湖市。</w:t>
      </w:r>
    </w:p>
    <w:p w:rsidR="00000000" w:rsidRDefault="00584B1F">
      <w:pPr>
        <w:spacing w:line="500" w:lineRule="atLeast"/>
        <w:ind w:firstLine="600"/>
        <w:divId w:val="571353056"/>
        <w:rPr>
          <w:rFonts w:hint="eastAsia"/>
          <w:sz w:val="30"/>
          <w:szCs w:val="30"/>
        </w:rPr>
      </w:pPr>
      <w:r>
        <w:rPr>
          <w:rFonts w:hint="eastAsia"/>
          <w:sz w:val="30"/>
          <w:szCs w:val="30"/>
        </w:rPr>
        <w:t>原审被告：沈焜，男，汉族，</w:t>
      </w:r>
      <w:r>
        <w:rPr>
          <w:rFonts w:hint="eastAsia"/>
          <w:sz w:val="30"/>
          <w:szCs w:val="30"/>
        </w:rPr>
        <w:t>1973</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日生，住上海市。</w:t>
      </w:r>
    </w:p>
    <w:p w:rsidR="00000000" w:rsidRDefault="00584B1F">
      <w:pPr>
        <w:spacing w:line="500" w:lineRule="atLeast"/>
        <w:ind w:firstLine="600"/>
        <w:divId w:val="1459881496"/>
        <w:rPr>
          <w:rFonts w:hint="eastAsia"/>
          <w:sz w:val="30"/>
          <w:szCs w:val="30"/>
        </w:rPr>
      </w:pPr>
      <w:r>
        <w:rPr>
          <w:rFonts w:hint="eastAsia"/>
          <w:sz w:val="30"/>
          <w:szCs w:val="30"/>
        </w:rPr>
        <w:t>原审被告：李梦强，男，汉族，</w:t>
      </w:r>
      <w:r>
        <w:rPr>
          <w:rFonts w:hint="eastAsia"/>
          <w:sz w:val="30"/>
          <w:szCs w:val="30"/>
        </w:rPr>
        <w:t>1987</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日生，住上海市。</w:t>
      </w:r>
    </w:p>
    <w:p w:rsidR="00000000" w:rsidRDefault="00584B1F">
      <w:pPr>
        <w:spacing w:line="500" w:lineRule="atLeast"/>
        <w:ind w:firstLine="600"/>
        <w:divId w:val="1567106542"/>
        <w:rPr>
          <w:rFonts w:hint="eastAsia"/>
          <w:sz w:val="30"/>
          <w:szCs w:val="30"/>
        </w:rPr>
      </w:pPr>
      <w:r>
        <w:rPr>
          <w:rFonts w:hint="eastAsia"/>
          <w:sz w:val="30"/>
          <w:szCs w:val="30"/>
        </w:rPr>
        <w:t>原审被告：王世渝，男，汉族，</w:t>
      </w:r>
      <w:r>
        <w:rPr>
          <w:rFonts w:hint="eastAsia"/>
          <w:sz w:val="30"/>
          <w:szCs w:val="30"/>
        </w:rPr>
        <w:t>1957</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日生，住重庆市。</w:t>
      </w:r>
    </w:p>
    <w:p w:rsidR="00000000" w:rsidRDefault="00584B1F">
      <w:pPr>
        <w:spacing w:line="500" w:lineRule="atLeast"/>
        <w:ind w:firstLine="600"/>
        <w:divId w:val="795877075"/>
        <w:rPr>
          <w:rFonts w:hint="eastAsia"/>
          <w:sz w:val="30"/>
          <w:szCs w:val="30"/>
        </w:rPr>
      </w:pPr>
      <w:r>
        <w:rPr>
          <w:rFonts w:hint="eastAsia"/>
          <w:sz w:val="30"/>
          <w:szCs w:val="30"/>
        </w:rPr>
        <w:t>原审被告：郭辉，男，汉族，</w:t>
      </w:r>
      <w:r>
        <w:rPr>
          <w:rFonts w:hint="eastAsia"/>
          <w:sz w:val="30"/>
          <w:szCs w:val="30"/>
        </w:rPr>
        <w:t>1952</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日生，住上海市浦东新区。</w:t>
      </w:r>
    </w:p>
    <w:p w:rsidR="00000000" w:rsidRDefault="00584B1F">
      <w:pPr>
        <w:spacing w:line="500" w:lineRule="atLeast"/>
        <w:ind w:firstLine="600"/>
        <w:divId w:val="266042827"/>
        <w:rPr>
          <w:rFonts w:hint="eastAsia"/>
          <w:sz w:val="30"/>
          <w:szCs w:val="30"/>
        </w:rPr>
      </w:pPr>
      <w:r>
        <w:rPr>
          <w:rFonts w:hint="eastAsia"/>
          <w:sz w:val="30"/>
          <w:szCs w:val="30"/>
        </w:rPr>
        <w:t>原审第三人：海航创新股份有限公司，住所地上海市静安区。</w:t>
      </w:r>
    </w:p>
    <w:p w:rsidR="00000000" w:rsidRDefault="00584B1F">
      <w:pPr>
        <w:spacing w:line="500" w:lineRule="atLeast"/>
        <w:ind w:firstLine="600"/>
        <w:divId w:val="2112315100"/>
        <w:rPr>
          <w:rFonts w:hint="eastAsia"/>
          <w:sz w:val="30"/>
          <w:szCs w:val="30"/>
        </w:rPr>
      </w:pPr>
      <w:r>
        <w:rPr>
          <w:rFonts w:hint="eastAsia"/>
          <w:sz w:val="30"/>
          <w:szCs w:val="30"/>
        </w:rPr>
        <w:t>法定代表人：李忠，董事长兼总经理。</w:t>
      </w:r>
    </w:p>
    <w:p w:rsidR="00000000" w:rsidRDefault="00584B1F">
      <w:pPr>
        <w:spacing w:line="500" w:lineRule="atLeast"/>
        <w:ind w:firstLine="600"/>
        <w:divId w:val="830027153"/>
        <w:rPr>
          <w:rFonts w:hint="eastAsia"/>
          <w:sz w:val="30"/>
          <w:szCs w:val="30"/>
        </w:rPr>
      </w:pPr>
      <w:r>
        <w:rPr>
          <w:rFonts w:hint="eastAsia"/>
          <w:sz w:val="30"/>
          <w:szCs w:val="30"/>
        </w:rPr>
        <w:t>上诉人浙江九龙山国际旅游开发有限</w:t>
      </w:r>
      <w:r>
        <w:rPr>
          <w:rFonts w:hint="eastAsia"/>
          <w:sz w:val="30"/>
          <w:szCs w:val="30"/>
        </w:rPr>
        <w:t>公司</w:t>
      </w:r>
      <w:r>
        <w:rPr>
          <w:rFonts w:hint="eastAsia"/>
          <w:sz w:val="30"/>
          <w:szCs w:val="30"/>
        </w:rPr>
        <w:t>(</w:t>
      </w:r>
      <w:r>
        <w:rPr>
          <w:rFonts w:hint="eastAsia"/>
          <w:sz w:val="30"/>
          <w:szCs w:val="30"/>
        </w:rPr>
        <w:t>以下简称九龙山旅游公司</w:t>
      </w:r>
      <w:r>
        <w:rPr>
          <w:rFonts w:hint="eastAsia"/>
          <w:sz w:val="30"/>
          <w:szCs w:val="30"/>
        </w:rPr>
        <w:t>)</w:t>
      </w:r>
      <w:r>
        <w:rPr>
          <w:rFonts w:hint="eastAsia"/>
          <w:sz w:val="30"/>
          <w:szCs w:val="30"/>
        </w:rPr>
        <w:t>、</w:t>
      </w:r>
      <w:r>
        <w:rPr>
          <w:rFonts w:hint="eastAsia"/>
          <w:sz w:val="30"/>
          <w:szCs w:val="30"/>
        </w:rPr>
        <w:t>ResortPropertyInternationalLtd.(</w:t>
      </w:r>
      <w:r>
        <w:rPr>
          <w:rFonts w:hint="eastAsia"/>
          <w:sz w:val="30"/>
          <w:szCs w:val="30"/>
        </w:rPr>
        <w:t>以下简称</w:t>
      </w:r>
      <w:r>
        <w:rPr>
          <w:rFonts w:hint="eastAsia"/>
          <w:sz w:val="30"/>
          <w:szCs w:val="30"/>
        </w:rPr>
        <w:t>ResortProperty</w:t>
      </w:r>
      <w:r>
        <w:rPr>
          <w:rFonts w:hint="eastAsia"/>
          <w:sz w:val="30"/>
          <w:szCs w:val="30"/>
        </w:rPr>
        <w:t>公司</w:t>
      </w:r>
      <w:r>
        <w:rPr>
          <w:rFonts w:hint="eastAsia"/>
          <w:sz w:val="30"/>
          <w:szCs w:val="30"/>
        </w:rPr>
        <w:t>)</w:t>
      </w:r>
      <w:r>
        <w:rPr>
          <w:rFonts w:hint="eastAsia"/>
          <w:sz w:val="30"/>
          <w:szCs w:val="30"/>
        </w:rPr>
        <w:t>、</w:t>
      </w:r>
      <w:r>
        <w:rPr>
          <w:rFonts w:hint="eastAsia"/>
          <w:sz w:val="30"/>
          <w:szCs w:val="30"/>
        </w:rPr>
        <w:t>OceanGardenHoldingsLtd.(</w:t>
      </w:r>
      <w:r>
        <w:rPr>
          <w:rFonts w:hint="eastAsia"/>
          <w:sz w:val="30"/>
          <w:szCs w:val="30"/>
        </w:rPr>
        <w:t>以下简称</w:t>
      </w:r>
      <w:r>
        <w:rPr>
          <w:rFonts w:hint="eastAsia"/>
          <w:sz w:val="30"/>
          <w:szCs w:val="30"/>
        </w:rPr>
        <w:t>OceanGarden</w:t>
      </w:r>
      <w:r>
        <w:rPr>
          <w:rFonts w:hint="eastAsia"/>
          <w:sz w:val="30"/>
          <w:szCs w:val="30"/>
        </w:rPr>
        <w:t>公司</w:t>
      </w:r>
      <w:r>
        <w:rPr>
          <w:rFonts w:hint="eastAsia"/>
          <w:sz w:val="30"/>
          <w:szCs w:val="30"/>
        </w:rPr>
        <w:t>)</w:t>
      </w:r>
      <w:r>
        <w:rPr>
          <w:rFonts w:hint="eastAsia"/>
          <w:sz w:val="30"/>
          <w:szCs w:val="30"/>
        </w:rPr>
        <w:t>因与被上诉人海航资产管理集团有限公司、原审被告李勤夫、杨志凌、顾北亭、沈焜、李梦强、王世渝、郭辉、原审第三人海航创新股份有限公司损害公司利益责任纠纷一案，不服上海市第一中级人民法院</w:t>
      </w:r>
      <w:r>
        <w:rPr>
          <w:rFonts w:hint="eastAsia"/>
          <w:sz w:val="30"/>
          <w:szCs w:val="30"/>
        </w:rPr>
        <w:t>(2013)</w:t>
      </w:r>
      <w:r>
        <w:rPr>
          <w:rFonts w:hint="eastAsia"/>
          <w:sz w:val="30"/>
          <w:szCs w:val="30"/>
        </w:rPr>
        <w:t>沪一中民六</w:t>
      </w:r>
      <w:r>
        <w:rPr>
          <w:rFonts w:hint="eastAsia"/>
          <w:sz w:val="30"/>
          <w:szCs w:val="30"/>
        </w:rPr>
        <w:t>(</w:t>
      </w:r>
      <w:r>
        <w:rPr>
          <w:rFonts w:hint="eastAsia"/>
          <w:sz w:val="30"/>
          <w:szCs w:val="30"/>
        </w:rPr>
        <w:t>商</w:t>
      </w:r>
      <w:r>
        <w:rPr>
          <w:rFonts w:hint="eastAsia"/>
          <w:sz w:val="30"/>
          <w:szCs w:val="30"/>
        </w:rPr>
        <w:t>)</w:t>
      </w:r>
      <w:r>
        <w:rPr>
          <w:rFonts w:hint="eastAsia"/>
          <w:sz w:val="30"/>
          <w:szCs w:val="30"/>
        </w:rPr>
        <w:t>重字第</w:t>
      </w:r>
      <w:r>
        <w:rPr>
          <w:rFonts w:hint="eastAsia"/>
          <w:sz w:val="30"/>
          <w:szCs w:val="30"/>
        </w:rPr>
        <w:t>S1</w:t>
      </w:r>
      <w:r>
        <w:rPr>
          <w:rFonts w:hint="eastAsia"/>
          <w:sz w:val="30"/>
          <w:szCs w:val="30"/>
        </w:rPr>
        <w:t>号民事判决，向本院提出上诉。本院立案受理后，依法组成合议庭进行了审理。</w:t>
      </w:r>
      <w:r>
        <w:rPr>
          <w:rFonts w:hint="eastAsia"/>
          <w:sz w:val="30"/>
          <w:szCs w:val="30"/>
        </w:rPr>
        <w:t>本案审理过程中，被上诉人由海航置业控股</w:t>
      </w:r>
      <w:r>
        <w:rPr>
          <w:rFonts w:hint="eastAsia"/>
          <w:sz w:val="30"/>
          <w:szCs w:val="30"/>
        </w:rPr>
        <w:t>(</w:t>
      </w:r>
      <w:r>
        <w:rPr>
          <w:rFonts w:hint="eastAsia"/>
          <w:sz w:val="30"/>
          <w:szCs w:val="30"/>
        </w:rPr>
        <w:t>集团</w:t>
      </w:r>
      <w:r>
        <w:rPr>
          <w:rFonts w:hint="eastAsia"/>
          <w:sz w:val="30"/>
          <w:szCs w:val="30"/>
        </w:rPr>
        <w:t>)</w:t>
      </w:r>
      <w:r>
        <w:rPr>
          <w:rFonts w:hint="eastAsia"/>
          <w:sz w:val="30"/>
          <w:szCs w:val="30"/>
        </w:rPr>
        <w:t>有限公司变更为现名称海航资产管理集团有限</w:t>
      </w:r>
      <w:r>
        <w:rPr>
          <w:rFonts w:hint="eastAsia"/>
          <w:sz w:val="30"/>
          <w:szCs w:val="30"/>
        </w:rPr>
        <w:lastRenderedPageBreak/>
        <w:t>公司，原审第三人由上海九龙山股份有限公司变更为现名称海航创新股份有限公司。本院于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日公开开庭审理了本案，上诉人浙江九龙山国际旅游开发有限公司、</w:t>
      </w:r>
      <w:r>
        <w:rPr>
          <w:rFonts w:hint="eastAsia"/>
          <w:sz w:val="30"/>
          <w:szCs w:val="30"/>
        </w:rPr>
        <w:t>ResortPropertyInternationalLtd.</w:t>
      </w:r>
      <w:r>
        <w:rPr>
          <w:rFonts w:hint="eastAsia"/>
          <w:sz w:val="30"/>
          <w:szCs w:val="30"/>
        </w:rPr>
        <w:t>、</w:t>
      </w:r>
      <w:r>
        <w:rPr>
          <w:rFonts w:hint="eastAsia"/>
          <w:sz w:val="30"/>
          <w:szCs w:val="30"/>
        </w:rPr>
        <w:t>OceanGardenHoldingsLtd.</w:t>
      </w:r>
      <w:r>
        <w:rPr>
          <w:rFonts w:hint="eastAsia"/>
          <w:sz w:val="30"/>
          <w:szCs w:val="30"/>
        </w:rPr>
        <w:t>的委托诉讼代理人，被上诉人海航资产管理集团有限公司的委托诉讼代理人，原审被告沈焜到庭参加诉讼，原审被告李勤夫、杨志凌、顾北亭、李梦强、王世渝、郭辉及原审第三人</w:t>
      </w:r>
      <w:r>
        <w:rPr>
          <w:rFonts w:hint="eastAsia"/>
          <w:sz w:val="30"/>
          <w:szCs w:val="30"/>
        </w:rPr>
        <w:t>海航创新股份有限公司经本院合法传唤，未到庭参加诉讼，本院依法缺席审理。本案现已审理终结。</w:t>
      </w:r>
    </w:p>
    <w:p w:rsidR="00000000" w:rsidRDefault="00584B1F">
      <w:pPr>
        <w:spacing w:line="500" w:lineRule="atLeast"/>
        <w:ind w:firstLine="600"/>
        <w:divId w:val="422536073"/>
        <w:rPr>
          <w:rFonts w:hint="eastAsia"/>
          <w:sz w:val="30"/>
          <w:szCs w:val="30"/>
        </w:rPr>
      </w:pPr>
      <w:r>
        <w:rPr>
          <w:rFonts w:hint="eastAsia"/>
          <w:sz w:val="30"/>
          <w:szCs w:val="30"/>
        </w:rPr>
        <w:t>三上诉人上诉请求：撤销原审判决，发回重审或驳回起诉。事实与理由：一审法院直接依据生效行政判决认定的短线收益归入权及金额，认定相关事实错误。相关行政判决认定的事实不能作为民事案件的预决事实。短线交易归入权应当通过民事途径行使，相关行政判决直接对此作出裁决错误。对于归入权所得收益的计算，应当以相关股权登记日的收盘价和抛出价格的差价计算。原审判决计算的短线收益金额错误。</w:t>
      </w:r>
    </w:p>
    <w:p w:rsidR="00000000" w:rsidRDefault="00584B1F">
      <w:pPr>
        <w:spacing w:line="500" w:lineRule="atLeast"/>
        <w:ind w:firstLine="600"/>
        <w:divId w:val="686559137"/>
        <w:rPr>
          <w:rFonts w:hint="eastAsia"/>
          <w:sz w:val="30"/>
          <w:szCs w:val="30"/>
        </w:rPr>
      </w:pPr>
      <w:r>
        <w:rPr>
          <w:rFonts w:hint="eastAsia"/>
          <w:sz w:val="30"/>
          <w:szCs w:val="30"/>
        </w:rPr>
        <w:t>被上诉人辩称：原审法院依据生效判决认定本案短线交易和收益金额，具有事实和法律依据。上诉人提出的收益金额计算标准没有事实和法律依据。</w:t>
      </w:r>
    </w:p>
    <w:p w:rsidR="00000000" w:rsidRDefault="00584B1F">
      <w:pPr>
        <w:spacing w:line="500" w:lineRule="atLeast"/>
        <w:ind w:firstLine="600"/>
        <w:divId w:val="296302695"/>
        <w:rPr>
          <w:rFonts w:hint="eastAsia"/>
          <w:sz w:val="30"/>
          <w:szCs w:val="30"/>
        </w:rPr>
      </w:pPr>
      <w:r>
        <w:rPr>
          <w:rFonts w:hint="eastAsia"/>
          <w:sz w:val="30"/>
          <w:szCs w:val="30"/>
        </w:rPr>
        <w:t>原审被告沈焜述称：其在担任董事期间，没有召开过追讨短线交易收益事宜的董事会，且其个人曾经发函上诉人追讨短线交易收益，其作为董事对此没有责任。</w:t>
      </w:r>
    </w:p>
    <w:p w:rsidR="00000000" w:rsidRDefault="00584B1F">
      <w:pPr>
        <w:spacing w:line="500" w:lineRule="atLeast"/>
        <w:ind w:firstLine="600"/>
        <w:divId w:val="1872959574"/>
        <w:rPr>
          <w:rFonts w:hint="eastAsia"/>
          <w:sz w:val="30"/>
          <w:szCs w:val="30"/>
        </w:rPr>
      </w:pPr>
      <w:r>
        <w:rPr>
          <w:rFonts w:hint="eastAsia"/>
          <w:sz w:val="30"/>
          <w:szCs w:val="30"/>
        </w:rPr>
        <w:t>原告起诉称：第三人系经核准公开发行股票并上市交易的股份有限公司，中国证券监督管理委员会于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日作出《行政处罚决定书》，认定被告九龙山旅游公司、</w:t>
      </w:r>
      <w:r>
        <w:rPr>
          <w:rFonts w:hint="eastAsia"/>
          <w:sz w:val="30"/>
          <w:szCs w:val="30"/>
        </w:rPr>
        <w:t>ResortProperty</w:t>
      </w:r>
      <w:r>
        <w:rPr>
          <w:rFonts w:hint="eastAsia"/>
          <w:sz w:val="30"/>
          <w:szCs w:val="30"/>
        </w:rPr>
        <w:t>公司、</w:t>
      </w:r>
      <w:r>
        <w:rPr>
          <w:rFonts w:hint="eastAsia"/>
          <w:sz w:val="30"/>
          <w:szCs w:val="30"/>
        </w:rPr>
        <w:t>OceanGarden</w:t>
      </w:r>
      <w:r>
        <w:rPr>
          <w:rFonts w:hint="eastAsia"/>
          <w:sz w:val="30"/>
          <w:szCs w:val="30"/>
        </w:rPr>
        <w:t>公司在完成受让案外人日本</w:t>
      </w:r>
      <w:r>
        <w:rPr>
          <w:rFonts w:hint="eastAsia"/>
          <w:sz w:val="30"/>
          <w:szCs w:val="30"/>
        </w:rPr>
        <w:t>松冈株式会社所持第三人股票后，</w:t>
      </w:r>
      <w:r>
        <w:rPr>
          <w:rFonts w:hint="eastAsia"/>
          <w:sz w:val="30"/>
          <w:szCs w:val="30"/>
        </w:rPr>
        <w:t>6</w:t>
      </w:r>
      <w:r>
        <w:rPr>
          <w:rFonts w:hint="eastAsia"/>
          <w:sz w:val="30"/>
          <w:szCs w:val="30"/>
        </w:rPr>
        <w:t>个月内共减持</w:t>
      </w:r>
      <w:r>
        <w:rPr>
          <w:rFonts w:hint="eastAsia"/>
          <w:sz w:val="30"/>
          <w:szCs w:val="30"/>
        </w:rPr>
        <w:t>A</w:t>
      </w:r>
      <w:r>
        <w:rPr>
          <w:rFonts w:hint="eastAsia"/>
          <w:sz w:val="30"/>
          <w:szCs w:val="30"/>
        </w:rPr>
        <w:t>股</w:t>
      </w:r>
      <w:r>
        <w:rPr>
          <w:rFonts w:hint="eastAsia"/>
          <w:sz w:val="30"/>
          <w:szCs w:val="30"/>
        </w:rPr>
        <w:t>31,892,500</w:t>
      </w:r>
      <w:r>
        <w:rPr>
          <w:rFonts w:hint="eastAsia"/>
          <w:sz w:val="30"/>
          <w:szCs w:val="30"/>
        </w:rPr>
        <w:t>股，</w:t>
      </w:r>
      <w:r>
        <w:rPr>
          <w:rFonts w:hint="eastAsia"/>
          <w:sz w:val="30"/>
          <w:szCs w:val="30"/>
        </w:rPr>
        <w:t>B</w:t>
      </w:r>
      <w:r>
        <w:rPr>
          <w:rFonts w:hint="eastAsia"/>
          <w:sz w:val="30"/>
          <w:szCs w:val="30"/>
        </w:rPr>
        <w:t>股</w:t>
      </w:r>
      <w:r>
        <w:rPr>
          <w:rFonts w:hint="eastAsia"/>
          <w:sz w:val="30"/>
          <w:szCs w:val="30"/>
        </w:rPr>
        <w:t>41,716,867</w:t>
      </w:r>
      <w:r>
        <w:rPr>
          <w:rFonts w:hint="eastAsia"/>
          <w:sz w:val="30"/>
          <w:szCs w:val="30"/>
        </w:rPr>
        <w:t>股，分别盈利人民币</w:t>
      </w:r>
      <w:r>
        <w:rPr>
          <w:rFonts w:hint="eastAsia"/>
          <w:sz w:val="30"/>
          <w:szCs w:val="30"/>
        </w:rPr>
        <w:t>84,436,801.34</w:t>
      </w:r>
      <w:r>
        <w:rPr>
          <w:rFonts w:hint="eastAsia"/>
          <w:sz w:val="30"/>
          <w:szCs w:val="30"/>
        </w:rPr>
        <w:t>元，</w:t>
      </w:r>
      <w:r>
        <w:rPr>
          <w:rFonts w:hint="eastAsia"/>
          <w:sz w:val="30"/>
          <w:szCs w:val="30"/>
        </w:rPr>
        <w:t>21,875,496.15</w:t>
      </w:r>
      <w:r>
        <w:rPr>
          <w:rFonts w:hint="eastAsia"/>
          <w:sz w:val="30"/>
          <w:szCs w:val="30"/>
        </w:rPr>
        <w:t>美元，责成第三人董事会向被告九龙山旅游公司等追讨短线交易收益。但第三人董事会未予追讨。故请求判令被告九龙山旅游公司向第三人支付短线交易收益人民币</w:t>
      </w:r>
      <w:r>
        <w:rPr>
          <w:rFonts w:hint="eastAsia"/>
          <w:sz w:val="30"/>
          <w:szCs w:val="30"/>
        </w:rPr>
        <w:t>84,436,801.34</w:t>
      </w:r>
      <w:r>
        <w:rPr>
          <w:rFonts w:hint="eastAsia"/>
          <w:sz w:val="30"/>
          <w:szCs w:val="30"/>
        </w:rPr>
        <w:t>元；被告</w:t>
      </w:r>
      <w:r>
        <w:rPr>
          <w:rFonts w:hint="eastAsia"/>
          <w:sz w:val="30"/>
          <w:szCs w:val="30"/>
        </w:rPr>
        <w:t>ResortProperty</w:t>
      </w:r>
      <w:r>
        <w:rPr>
          <w:rFonts w:hint="eastAsia"/>
          <w:sz w:val="30"/>
          <w:szCs w:val="30"/>
        </w:rPr>
        <w:t>公司向第三人支付短线交易收益</w:t>
      </w:r>
      <w:r>
        <w:rPr>
          <w:rFonts w:hint="eastAsia"/>
          <w:sz w:val="30"/>
          <w:szCs w:val="30"/>
        </w:rPr>
        <w:t>19,157,936.40</w:t>
      </w:r>
      <w:r>
        <w:rPr>
          <w:rFonts w:hint="eastAsia"/>
          <w:sz w:val="30"/>
          <w:szCs w:val="30"/>
        </w:rPr>
        <w:t>美元；被告</w:t>
      </w:r>
      <w:r>
        <w:rPr>
          <w:rFonts w:hint="eastAsia"/>
          <w:sz w:val="30"/>
          <w:szCs w:val="30"/>
        </w:rPr>
        <w:t>OceanGarden</w:t>
      </w:r>
      <w:r>
        <w:rPr>
          <w:rFonts w:hint="eastAsia"/>
          <w:sz w:val="30"/>
          <w:szCs w:val="30"/>
        </w:rPr>
        <w:t>公司向第三人支付短线交易收益</w:t>
      </w:r>
      <w:r>
        <w:rPr>
          <w:rFonts w:hint="eastAsia"/>
          <w:sz w:val="30"/>
          <w:szCs w:val="30"/>
        </w:rPr>
        <w:t>2,717,559.7</w:t>
      </w:r>
      <w:r>
        <w:rPr>
          <w:rFonts w:hint="eastAsia"/>
          <w:sz w:val="30"/>
          <w:szCs w:val="30"/>
        </w:rPr>
        <w:t>5</w:t>
      </w:r>
      <w:r>
        <w:rPr>
          <w:rFonts w:hint="eastAsia"/>
          <w:sz w:val="30"/>
          <w:szCs w:val="30"/>
        </w:rPr>
        <w:t>美元；其余被告对上述债务承担连带责任。</w:t>
      </w:r>
    </w:p>
    <w:p w:rsidR="00000000" w:rsidRDefault="00584B1F">
      <w:pPr>
        <w:spacing w:line="500" w:lineRule="atLeast"/>
        <w:ind w:firstLine="600"/>
        <w:divId w:val="933434672"/>
        <w:rPr>
          <w:rFonts w:hint="eastAsia"/>
          <w:sz w:val="30"/>
          <w:szCs w:val="30"/>
        </w:rPr>
      </w:pPr>
      <w:r>
        <w:rPr>
          <w:rFonts w:hint="eastAsia"/>
          <w:sz w:val="30"/>
          <w:szCs w:val="30"/>
        </w:rPr>
        <w:t>原审法院查明事实如下：</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日，中国证券监督管理委员会作出</w:t>
      </w:r>
      <w:r>
        <w:rPr>
          <w:rFonts w:hint="eastAsia"/>
          <w:sz w:val="30"/>
          <w:szCs w:val="30"/>
        </w:rPr>
        <w:t>[2011]54</w:t>
      </w:r>
      <w:r>
        <w:rPr>
          <w:rFonts w:hint="eastAsia"/>
          <w:sz w:val="30"/>
          <w:szCs w:val="30"/>
        </w:rPr>
        <w:t>号行政处罚决定书，认定第三人于</w:t>
      </w:r>
      <w:r>
        <w:rPr>
          <w:rFonts w:hint="eastAsia"/>
          <w:sz w:val="30"/>
          <w:szCs w:val="30"/>
        </w:rPr>
        <w:t>2006</w:t>
      </w:r>
      <w:r>
        <w:rPr>
          <w:rFonts w:hint="eastAsia"/>
          <w:sz w:val="30"/>
          <w:szCs w:val="30"/>
        </w:rPr>
        <w:t>年</w:t>
      </w:r>
      <w:r>
        <w:rPr>
          <w:rFonts w:hint="eastAsia"/>
          <w:sz w:val="30"/>
          <w:szCs w:val="30"/>
        </w:rPr>
        <w:t>2</w:t>
      </w:r>
      <w:r>
        <w:rPr>
          <w:rFonts w:hint="eastAsia"/>
          <w:sz w:val="30"/>
          <w:szCs w:val="30"/>
        </w:rPr>
        <w:t>月实施股权分置改革，原控股股东日本松冈株式会社</w:t>
      </w:r>
      <w:r>
        <w:rPr>
          <w:rFonts w:hint="eastAsia"/>
          <w:sz w:val="30"/>
          <w:szCs w:val="30"/>
        </w:rPr>
        <w:t>(</w:t>
      </w:r>
      <w:r>
        <w:rPr>
          <w:rFonts w:hint="eastAsia"/>
          <w:sz w:val="30"/>
          <w:szCs w:val="30"/>
        </w:rPr>
        <w:t>以下简称日本松冈公司</w:t>
      </w:r>
      <w:r>
        <w:rPr>
          <w:rFonts w:hint="eastAsia"/>
          <w:sz w:val="30"/>
          <w:szCs w:val="30"/>
        </w:rPr>
        <w:t>)</w:t>
      </w:r>
      <w:r>
        <w:rPr>
          <w:rFonts w:hint="eastAsia"/>
          <w:sz w:val="30"/>
          <w:szCs w:val="30"/>
        </w:rPr>
        <w:t>同意将其持有的第三人</w:t>
      </w:r>
      <w:r>
        <w:rPr>
          <w:rFonts w:hint="eastAsia"/>
          <w:sz w:val="30"/>
          <w:szCs w:val="30"/>
        </w:rPr>
        <w:t>66,254,198</w:t>
      </w:r>
      <w:r>
        <w:rPr>
          <w:rFonts w:hint="eastAsia"/>
          <w:sz w:val="30"/>
          <w:szCs w:val="30"/>
        </w:rPr>
        <w:t>股境外法人股</w:t>
      </w:r>
      <w:r>
        <w:rPr>
          <w:rFonts w:hint="eastAsia"/>
          <w:sz w:val="30"/>
          <w:szCs w:val="30"/>
        </w:rPr>
        <w:t>(</w:t>
      </w:r>
      <w:r>
        <w:rPr>
          <w:rFonts w:hint="eastAsia"/>
          <w:sz w:val="30"/>
          <w:szCs w:val="30"/>
        </w:rPr>
        <w:t>占股本总额的</w:t>
      </w:r>
      <w:r>
        <w:rPr>
          <w:rFonts w:hint="eastAsia"/>
          <w:sz w:val="30"/>
          <w:szCs w:val="30"/>
        </w:rPr>
        <w:t>15.25%)</w:t>
      </w:r>
      <w:r>
        <w:rPr>
          <w:rFonts w:hint="eastAsia"/>
          <w:sz w:val="30"/>
          <w:szCs w:val="30"/>
        </w:rPr>
        <w:t>全部转让给平湖茉织华实业发展有限公司</w:t>
      </w:r>
      <w:r>
        <w:rPr>
          <w:rFonts w:hint="eastAsia"/>
          <w:sz w:val="30"/>
          <w:szCs w:val="30"/>
        </w:rPr>
        <w:t>(</w:t>
      </w:r>
      <w:r>
        <w:rPr>
          <w:rFonts w:hint="eastAsia"/>
          <w:sz w:val="30"/>
          <w:szCs w:val="30"/>
        </w:rPr>
        <w:t>现已更名为平湖九龙山海湾度假城休闲服务有限公司，以下简称平湖休闲公司</w:t>
      </w:r>
      <w:r>
        <w:rPr>
          <w:rFonts w:hint="eastAsia"/>
          <w:sz w:val="30"/>
          <w:szCs w:val="30"/>
        </w:rPr>
        <w:t>)</w:t>
      </w:r>
      <w:r>
        <w:rPr>
          <w:rFonts w:hint="eastAsia"/>
          <w:sz w:val="30"/>
          <w:szCs w:val="30"/>
        </w:rPr>
        <w:t>或李勤夫指定的境内外公司。</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日，日本松冈公司、案外人日本野村证券有</w:t>
      </w:r>
      <w:r>
        <w:rPr>
          <w:rFonts w:hint="eastAsia"/>
          <w:sz w:val="30"/>
          <w:szCs w:val="30"/>
        </w:rPr>
        <w:t>限公司与被告</w:t>
      </w:r>
      <w:r>
        <w:rPr>
          <w:rFonts w:hint="eastAsia"/>
          <w:sz w:val="30"/>
          <w:szCs w:val="30"/>
        </w:rPr>
        <w:t>ResortProperty</w:t>
      </w:r>
      <w:r>
        <w:rPr>
          <w:rFonts w:hint="eastAsia"/>
          <w:sz w:val="30"/>
          <w:szCs w:val="30"/>
        </w:rPr>
        <w:t>公司、</w:t>
      </w:r>
      <w:r>
        <w:rPr>
          <w:rFonts w:hint="eastAsia"/>
          <w:sz w:val="30"/>
          <w:szCs w:val="30"/>
        </w:rPr>
        <w:t>OceanGarden</w:t>
      </w:r>
      <w:r>
        <w:rPr>
          <w:rFonts w:hint="eastAsia"/>
          <w:sz w:val="30"/>
          <w:szCs w:val="30"/>
        </w:rPr>
        <w:t>公司分别签订股权转让协议，日本松冈公司将第三人</w:t>
      </w:r>
      <w:r>
        <w:rPr>
          <w:rFonts w:hint="eastAsia"/>
          <w:sz w:val="30"/>
          <w:szCs w:val="30"/>
        </w:rPr>
        <w:t>48,380,000</w:t>
      </w:r>
      <w:r>
        <w:rPr>
          <w:rFonts w:hint="eastAsia"/>
          <w:sz w:val="30"/>
          <w:szCs w:val="30"/>
        </w:rPr>
        <w:t>股</w:t>
      </w:r>
      <w:r>
        <w:rPr>
          <w:rFonts w:hint="eastAsia"/>
          <w:sz w:val="30"/>
          <w:szCs w:val="30"/>
        </w:rPr>
        <w:t>B</w:t>
      </w:r>
      <w:r>
        <w:rPr>
          <w:rFonts w:hint="eastAsia"/>
          <w:sz w:val="30"/>
          <w:szCs w:val="30"/>
        </w:rPr>
        <w:t>股转让给被告</w:t>
      </w:r>
      <w:r>
        <w:rPr>
          <w:rFonts w:hint="eastAsia"/>
          <w:sz w:val="30"/>
          <w:szCs w:val="30"/>
        </w:rPr>
        <w:t>ResortProperty</w:t>
      </w:r>
      <w:r>
        <w:rPr>
          <w:rFonts w:hint="eastAsia"/>
          <w:sz w:val="30"/>
          <w:szCs w:val="30"/>
        </w:rPr>
        <w:t>公司，将</w:t>
      </w:r>
      <w:r>
        <w:rPr>
          <w:rFonts w:hint="eastAsia"/>
          <w:sz w:val="30"/>
          <w:szCs w:val="30"/>
        </w:rPr>
        <w:t>40,000,000</w:t>
      </w:r>
      <w:r>
        <w:rPr>
          <w:rFonts w:hint="eastAsia"/>
          <w:sz w:val="30"/>
          <w:szCs w:val="30"/>
        </w:rPr>
        <w:t>股</w:t>
      </w:r>
      <w:r>
        <w:rPr>
          <w:rFonts w:hint="eastAsia"/>
          <w:sz w:val="30"/>
          <w:szCs w:val="30"/>
        </w:rPr>
        <w:t>B</w:t>
      </w:r>
      <w:r>
        <w:rPr>
          <w:rFonts w:hint="eastAsia"/>
          <w:sz w:val="30"/>
          <w:szCs w:val="30"/>
        </w:rPr>
        <w:t>股转让给</w:t>
      </w:r>
      <w:r>
        <w:rPr>
          <w:rFonts w:hint="eastAsia"/>
          <w:sz w:val="30"/>
          <w:szCs w:val="30"/>
        </w:rPr>
        <w:t>OceanGarden</w:t>
      </w:r>
      <w:r>
        <w:rPr>
          <w:rFonts w:hint="eastAsia"/>
          <w:sz w:val="30"/>
          <w:szCs w:val="30"/>
        </w:rPr>
        <w:t>公司，转让价格为每股</w:t>
      </w:r>
      <w:r>
        <w:rPr>
          <w:rFonts w:hint="eastAsia"/>
          <w:sz w:val="30"/>
          <w:szCs w:val="30"/>
        </w:rPr>
        <w:t>0.29</w:t>
      </w:r>
      <w:r>
        <w:rPr>
          <w:rFonts w:hint="eastAsia"/>
          <w:sz w:val="30"/>
          <w:szCs w:val="30"/>
        </w:rPr>
        <w:t>美元。</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日，日本松冈公司与被告九龙山旅游公司签订《转让上海九龙山股份有限公司</w:t>
      </w:r>
      <w:r>
        <w:rPr>
          <w:rFonts w:hint="eastAsia"/>
          <w:sz w:val="30"/>
          <w:szCs w:val="30"/>
        </w:rPr>
        <w:t>66,254,198</w:t>
      </w:r>
      <w:r>
        <w:rPr>
          <w:rFonts w:hint="eastAsia"/>
          <w:sz w:val="30"/>
          <w:szCs w:val="30"/>
        </w:rPr>
        <w:t>股</w:t>
      </w:r>
      <w:r>
        <w:rPr>
          <w:rFonts w:hint="eastAsia"/>
          <w:sz w:val="30"/>
          <w:szCs w:val="30"/>
        </w:rPr>
        <w:t>A</w:t>
      </w:r>
      <w:r>
        <w:rPr>
          <w:rFonts w:hint="eastAsia"/>
          <w:sz w:val="30"/>
          <w:szCs w:val="30"/>
        </w:rPr>
        <w:t>股之股份转让协议》，日本松冈公司将第三人</w:t>
      </w:r>
      <w:r>
        <w:rPr>
          <w:rFonts w:hint="eastAsia"/>
          <w:sz w:val="30"/>
          <w:szCs w:val="30"/>
        </w:rPr>
        <w:t>66,254,198</w:t>
      </w:r>
      <w:r>
        <w:rPr>
          <w:rFonts w:hint="eastAsia"/>
          <w:sz w:val="30"/>
          <w:szCs w:val="30"/>
        </w:rPr>
        <w:t>股境外法人股转让给被告九龙山旅游公司，转让价格为每股</w:t>
      </w:r>
      <w:r>
        <w:rPr>
          <w:rFonts w:hint="eastAsia"/>
          <w:sz w:val="30"/>
          <w:szCs w:val="30"/>
        </w:rPr>
        <w:t>3.29</w:t>
      </w:r>
      <w:r>
        <w:rPr>
          <w:rFonts w:hint="eastAsia"/>
          <w:sz w:val="30"/>
          <w:szCs w:val="30"/>
        </w:rPr>
        <w:t>元。</w:t>
      </w:r>
      <w:r>
        <w:rPr>
          <w:rFonts w:hint="eastAsia"/>
          <w:sz w:val="30"/>
          <w:szCs w:val="30"/>
        </w:rPr>
        <w:t>2</w:t>
      </w:r>
      <w:r>
        <w:rPr>
          <w:rFonts w:hint="eastAsia"/>
          <w:sz w:val="30"/>
          <w:szCs w:val="30"/>
        </w:rPr>
        <w:t>008</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日，商务部批准上述第三人</w:t>
      </w:r>
      <w:r>
        <w:rPr>
          <w:rFonts w:hint="eastAsia"/>
          <w:sz w:val="30"/>
          <w:szCs w:val="30"/>
        </w:rPr>
        <w:t>A</w:t>
      </w:r>
      <w:r>
        <w:rPr>
          <w:rFonts w:hint="eastAsia"/>
          <w:sz w:val="30"/>
          <w:szCs w:val="30"/>
        </w:rPr>
        <w:t>股股权转让，</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日，中国证监会核准豁免上述三被告及平湖休闲公司的要约收购义务，</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日，完成过户手续。</w:t>
      </w:r>
    </w:p>
    <w:p w:rsidR="00000000" w:rsidRDefault="00584B1F">
      <w:pPr>
        <w:spacing w:line="500" w:lineRule="atLeast"/>
        <w:ind w:firstLine="600"/>
        <w:divId w:val="1878155859"/>
        <w:rPr>
          <w:rFonts w:hint="eastAsia"/>
          <w:sz w:val="30"/>
          <w:szCs w:val="30"/>
        </w:rPr>
      </w:pP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日，被告九龙山旅游公司持有的</w:t>
      </w:r>
      <w:r>
        <w:rPr>
          <w:rFonts w:hint="eastAsia"/>
          <w:sz w:val="30"/>
          <w:szCs w:val="30"/>
        </w:rPr>
        <w:t>132,508,396</w:t>
      </w:r>
      <w:r>
        <w:rPr>
          <w:rFonts w:hint="eastAsia"/>
          <w:sz w:val="30"/>
          <w:szCs w:val="30"/>
        </w:rPr>
        <w:t>股第三人</w:t>
      </w:r>
      <w:r>
        <w:rPr>
          <w:rFonts w:hint="eastAsia"/>
          <w:sz w:val="30"/>
          <w:szCs w:val="30"/>
        </w:rPr>
        <w:t>A</w:t>
      </w:r>
      <w:r>
        <w:rPr>
          <w:rFonts w:hint="eastAsia"/>
          <w:sz w:val="30"/>
          <w:szCs w:val="30"/>
        </w:rPr>
        <w:t>股上市流通，同日被告九龙山旅游公司开始通过集中竞价交易和大宗交易减持该股，</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日至</w:t>
      </w:r>
      <w:r>
        <w:rPr>
          <w:rFonts w:hint="eastAsia"/>
          <w:sz w:val="30"/>
          <w:szCs w:val="30"/>
        </w:rPr>
        <w:t>6</w:t>
      </w:r>
      <w:r>
        <w:rPr>
          <w:rFonts w:hint="eastAsia"/>
          <w:sz w:val="30"/>
          <w:szCs w:val="30"/>
        </w:rPr>
        <w:t>月</w:t>
      </w:r>
      <w:r>
        <w:rPr>
          <w:rFonts w:hint="eastAsia"/>
          <w:sz w:val="30"/>
          <w:szCs w:val="30"/>
        </w:rPr>
        <w:t>5</w:t>
      </w:r>
      <w:r>
        <w:rPr>
          <w:rFonts w:hint="eastAsia"/>
          <w:sz w:val="30"/>
          <w:szCs w:val="30"/>
        </w:rPr>
        <w:t>日，被告九龙山旅游公司合计减持第三人</w:t>
      </w:r>
      <w:r>
        <w:rPr>
          <w:rFonts w:hint="eastAsia"/>
          <w:sz w:val="30"/>
          <w:szCs w:val="30"/>
        </w:rPr>
        <w:t>A</w:t>
      </w:r>
      <w:r>
        <w:rPr>
          <w:rFonts w:hint="eastAsia"/>
          <w:sz w:val="30"/>
          <w:szCs w:val="30"/>
        </w:rPr>
        <w:t>股</w:t>
      </w:r>
      <w:r>
        <w:rPr>
          <w:rFonts w:hint="eastAsia"/>
          <w:sz w:val="30"/>
          <w:szCs w:val="30"/>
        </w:rPr>
        <w:t>31,892,500</w:t>
      </w:r>
      <w:r>
        <w:rPr>
          <w:rFonts w:hint="eastAsia"/>
          <w:sz w:val="30"/>
          <w:szCs w:val="30"/>
        </w:rPr>
        <w:t>股，净盈利</w:t>
      </w:r>
      <w:r>
        <w:rPr>
          <w:rFonts w:hint="eastAsia"/>
          <w:sz w:val="30"/>
          <w:szCs w:val="30"/>
        </w:rPr>
        <w:t>84,436,801.34</w:t>
      </w:r>
      <w:r>
        <w:rPr>
          <w:rFonts w:hint="eastAsia"/>
          <w:sz w:val="30"/>
          <w:szCs w:val="30"/>
        </w:rPr>
        <w:t>元，被告九龙山旅游公司减持前持股比例为</w:t>
      </w:r>
      <w:r>
        <w:rPr>
          <w:rFonts w:hint="eastAsia"/>
          <w:sz w:val="30"/>
          <w:szCs w:val="30"/>
        </w:rPr>
        <w:t>15.25%</w:t>
      </w:r>
      <w:r>
        <w:rPr>
          <w:rFonts w:hint="eastAsia"/>
          <w:sz w:val="30"/>
          <w:szCs w:val="30"/>
        </w:rPr>
        <w:t>，减持后持股比例为</w:t>
      </w:r>
      <w:r>
        <w:rPr>
          <w:rFonts w:hint="eastAsia"/>
          <w:sz w:val="30"/>
          <w:szCs w:val="30"/>
        </w:rPr>
        <w:t>11.58%</w:t>
      </w:r>
      <w:r>
        <w:rPr>
          <w:rFonts w:hint="eastAsia"/>
          <w:sz w:val="30"/>
          <w:szCs w:val="30"/>
        </w:rPr>
        <w:t>。</w:t>
      </w:r>
    </w:p>
    <w:p w:rsidR="00000000" w:rsidRDefault="00584B1F">
      <w:pPr>
        <w:spacing w:line="500" w:lineRule="atLeast"/>
        <w:ind w:firstLine="600"/>
        <w:divId w:val="969095293"/>
        <w:rPr>
          <w:rFonts w:hint="eastAsia"/>
          <w:sz w:val="30"/>
          <w:szCs w:val="30"/>
        </w:rPr>
      </w:pPr>
      <w:r>
        <w:rPr>
          <w:rFonts w:hint="eastAsia"/>
          <w:sz w:val="30"/>
          <w:szCs w:val="30"/>
        </w:rPr>
        <w:t>自</w:t>
      </w:r>
      <w:r>
        <w:rPr>
          <w:rFonts w:hint="eastAsia"/>
          <w:sz w:val="30"/>
          <w:szCs w:val="30"/>
        </w:rPr>
        <w:t>2009</w:t>
      </w:r>
      <w:r>
        <w:rPr>
          <w:rFonts w:hint="eastAsia"/>
          <w:sz w:val="30"/>
          <w:szCs w:val="30"/>
        </w:rPr>
        <w:t>年</w:t>
      </w:r>
      <w:r>
        <w:rPr>
          <w:rFonts w:hint="eastAsia"/>
          <w:sz w:val="30"/>
          <w:szCs w:val="30"/>
        </w:rPr>
        <w:t>2</w:t>
      </w:r>
      <w:r>
        <w:rPr>
          <w:rFonts w:hint="eastAsia"/>
          <w:sz w:val="30"/>
          <w:szCs w:val="30"/>
        </w:rPr>
        <w:t>月起，被告</w:t>
      </w:r>
      <w:r>
        <w:rPr>
          <w:rFonts w:hint="eastAsia"/>
          <w:sz w:val="30"/>
          <w:szCs w:val="30"/>
        </w:rPr>
        <w:t>ResortProperty</w:t>
      </w:r>
      <w:r>
        <w:rPr>
          <w:rFonts w:hint="eastAsia"/>
          <w:sz w:val="30"/>
          <w:szCs w:val="30"/>
        </w:rPr>
        <w:t>公司、</w:t>
      </w:r>
      <w:r>
        <w:rPr>
          <w:rFonts w:hint="eastAsia"/>
          <w:sz w:val="30"/>
          <w:szCs w:val="30"/>
        </w:rPr>
        <w:t>OceanGarden</w:t>
      </w:r>
      <w:r>
        <w:rPr>
          <w:rFonts w:hint="eastAsia"/>
          <w:sz w:val="30"/>
          <w:szCs w:val="30"/>
        </w:rPr>
        <w:t>公司开始减持第三人</w:t>
      </w:r>
      <w:r>
        <w:rPr>
          <w:rFonts w:hint="eastAsia"/>
          <w:sz w:val="30"/>
          <w:szCs w:val="30"/>
        </w:rPr>
        <w:t>B</w:t>
      </w:r>
      <w:r>
        <w:rPr>
          <w:rFonts w:hint="eastAsia"/>
          <w:sz w:val="30"/>
          <w:szCs w:val="30"/>
        </w:rPr>
        <w:t>股股票，被告</w:t>
      </w:r>
      <w:r>
        <w:rPr>
          <w:rFonts w:hint="eastAsia"/>
          <w:sz w:val="30"/>
          <w:szCs w:val="30"/>
        </w:rPr>
        <w:t>ResortProperty</w:t>
      </w:r>
      <w:r>
        <w:rPr>
          <w:rFonts w:hint="eastAsia"/>
          <w:sz w:val="30"/>
          <w:szCs w:val="30"/>
        </w:rPr>
        <w:t>公司于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日至</w:t>
      </w:r>
      <w:r>
        <w:rPr>
          <w:rFonts w:hint="eastAsia"/>
          <w:sz w:val="30"/>
          <w:szCs w:val="30"/>
        </w:rPr>
        <w:t>7</w:t>
      </w:r>
      <w:r>
        <w:rPr>
          <w:rFonts w:hint="eastAsia"/>
          <w:sz w:val="30"/>
          <w:szCs w:val="30"/>
        </w:rPr>
        <w:t>月</w:t>
      </w:r>
      <w:r>
        <w:rPr>
          <w:rFonts w:hint="eastAsia"/>
          <w:sz w:val="30"/>
          <w:szCs w:val="30"/>
        </w:rPr>
        <w:t>10</w:t>
      </w:r>
      <w:r>
        <w:rPr>
          <w:rFonts w:hint="eastAsia"/>
          <w:sz w:val="30"/>
          <w:szCs w:val="30"/>
        </w:rPr>
        <w:t>日期间，合计减持第三人</w:t>
      </w:r>
      <w:r>
        <w:rPr>
          <w:rFonts w:hint="eastAsia"/>
          <w:sz w:val="30"/>
          <w:szCs w:val="30"/>
        </w:rPr>
        <w:t>B</w:t>
      </w:r>
      <w:r>
        <w:rPr>
          <w:rFonts w:hint="eastAsia"/>
          <w:sz w:val="30"/>
          <w:szCs w:val="30"/>
        </w:rPr>
        <w:t>股</w:t>
      </w:r>
      <w:r>
        <w:rPr>
          <w:rFonts w:hint="eastAsia"/>
          <w:sz w:val="30"/>
          <w:szCs w:val="30"/>
        </w:rPr>
        <w:t>34,523,217</w:t>
      </w:r>
      <w:r>
        <w:rPr>
          <w:rFonts w:hint="eastAsia"/>
          <w:sz w:val="30"/>
          <w:szCs w:val="30"/>
        </w:rPr>
        <w:t>股，盈利</w:t>
      </w:r>
      <w:r>
        <w:rPr>
          <w:rFonts w:hint="eastAsia"/>
          <w:sz w:val="30"/>
          <w:szCs w:val="30"/>
        </w:rPr>
        <w:t>19,157,936.40</w:t>
      </w:r>
      <w:r>
        <w:rPr>
          <w:rFonts w:hint="eastAsia"/>
          <w:sz w:val="30"/>
          <w:szCs w:val="30"/>
        </w:rPr>
        <w:t>美元，被告</w:t>
      </w:r>
      <w:r>
        <w:rPr>
          <w:rFonts w:hint="eastAsia"/>
          <w:sz w:val="30"/>
          <w:szCs w:val="30"/>
        </w:rPr>
        <w:t>ResortProperty</w:t>
      </w:r>
      <w:r>
        <w:rPr>
          <w:rFonts w:hint="eastAsia"/>
          <w:sz w:val="30"/>
          <w:szCs w:val="30"/>
        </w:rPr>
        <w:t>公司减持前持股比例为</w:t>
      </w:r>
      <w:r>
        <w:rPr>
          <w:rFonts w:hint="eastAsia"/>
          <w:sz w:val="30"/>
          <w:szCs w:val="30"/>
        </w:rPr>
        <w:t>11.13%</w:t>
      </w:r>
      <w:r>
        <w:rPr>
          <w:rFonts w:hint="eastAsia"/>
          <w:sz w:val="30"/>
          <w:szCs w:val="30"/>
        </w:rPr>
        <w:t>，减持后持股比例为</w:t>
      </w:r>
      <w:r>
        <w:rPr>
          <w:rFonts w:hint="eastAsia"/>
          <w:sz w:val="30"/>
          <w:szCs w:val="30"/>
        </w:rPr>
        <w:t>7.16%</w:t>
      </w:r>
      <w:r>
        <w:rPr>
          <w:rFonts w:hint="eastAsia"/>
          <w:sz w:val="30"/>
          <w:szCs w:val="30"/>
        </w:rPr>
        <w:t>。被告</w:t>
      </w:r>
      <w:r>
        <w:rPr>
          <w:rFonts w:hint="eastAsia"/>
          <w:sz w:val="30"/>
          <w:szCs w:val="30"/>
        </w:rPr>
        <w:t>OceanGarden</w:t>
      </w:r>
      <w:r>
        <w:rPr>
          <w:rFonts w:hint="eastAsia"/>
          <w:sz w:val="30"/>
          <w:szCs w:val="30"/>
        </w:rPr>
        <w:t>公司于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日至</w:t>
      </w:r>
      <w:r>
        <w:rPr>
          <w:rFonts w:hint="eastAsia"/>
          <w:sz w:val="30"/>
          <w:szCs w:val="30"/>
        </w:rPr>
        <w:t>6</w:t>
      </w:r>
      <w:r>
        <w:rPr>
          <w:rFonts w:hint="eastAsia"/>
          <w:sz w:val="30"/>
          <w:szCs w:val="30"/>
        </w:rPr>
        <w:t>月</w:t>
      </w:r>
      <w:r>
        <w:rPr>
          <w:rFonts w:hint="eastAsia"/>
          <w:sz w:val="30"/>
          <w:szCs w:val="30"/>
        </w:rPr>
        <w:t>22</w:t>
      </w:r>
      <w:r>
        <w:rPr>
          <w:rFonts w:hint="eastAsia"/>
          <w:sz w:val="30"/>
          <w:szCs w:val="30"/>
        </w:rPr>
        <w:t>日期间，合计减持第三人</w:t>
      </w:r>
      <w:r>
        <w:rPr>
          <w:rFonts w:hint="eastAsia"/>
          <w:sz w:val="30"/>
          <w:szCs w:val="30"/>
        </w:rPr>
        <w:t>B</w:t>
      </w:r>
      <w:r>
        <w:rPr>
          <w:rFonts w:hint="eastAsia"/>
          <w:sz w:val="30"/>
          <w:szCs w:val="30"/>
        </w:rPr>
        <w:t>股</w:t>
      </w:r>
      <w:r>
        <w:rPr>
          <w:rFonts w:hint="eastAsia"/>
          <w:sz w:val="30"/>
          <w:szCs w:val="30"/>
        </w:rPr>
        <w:t>7,193,650</w:t>
      </w:r>
      <w:r>
        <w:rPr>
          <w:rFonts w:hint="eastAsia"/>
          <w:sz w:val="30"/>
          <w:szCs w:val="30"/>
        </w:rPr>
        <w:t>股，盈利</w:t>
      </w:r>
      <w:r>
        <w:rPr>
          <w:rFonts w:hint="eastAsia"/>
          <w:sz w:val="30"/>
          <w:szCs w:val="30"/>
        </w:rPr>
        <w:t>2,717,559.75</w:t>
      </w:r>
      <w:r>
        <w:rPr>
          <w:rFonts w:hint="eastAsia"/>
          <w:sz w:val="30"/>
          <w:szCs w:val="30"/>
        </w:rPr>
        <w:t>美</w:t>
      </w:r>
      <w:r>
        <w:rPr>
          <w:rFonts w:hint="eastAsia"/>
          <w:sz w:val="30"/>
          <w:szCs w:val="30"/>
        </w:rPr>
        <w:t>元，被告</w:t>
      </w:r>
      <w:r>
        <w:rPr>
          <w:rFonts w:hint="eastAsia"/>
          <w:sz w:val="30"/>
          <w:szCs w:val="30"/>
        </w:rPr>
        <w:t>OceanGarden</w:t>
      </w:r>
      <w:r>
        <w:rPr>
          <w:rFonts w:hint="eastAsia"/>
          <w:sz w:val="30"/>
          <w:szCs w:val="30"/>
        </w:rPr>
        <w:t>公司减持前持股比例为</w:t>
      </w:r>
      <w:r>
        <w:rPr>
          <w:rFonts w:hint="eastAsia"/>
          <w:sz w:val="30"/>
          <w:szCs w:val="30"/>
        </w:rPr>
        <w:t>9.21%</w:t>
      </w:r>
      <w:r>
        <w:rPr>
          <w:rFonts w:hint="eastAsia"/>
          <w:sz w:val="30"/>
          <w:szCs w:val="30"/>
        </w:rPr>
        <w:t>，减持后持股比例为</w:t>
      </w:r>
      <w:r>
        <w:rPr>
          <w:rFonts w:hint="eastAsia"/>
          <w:sz w:val="30"/>
          <w:szCs w:val="30"/>
        </w:rPr>
        <w:t>8.38%</w:t>
      </w:r>
      <w:r>
        <w:rPr>
          <w:rFonts w:hint="eastAsia"/>
          <w:sz w:val="30"/>
          <w:szCs w:val="30"/>
        </w:rPr>
        <w:t>。</w:t>
      </w:r>
    </w:p>
    <w:p w:rsidR="00000000" w:rsidRDefault="00584B1F">
      <w:pPr>
        <w:spacing w:line="500" w:lineRule="atLeast"/>
        <w:ind w:firstLine="600"/>
        <w:divId w:val="816871871"/>
        <w:rPr>
          <w:rFonts w:hint="eastAsia"/>
          <w:sz w:val="30"/>
          <w:szCs w:val="30"/>
        </w:rPr>
      </w:pPr>
      <w:r>
        <w:rPr>
          <w:rFonts w:hint="eastAsia"/>
          <w:sz w:val="30"/>
          <w:szCs w:val="30"/>
        </w:rPr>
        <w:t>该行政处罚决定书最终认定上述三被告的行为违反《证券法》第四十七条的规定，构成《证券法》第一百九十五条所述的短线交易行为，故决定责成第三人董事会向被告九龙山旅游公司追讨短线交易收益人民币</w:t>
      </w:r>
      <w:r>
        <w:rPr>
          <w:rFonts w:hint="eastAsia"/>
          <w:sz w:val="30"/>
          <w:szCs w:val="30"/>
        </w:rPr>
        <w:t>84,436,801.34</w:t>
      </w:r>
      <w:r>
        <w:rPr>
          <w:rFonts w:hint="eastAsia"/>
          <w:sz w:val="30"/>
          <w:szCs w:val="30"/>
        </w:rPr>
        <w:t>元，向被告</w:t>
      </w:r>
      <w:r>
        <w:rPr>
          <w:rFonts w:hint="eastAsia"/>
          <w:sz w:val="30"/>
          <w:szCs w:val="30"/>
        </w:rPr>
        <w:t>ResortProperty</w:t>
      </w:r>
      <w:r>
        <w:rPr>
          <w:rFonts w:hint="eastAsia"/>
          <w:sz w:val="30"/>
          <w:szCs w:val="30"/>
        </w:rPr>
        <w:t>公司追讨短线交易收益</w:t>
      </w:r>
      <w:r>
        <w:rPr>
          <w:rFonts w:hint="eastAsia"/>
          <w:sz w:val="30"/>
          <w:szCs w:val="30"/>
        </w:rPr>
        <w:t>19,157,936.40</w:t>
      </w:r>
      <w:r>
        <w:rPr>
          <w:rFonts w:hint="eastAsia"/>
          <w:sz w:val="30"/>
          <w:szCs w:val="30"/>
        </w:rPr>
        <w:t>美元，向被告</w:t>
      </w:r>
      <w:r>
        <w:rPr>
          <w:rFonts w:hint="eastAsia"/>
          <w:sz w:val="30"/>
          <w:szCs w:val="30"/>
        </w:rPr>
        <w:t>OceanGarden</w:t>
      </w:r>
      <w:r>
        <w:rPr>
          <w:rFonts w:hint="eastAsia"/>
          <w:sz w:val="30"/>
          <w:szCs w:val="30"/>
        </w:rPr>
        <w:t>公司追讨短线交易收益</w:t>
      </w:r>
      <w:r>
        <w:rPr>
          <w:rFonts w:hint="eastAsia"/>
          <w:sz w:val="30"/>
          <w:szCs w:val="30"/>
        </w:rPr>
        <w:t>2,717,559.75</w:t>
      </w:r>
      <w:r>
        <w:rPr>
          <w:rFonts w:hint="eastAsia"/>
          <w:sz w:val="30"/>
          <w:szCs w:val="30"/>
        </w:rPr>
        <w:t>美元；对上述三被告给予警告，并分别处以</w:t>
      </w:r>
      <w:r>
        <w:rPr>
          <w:rFonts w:hint="eastAsia"/>
          <w:sz w:val="30"/>
          <w:szCs w:val="30"/>
        </w:rPr>
        <w:t>10</w:t>
      </w:r>
      <w:r>
        <w:rPr>
          <w:rFonts w:hint="eastAsia"/>
          <w:sz w:val="30"/>
          <w:szCs w:val="30"/>
        </w:rPr>
        <w:t>万元罚</w:t>
      </w:r>
      <w:r>
        <w:rPr>
          <w:rFonts w:hint="eastAsia"/>
          <w:sz w:val="30"/>
          <w:szCs w:val="30"/>
        </w:rPr>
        <w:t>款。</w:t>
      </w:r>
    </w:p>
    <w:p w:rsidR="00000000" w:rsidRDefault="00584B1F">
      <w:pPr>
        <w:spacing w:line="500" w:lineRule="atLeast"/>
        <w:ind w:firstLine="600"/>
        <w:divId w:val="1041398447"/>
        <w:rPr>
          <w:rFonts w:hint="eastAsia"/>
          <w:sz w:val="30"/>
          <w:szCs w:val="30"/>
        </w:rPr>
      </w:pPr>
      <w:r>
        <w:rPr>
          <w:rFonts w:hint="eastAsia"/>
          <w:sz w:val="30"/>
          <w:szCs w:val="30"/>
        </w:rPr>
        <w:t>原告系持有第三人</w:t>
      </w:r>
      <w:r>
        <w:rPr>
          <w:rFonts w:hint="eastAsia"/>
          <w:sz w:val="30"/>
          <w:szCs w:val="30"/>
        </w:rPr>
        <w:t>13.77%</w:t>
      </w:r>
      <w:r>
        <w:rPr>
          <w:rFonts w:hint="eastAsia"/>
          <w:sz w:val="30"/>
          <w:szCs w:val="30"/>
        </w:rPr>
        <w:t>股权的股东。原告于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日向第三人董事会及被告李勤夫、杨志凌、顾北亭、沈</w:t>
      </w:r>
      <w:r>
        <w:rPr>
          <w:rFonts w:hint="eastAsia"/>
          <w:sz w:val="30"/>
          <w:szCs w:val="30"/>
        </w:rPr>
        <w:t>?</w:t>
      </w:r>
      <w:r>
        <w:rPr>
          <w:rFonts w:hint="eastAsia"/>
          <w:sz w:val="30"/>
          <w:szCs w:val="30"/>
        </w:rPr>
        <w:t>、李梦强、王世渝、郭辉发出公函，要求第三人董事会向上述三被告追讨短线交易收益。之后，因第三人董事会未提起相关诉讼，原告遂起诉。</w:t>
      </w:r>
    </w:p>
    <w:p w:rsidR="00000000" w:rsidRDefault="00584B1F">
      <w:pPr>
        <w:spacing w:line="500" w:lineRule="atLeast"/>
        <w:ind w:firstLine="600"/>
        <w:divId w:val="825513097"/>
        <w:rPr>
          <w:rFonts w:hint="eastAsia"/>
          <w:sz w:val="30"/>
          <w:szCs w:val="30"/>
        </w:rPr>
      </w:pPr>
      <w:r>
        <w:rPr>
          <w:rFonts w:hint="eastAsia"/>
          <w:sz w:val="30"/>
          <w:szCs w:val="30"/>
        </w:rPr>
        <w:t>原审法院另查明，</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日，上海市工商行政管理局出具准予变更</w:t>
      </w:r>
      <w:r>
        <w:rPr>
          <w:rFonts w:hint="eastAsia"/>
          <w:sz w:val="30"/>
          <w:szCs w:val="30"/>
        </w:rPr>
        <w:t>(</w:t>
      </w:r>
      <w:r>
        <w:rPr>
          <w:rFonts w:hint="eastAsia"/>
          <w:sz w:val="30"/>
          <w:szCs w:val="30"/>
        </w:rPr>
        <w:t>备案</w:t>
      </w:r>
      <w:r>
        <w:rPr>
          <w:rFonts w:hint="eastAsia"/>
          <w:sz w:val="30"/>
          <w:szCs w:val="30"/>
        </w:rPr>
        <w:t>)</w:t>
      </w:r>
      <w:r>
        <w:rPr>
          <w:rFonts w:hint="eastAsia"/>
          <w:sz w:val="30"/>
          <w:szCs w:val="30"/>
        </w:rPr>
        <w:t>登记通知书，确认第三人董事长为被告李勤夫，董事为汪为民、姚爱娣、沈焜、李梦强、王世渝、郭辉、杨志凌、顾北亭。</w:t>
      </w:r>
    </w:p>
    <w:p w:rsidR="00000000" w:rsidRDefault="00584B1F">
      <w:pPr>
        <w:spacing w:line="500" w:lineRule="atLeast"/>
        <w:ind w:firstLine="600"/>
        <w:divId w:val="800417501"/>
        <w:rPr>
          <w:rFonts w:hint="eastAsia"/>
          <w:sz w:val="30"/>
          <w:szCs w:val="30"/>
        </w:rPr>
      </w:pPr>
      <w:r>
        <w:rPr>
          <w:rFonts w:hint="eastAsia"/>
          <w:sz w:val="30"/>
          <w:szCs w:val="30"/>
        </w:rPr>
        <w:t>原审法院再查明，被告九龙山旅游公司曾因不服前述行政处罚决定，向北京市第一中级</w:t>
      </w:r>
      <w:r>
        <w:rPr>
          <w:rFonts w:hint="eastAsia"/>
          <w:sz w:val="30"/>
          <w:szCs w:val="30"/>
        </w:rPr>
        <w:t>人民法院提起诉讼，该院于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日作出</w:t>
      </w:r>
      <w:r>
        <w:rPr>
          <w:rFonts w:hint="eastAsia"/>
          <w:sz w:val="30"/>
          <w:szCs w:val="30"/>
        </w:rPr>
        <w:t>(2012)</w:t>
      </w:r>
      <w:r>
        <w:rPr>
          <w:rFonts w:hint="eastAsia"/>
          <w:sz w:val="30"/>
          <w:szCs w:val="30"/>
        </w:rPr>
        <w:t>一中行初字第</w:t>
      </w:r>
      <w:r>
        <w:rPr>
          <w:rFonts w:hint="eastAsia"/>
          <w:sz w:val="30"/>
          <w:szCs w:val="30"/>
        </w:rPr>
        <w:t>2828</w:t>
      </w:r>
      <w:r>
        <w:rPr>
          <w:rFonts w:hint="eastAsia"/>
          <w:sz w:val="30"/>
          <w:szCs w:val="30"/>
        </w:rPr>
        <w:t>号行政判决书，认定中国证券监督管理委员会作出上述行政处罚决定并无不当，但责成第三人董事会向前述三被告追讨短线交易所获收益，并不具备行政处罚的法律特征，将该内容列于行政处罚决定主文应属不当，予以指正，判决驳回被告九龙山旅游公司的诉讼请求。该行政判决现已生效。</w:t>
      </w:r>
    </w:p>
    <w:p w:rsidR="00000000" w:rsidRDefault="00584B1F">
      <w:pPr>
        <w:spacing w:line="500" w:lineRule="atLeast"/>
        <w:ind w:firstLine="600"/>
        <w:divId w:val="1499926772"/>
        <w:rPr>
          <w:rFonts w:hint="eastAsia"/>
          <w:sz w:val="30"/>
          <w:szCs w:val="30"/>
        </w:rPr>
      </w:pPr>
      <w:r>
        <w:rPr>
          <w:rFonts w:hint="eastAsia"/>
          <w:sz w:val="30"/>
          <w:szCs w:val="30"/>
        </w:rPr>
        <w:t>原审法院认为，《中华人民共和国证券法》</w:t>
      </w:r>
      <w:r>
        <w:rPr>
          <w:rFonts w:hint="eastAsia"/>
          <w:sz w:val="30"/>
          <w:szCs w:val="30"/>
        </w:rPr>
        <w:t>(2013</w:t>
      </w:r>
      <w:r>
        <w:rPr>
          <w:rFonts w:hint="eastAsia"/>
          <w:sz w:val="30"/>
          <w:szCs w:val="30"/>
        </w:rPr>
        <w:t>修正</w:t>
      </w:r>
      <w:r>
        <w:rPr>
          <w:rFonts w:hint="eastAsia"/>
          <w:sz w:val="30"/>
          <w:szCs w:val="30"/>
        </w:rPr>
        <w:t>)</w:t>
      </w:r>
      <w:r>
        <w:rPr>
          <w:rFonts w:hint="eastAsia"/>
          <w:sz w:val="30"/>
          <w:szCs w:val="30"/>
        </w:rPr>
        <w:t>第一百七十九条第一款第</w:t>
      </w:r>
      <w:r>
        <w:rPr>
          <w:rFonts w:hint="eastAsia"/>
          <w:sz w:val="30"/>
          <w:szCs w:val="30"/>
        </w:rPr>
        <w:t>(</w:t>
      </w:r>
      <w:r>
        <w:rPr>
          <w:rFonts w:hint="eastAsia"/>
          <w:sz w:val="30"/>
          <w:szCs w:val="30"/>
        </w:rPr>
        <w:t>七</w:t>
      </w:r>
      <w:r>
        <w:rPr>
          <w:rFonts w:hint="eastAsia"/>
          <w:sz w:val="30"/>
          <w:szCs w:val="30"/>
        </w:rPr>
        <w:t>)</w:t>
      </w:r>
      <w:r>
        <w:rPr>
          <w:rFonts w:hint="eastAsia"/>
          <w:sz w:val="30"/>
          <w:szCs w:val="30"/>
        </w:rPr>
        <w:t>项规定：国务院证券监督管理机构在对证券市场实施监督管理中履行下列职责：……</w:t>
      </w:r>
      <w:r>
        <w:rPr>
          <w:rFonts w:hint="eastAsia"/>
          <w:sz w:val="30"/>
          <w:szCs w:val="30"/>
        </w:rPr>
        <w:t>(</w:t>
      </w:r>
      <w:r>
        <w:rPr>
          <w:rFonts w:hint="eastAsia"/>
          <w:sz w:val="30"/>
          <w:szCs w:val="30"/>
        </w:rPr>
        <w:t>七</w:t>
      </w:r>
      <w:r>
        <w:rPr>
          <w:rFonts w:hint="eastAsia"/>
          <w:sz w:val="30"/>
          <w:szCs w:val="30"/>
        </w:rPr>
        <w:t>)</w:t>
      </w:r>
      <w:r>
        <w:rPr>
          <w:rFonts w:hint="eastAsia"/>
          <w:sz w:val="30"/>
          <w:szCs w:val="30"/>
        </w:rPr>
        <w:t>依法对违反</w:t>
      </w:r>
      <w:r>
        <w:rPr>
          <w:rFonts w:hint="eastAsia"/>
          <w:sz w:val="30"/>
          <w:szCs w:val="30"/>
        </w:rPr>
        <w:t>证券市场监督管理法律、行政法规的行为进行查处；……依照上述法律规定，中国证券监督管理委员会作为国务院证券监督管理机构，对违反证券市场监督管理法律法规的行为进行查处，系行使其法定职权的行为，其进行查处后作出的行政处罚决定，具有相应行政法律效力。</w:t>
      </w:r>
    </w:p>
    <w:p w:rsidR="00000000" w:rsidRDefault="00584B1F">
      <w:pPr>
        <w:spacing w:line="500" w:lineRule="atLeast"/>
        <w:ind w:firstLine="600"/>
        <w:divId w:val="2096509035"/>
        <w:rPr>
          <w:rFonts w:hint="eastAsia"/>
          <w:sz w:val="30"/>
          <w:szCs w:val="30"/>
        </w:rPr>
      </w:pPr>
      <w:r>
        <w:rPr>
          <w:rFonts w:hint="eastAsia"/>
          <w:sz w:val="30"/>
          <w:szCs w:val="30"/>
        </w:rPr>
        <w:t>当然，国务院证券监督管理机构在具体行政处罚决定中认定的违法事实对民事案件的审理并不必然产生预决效力，但如果此种行政行为已经人民法院在行政诉讼中判决维持，这一事实即具备司法认定的属性，对相关民事诉讼产生预决效力。最高人民法院《关于民事诉讼证据的若干规定》第九条第一款第</w:t>
      </w:r>
      <w:r>
        <w:rPr>
          <w:rFonts w:hint="eastAsia"/>
          <w:sz w:val="30"/>
          <w:szCs w:val="30"/>
        </w:rPr>
        <w:t>(</w:t>
      </w:r>
      <w:r>
        <w:rPr>
          <w:rFonts w:hint="eastAsia"/>
          <w:sz w:val="30"/>
          <w:szCs w:val="30"/>
        </w:rPr>
        <w:t>四</w:t>
      </w:r>
      <w:r>
        <w:rPr>
          <w:rFonts w:hint="eastAsia"/>
          <w:sz w:val="30"/>
          <w:szCs w:val="30"/>
        </w:rPr>
        <w:t>)</w:t>
      </w:r>
      <w:r>
        <w:rPr>
          <w:rFonts w:hint="eastAsia"/>
          <w:sz w:val="30"/>
          <w:szCs w:val="30"/>
        </w:rPr>
        <w:t>项即已规定：下列事实，当事人无需举证证明……</w:t>
      </w:r>
      <w:r>
        <w:rPr>
          <w:rFonts w:hint="eastAsia"/>
          <w:sz w:val="30"/>
          <w:szCs w:val="30"/>
        </w:rPr>
        <w:t>(</w:t>
      </w:r>
      <w:r>
        <w:rPr>
          <w:rFonts w:hint="eastAsia"/>
          <w:sz w:val="30"/>
          <w:szCs w:val="30"/>
        </w:rPr>
        <w:t>四</w:t>
      </w:r>
      <w:r>
        <w:rPr>
          <w:rFonts w:hint="eastAsia"/>
          <w:sz w:val="30"/>
          <w:szCs w:val="30"/>
        </w:rPr>
        <w:t>)</w:t>
      </w:r>
      <w:r>
        <w:rPr>
          <w:rFonts w:hint="eastAsia"/>
          <w:sz w:val="30"/>
          <w:szCs w:val="30"/>
        </w:rPr>
        <w:t>已为人民法院发生法律效力的裁判所确认的事实；……本案系争行政处罚决定书，已经人民法院生效判决予以维持，依照上述规定，系争行政处罚决定书认定的有关短线交易事实属于无需举证证明的事实，且对本案已产生预决效力。虽然相关生效判决书认定系争行政处罚决定书责成第三人董事会向前述三被告追讨短线交易所获收益，并不具备行政处罚的法律特征，将该内容列于行政处罚决定主文应属不当，并对此予以指正，但此种瑕疵并不影响该行政处罚决定书认定事实的正确与否，该行政处罚决定书认定的相关事</w:t>
      </w:r>
      <w:r>
        <w:rPr>
          <w:rFonts w:hint="eastAsia"/>
          <w:sz w:val="30"/>
          <w:szCs w:val="30"/>
        </w:rPr>
        <w:t>实对于本案依然具有预决效力。故对被告九龙山旅游公司、</w:t>
      </w:r>
      <w:r>
        <w:rPr>
          <w:rFonts w:hint="eastAsia"/>
          <w:sz w:val="30"/>
          <w:szCs w:val="30"/>
        </w:rPr>
        <w:t>ResortProperty</w:t>
      </w:r>
      <w:r>
        <w:rPr>
          <w:rFonts w:hint="eastAsia"/>
          <w:sz w:val="30"/>
          <w:szCs w:val="30"/>
        </w:rPr>
        <w:t>公司、</w:t>
      </w:r>
      <w:r>
        <w:rPr>
          <w:rFonts w:hint="eastAsia"/>
          <w:sz w:val="30"/>
          <w:szCs w:val="30"/>
        </w:rPr>
        <w:t>OceanGarden</w:t>
      </w:r>
      <w:r>
        <w:rPr>
          <w:rFonts w:hint="eastAsia"/>
          <w:sz w:val="30"/>
          <w:szCs w:val="30"/>
        </w:rPr>
        <w:t>公司在受让第三人系争股份后又予以减持的行为，是否构成短线交易行为及其相关盈利金额，法院无需再予以实体审查。</w:t>
      </w:r>
    </w:p>
    <w:p w:rsidR="00000000" w:rsidRDefault="00584B1F">
      <w:pPr>
        <w:spacing w:line="500" w:lineRule="atLeast"/>
        <w:ind w:firstLine="600"/>
        <w:divId w:val="211814255"/>
        <w:rPr>
          <w:rFonts w:hint="eastAsia"/>
          <w:sz w:val="30"/>
          <w:szCs w:val="30"/>
        </w:rPr>
      </w:pPr>
      <w:r>
        <w:rPr>
          <w:rFonts w:hint="eastAsia"/>
          <w:sz w:val="30"/>
          <w:szCs w:val="30"/>
        </w:rPr>
        <w:t>前述三被告既存在短线交易的不当行为，依照《中华人民共和国证券法》第四十七条第一款之规定，其所得收益应归第三人所有，第三人董事会应当收回其所得收益。鉴于第三人董事会未向前述三被告主张相关权利，在原告书面要求后亦未在法定期限内执行，现原告作为第三人的股东依照《中华人民共和国证券法》第四十七条第二款之</w:t>
      </w:r>
      <w:r>
        <w:rPr>
          <w:rFonts w:hint="eastAsia"/>
          <w:sz w:val="30"/>
          <w:szCs w:val="30"/>
        </w:rPr>
        <w:t>规定提起本案诉讼并无不当，其诉讼请求具有法律依据。</w:t>
      </w:r>
    </w:p>
    <w:p w:rsidR="00000000" w:rsidRDefault="00584B1F">
      <w:pPr>
        <w:spacing w:line="500" w:lineRule="atLeast"/>
        <w:ind w:firstLine="600"/>
        <w:divId w:val="905801706"/>
        <w:rPr>
          <w:rFonts w:hint="eastAsia"/>
          <w:sz w:val="30"/>
          <w:szCs w:val="30"/>
        </w:rPr>
      </w:pPr>
      <w:r>
        <w:rPr>
          <w:rFonts w:hint="eastAsia"/>
          <w:sz w:val="30"/>
          <w:szCs w:val="30"/>
        </w:rPr>
        <w:t>原告另主张第三人的相关董事对前述三被告的归入义务承担连带责任，对此原审法院认为，《中华人民共和国证券法》第四十七条第三款之规定：公司董事会不按照第一款的规定执行的，负有责任的董事依法承担连带责任。本案中第三人董事会未主动向被告九龙山旅游公司、</w:t>
      </w:r>
      <w:r>
        <w:rPr>
          <w:rFonts w:hint="eastAsia"/>
          <w:sz w:val="30"/>
          <w:szCs w:val="30"/>
        </w:rPr>
        <w:t>ResortProperty</w:t>
      </w:r>
      <w:r>
        <w:rPr>
          <w:rFonts w:hint="eastAsia"/>
          <w:sz w:val="30"/>
          <w:szCs w:val="30"/>
        </w:rPr>
        <w:t>公司、</w:t>
      </w:r>
      <w:r>
        <w:rPr>
          <w:rFonts w:hint="eastAsia"/>
          <w:sz w:val="30"/>
          <w:szCs w:val="30"/>
        </w:rPr>
        <w:t>OceanGarden</w:t>
      </w:r>
      <w:r>
        <w:rPr>
          <w:rFonts w:hint="eastAsia"/>
          <w:sz w:val="30"/>
          <w:szCs w:val="30"/>
        </w:rPr>
        <w:t>公司主张归入权，在原告要求后亦未能在法定期限内执行；据此可认定其余七被告作为第三人的董事，未及时召开董事会做出相关决议，在原告提出相应要求后亦未能及时履行其董事职</w:t>
      </w:r>
      <w:r>
        <w:rPr>
          <w:rFonts w:hint="eastAsia"/>
          <w:sz w:val="30"/>
          <w:szCs w:val="30"/>
        </w:rPr>
        <w:t>责，违反其作为董事应承担的勤勉义务，对于第三人未能及时行使其归入权负有相应责任。依照上述法律规定，该七名被告作为负有责任的董事应承担相应连带责任，鉴于该七名被告并未举证证明其未能履行上述职责存在合理理由，故原告的上述主张，具有事实与法律依据。</w:t>
      </w:r>
    </w:p>
    <w:p w:rsidR="00000000" w:rsidRDefault="00584B1F">
      <w:pPr>
        <w:spacing w:line="500" w:lineRule="atLeast"/>
        <w:ind w:firstLine="600"/>
        <w:divId w:val="296495564"/>
        <w:rPr>
          <w:rFonts w:hint="eastAsia"/>
          <w:sz w:val="30"/>
          <w:szCs w:val="30"/>
        </w:rPr>
      </w:pPr>
      <w:r>
        <w:rPr>
          <w:rFonts w:hint="eastAsia"/>
          <w:sz w:val="30"/>
          <w:szCs w:val="30"/>
        </w:rPr>
        <w:t>综上，原审法院依照《中华人民共和国证券法》</w:t>
      </w:r>
      <w:r>
        <w:rPr>
          <w:rFonts w:hint="eastAsia"/>
          <w:sz w:val="30"/>
          <w:szCs w:val="30"/>
        </w:rPr>
        <w:t>(2013</w:t>
      </w:r>
      <w:r>
        <w:rPr>
          <w:rFonts w:hint="eastAsia"/>
          <w:sz w:val="30"/>
          <w:szCs w:val="30"/>
        </w:rPr>
        <w:t>修正</w:t>
      </w:r>
      <w:r>
        <w:rPr>
          <w:rFonts w:hint="eastAsia"/>
          <w:sz w:val="30"/>
          <w:szCs w:val="30"/>
        </w:rPr>
        <w:t>)</w:t>
      </w:r>
      <w:r>
        <w:rPr>
          <w:rFonts w:hint="eastAsia"/>
          <w:sz w:val="30"/>
          <w:szCs w:val="30"/>
        </w:rPr>
        <w:t>第四十七条、第一百七十九条、《中华人民共和国公司法》第一百四十八条、《中华人民共和国民事诉讼法》第一百四十四条及最高人民法院《关于民事诉讼证据的若干规定》第九条第一款第</w:t>
      </w:r>
      <w:r>
        <w:rPr>
          <w:rFonts w:hint="eastAsia"/>
          <w:sz w:val="30"/>
          <w:szCs w:val="30"/>
        </w:rPr>
        <w:t>(</w:t>
      </w:r>
      <w:r>
        <w:rPr>
          <w:rFonts w:hint="eastAsia"/>
          <w:sz w:val="30"/>
          <w:szCs w:val="30"/>
        </w:rPr>
        <w:t>四</w:t>
      </w:r>
      <w:r>
        <w:rPr>
          <w:rFonts w:hint="eastAsia"/>
          <w:sz w:val="30"/>
          <w:szCs w:val="30"/>
        </w:rPr>
        <w:t>)</w:t>
      </w:r>
      <w:r>
        <w:rPr>
          <w:rFonts w:hint="eastAsia"/>
          <w:sz w:val="30"/>
          <w:szCs w:val="30"/>
        </w:rPr>
        <w:t>项之规定，判决如下：一、被告浙江九龙</w:t>
      </w:r>
      <w:r>
        <w:rPr>
          <w:rFonts w:hint="eastAsia"/>
          <w:sz w:val="30"/>
          <w:szCs w:val="30"/>
        </w:rPr>
        <w:t>山国际旅游开发有限公司应于本判决生效之日起十日内归还第三人上海九龙山股份有限公司短线交易收益人民币</w:t>
      </w:r>
      <w:r>
        <w:rPr>
          <w:rFonts w:hint="eastAsia"/>
          <w:sz w:val="30"/>
          <w:szCs w:val="30"/>
        </w:rPr>
        <w:t>84,436,801.34</w:t>
      </w:r>
      <w:r>
        <w:rPr>
          <w:rFonts w:hint="eastAsia"/>
          <w:sz w:val="30"/>
          <w:szCs w:val="30"/>
        </w:rPr>
        <w:t>元；二、被告</w:t>
      </w:r>
      <w:r>
        <w:rPr>
          <w:rFonts w:hint="eastAsia"/>
          <w:sz w:val="30"/>
          <w:szCs w:val="30"/>
        </w:rPr>
        <w:t>ResortPropertyInternationalLtd.</w:t>
      </w:r>
      <w:r>
        <w:rPr>
          <w:rFonts w:hint="eastAsia"/>
          <w:sz w:val="30"/>
          <w:szCs w:val="30"/>
        </w:rPr>
        <w:t>应于本判决生效之日起十日内归还第三人上海九龙山股份有限公司短线交易收益</w:t>
      </w:r>
      <w:r>
        <w:rPr>
          <w:rFonts w:hint="eastAsia"/>
          <w:sz w:val="30"/>
          <w:szCs w:val="30"/>
        </w:rPr>
        <w:t>19,157,936.40</w:t>
      </w:r>
      <w:r>
        <w:rPr>
          <w:rFonts w:hint="eastAsia"/>
          <w:sz w:val="30"/>
          <w:szCs w:val="30"/>
        </w:rPr>
        <w:t>美元；三、被告</w:t>
      </w:r>
      <w:r>
        <w:rPr>
          <w:rFonts w:hint="eastAsia"/>
          <w:sz w:val="30"/>
          <w:szCs w:val="30"/>
        </w:rPr>
        <w:t>OceanGardenHoldingsLtd.</w:t>
      </w:r>
      <w:r>
        <w:rPr>
          <w:rFonts w:hint="eastAsia"/>
          <w:sz w:val="30"/>
          <w:szCs w:val="30"/>
        </w:rPr>
        <w:t>应于本判决生效之日起十日内归还第三人上海九龙山股份有限公司短线交易收益</w:t>
      </w:r>
      <w:r>
        <w:rPr>
          <w:rFonts w:hint="eastAsia"/>
          <w:sz w:val="30"/>
          <w:szCs w:val="30"/>
        </w:rPr>
        <w:t>2,717,559.75</w:t>
      </w:r>
      <w:r>
        <w:rPr>
          <w:rFonts w:hint="eastAsia"/>
          <w:sz w:val="30"/>
          <w:szCs w:val="30"/>
        </w:rPr>
        <w:t>美元；四、被告李勤夫、杨志凌、顾北亭、沈焜、李梦强、王世渝、郭辉</w:t>
      </w:r>
      <w:r>
        <w:rPr>
          <w:rFonts w:hint="eastAsia"/>
          <w:sz w:val="30"/>
          <w:szCs w:val="30"/>
        </w:rPr>
        <w:t>对被告浙江九龙山国际旅游开发有限公司、</w:t>
      </w:r>
      <w:r>
        <w:rPr>
          <w:rFonts w:hint="eastAsia"/>
          <w:sz w:val="30"/>
          <w:szCs w:val="30"/>
        </w:rPr>
        <w:t>ResortPropertyInternationalLtd.</w:t>
      </w:r>
      <w:r>
        <w:rPr>
          <w:rFonts w:hint="eastAsia"/>
          <w:sz w:val="30"/>
          <w:szCs w:val="30"/>
        </w:rPr>
        <w:t>、</w:t>
      </w:r>
      <w:r>
        <w:rPr>
          <w:rFonts w:hint="eastAsia"/>
          <w:sz w:val="30"/>
          <w:szCs w:val="30"/>
        </w:rPr>
        <w:t>OceanGardenHoldingsLtd.</w:t>
      </w:r>
      <w:r>
        <w:rPr>
          <w:rFonts w:hint="eastAsia"/>
          <w:sz w:val="30"/>
          <w:szCs w:val="30"/>
        </w:rPr>
        <w:t>上述归还义务承担连带责任。本案一审案件受理费人民币</w:t>
      </w:r>
      <w:r>
        <w:rPr>
          <w:rFonts w:hint="eastAsia"/>
          <w:sz w:val="30"/>
          <w:szCs w:val="30"/>
        </w:rPr>
        <w:t>1,156,989</w:t>
      </w:r>
      <w:r>
        <w:rPr>
          <w:rFonts w:hint="eastAsia"/>
          <w:sz w:val="30"/>
          <w:szCs w:val="30"/>
        </w:rPr>
        <w:t>元，由被告浙江九龙山国际旅游开发有限公司、</w:t>
      </w:r>
      <w:r>
        <w:rPr>
          <w:rFonts w:hint="eastAsia"/>
          <w:sz w:val="30"/>
          <w:szCs w:val="30"/>
        </w:rPr>
        <w:t>ResortPropertyInternationalLtd.</w:t>
      </w:r>
      <w:r>
        <w:rPr>
          <w:rFonts w:hint="eastAsia"/>
          <w:sz w:val="30"/>
          <w:szCs w:val="30"/>
        </w:rPr>
        <w:t>、</w:t>
      </w:r>
      <w:r>
        <w:rPr>
          <w:rFonts w:hint="eastAsia"/>
          <w:sz w:val="30"/>
          <w:szCs w:val="30"/>
        </w:rPr>
        <w:t>OceanGardenHoldingsLtd.</w:t>
      </w:r>
      <w:r>
        <w:rPr>
          <w:rFonts w:hint="eastAsia"/>
          <w:sz w:val="30"/>
          <w:szCs w:val="30"/>
        </w:rPr>
        <w:t>、李勤夫、杨志凌、顾北亭、沈焜、李梦强、王世渝、郭辉共同负担。</w:t>
      </w:r>
    </w:p>
    <w:p w:rsidR="00000000" w:rsidRDefault="00584B1F">
      <w:pPr>
        <w:spacing w:line="500" w:lineRule="atLeast"/>
        <w:ind w:firstLine="600"/>
        <w:divId w:val="477697582"/>
        <w:rPr>
          <w:rFonts w:hint="eastAsia"/>
          <w:sz w:val="30"/>
          <w:szCs w:val="30"/>
        </w:rPr>
      </w:pPr>
      <w:r>
        <w:rPr>
          <w:rFonts w:hint="eastAsia"/>
          <w:sz w:val="30"/>
          <w:szCs w:val="30"/>
        </w:rPr>
        <w:t>二审期间，上诉人提供了</w:t>
      </w:r>
      <w:r>
        <w:rPr>
          <w:rFonts w:hint="eastAsia"/>
          <w:sz w:val="30"/>
          <w:szCs w:val="30"/>
        </w:rPr>
        <w:t>(2015)</w:t>
      </w:r>
      <w:r>
        <w:rPr>
          <w:rFonts w:hint="eastAsia"/>
          <w:sz w:val="30"/>
          <w:szCs w:val="30"/>
        </w:rPr>
        <w:t>行监字第</w:t>
      </w:r>
      <w:r>
        <w:rPr>
          <w:rFonts w:hint="eastAsia"/>
          <w:sz w:val="30"/>
          <w:szCs w:val="30"/>
        </w:rPr>
        <w:t>24</w:t>
      </w:r>
      <w:r>
        <w:rPr>
          <w:rFonts w:hint="eastAsia"/>
          <w:sz w:val="30"/>
          <w:szCs w:val="30"/>
        </w:rPr>
        <w:t>号行政判决书，证明对本案短线交易进</w:t>
      </w:r>
      <w:r>
        <w:rPr>
          <w:rFonts w:hint="eastAsia"/>
          <w:sz w:val="30"/>
          <w:szCs w:val="30"/>
        </w:rPr>
        <w:t>行了认定，短线交易收益追讨属于民事权利，不属于行政处罚范畴，相关法院应对短线交易收益进行实体审理。被上诉人质证认为，对该证据真实性没有异议。本案被上诉人也是通过民事诉讼途径追讨短线收益的。原审被告对该证据没有意见。本院对该行政判决认定的相关事实予以采纳。原审被告沈焜提供如下证据：</w:t>
      </w:r>
      <w:r>
        <w:rPr>
          <w:rFonts w:hint="eastAsia"/>
          <w:sz w:val="30"/>
          <w:szCs w:val="30"/>
        </w:rPr>
        <w:t>1</w:t>
      </w:r>
      <w:r>
        <w:rPr>
          <w:rFonts w:hint="eastAsia"/>
          <w:sz w:val="30"/>
          <w:szCs w:val="30"/>
        </w:rPr>
        <w:t>、股东大会决议公告；</w:t>
      </w:r>
      <w:r>
        <w:rPr>
          <w:rFonts w:hint="eastAsia"/>
          <w:sz w:val="30"/>
          <w:szCs w:val="30"/>
        </w:rPr>
        <w:t>2</w:t>
      </w:r>
      <w:r>
        <w:rPr>
          <w:rFonts w:hint="eastAsia"/>
          <w:sz w:val="30"/>
          <w:szCs w:val="30"/>
        </w:rPr>
        <w:t>、关于《关于追讨短线交易收益的函》的回函。证明其在担任董事期间没有召开关于追讨短线收益的董事会，其作为个人发函进行了追讨。上诉人对该证据认可。被上诉人认为，该证据不是新证据，原审被告沈焜未提出上诉，二审法院不</w:t>
      </w:r>
      <w:r>
        <w:rPr>
          <w:rFonts w:hint="eastAsia"/>
          <w:sz w:val="30"/>
          <w:szCs w:val="30"/>
        </w:rPr>
        <w:t>应对其主张进行审理。本院认为，原审被告在收到原审判决后未在法定期间内提出上诉，其提出的主张不属于本案二审审理范围，被上诉人对其提供的证据予以了否认，该证据也不属于新的证据，故对该证据不予采纳。</w:t>
      </w:r>
    </w:p>
    <w:p w:rsidR="00000000" w:rsidRDefault="00584B1F">
      <w:pPr>
        <w:spacing w:line="500" w:lineRule="atLeast"/>
        <w:ind w:firstLine="600"/>
        <w:divId w:val="1677414486"/>
        <w:rPr>
          <w:rFonts w:hint="eastAsia"/>
          <w:sz w:val="30"/>
          <w:szCs w:val="30"/>
        </w:rPr>
      </w:pPr>
      <w:r>
        <w:rPr>
          <w:rFonts w:hint="eastAsia"/>
          <w:sz w:val="30"/>
          <w:szCs w:val="30"/>
        </w:rPr>
        <w:t>本院经审理查明，原审认定的事实属实，本院予以认定。</w:t>
      </w:r>
    </w:p>
    <w:p w:rsidR="00000000" w:rsidRDefault="00584B1F">
      <w:pPr>
        <w:spacing w:line="500" w:lineRule="atLeast"/>
        <w:ind w:firstLine="600"/>
        <w:divId w:val="122499993"/>
        <w:rPr>
          <w:rFonts w:hint="eastAsia"/>
          <w:sz w:val="30"/>
          <w:szCs w:val="30"/>
        </w:rPr>
      </w:pPr>
      <w:r>
        <w:rPr>
          <w:rFonts w:hint="eastAsia"/>
          <w:sz w:val="30"/>
          <w:szCs w:val="30"/>
        </w:rPr>
        <w:t>本院认为，本案的争议焦点在于是否构成短线交易以及短线交易收益的认定。原审法院依据行政处罚决定书及生效终审行政判决认定了上诉人进行短线交易的事实和短线交易收益的金额。上诉人主张该行政处罚决定书及行政判决认定的短线交易及收益计算错误，并提出应按照股权登记日的收盘价确定其</w:t>
      </w:r>
      <w:r>
        <w:rPr>
          <w:rFonts w:hint="eastAsia"/>
          <w:sz w:val="30"/>
          <w:szCs w:val="30"/>
        </w:rPr>
        <w:t>买入成本。本院认为，行政处罚决定书及生效行政判决认定了上诉人进行短线交易的事实，上诉人未提供充分有力的证据推翻生效判决认定的该节事实，原审判决依据行政处罚决定书及生效行政判决认定短线交易并无不当，故对上诉人的此节主张不予认可。经查，行政处罚决定书及生效行政判决认定的短线交易收益系根据上诉人与案外人的协议价格确定买入成本，该计算方式符合实际情况，系上诉人进行短线交易实际获得的收益。虽然，上诉人与案外人签订股权转让协议的时间与完成股权登记的时间并不一致，但不影响上诉人取得系争股票成本的确定。原审判决据此确定短线</w:t>
      </w:r>
      <w:r>
        <w:rPr>
          <w:rFonts w:hint="eastAsia"/>
          <w:sz w:val="30"/>
          <w:szCs w:val="30"/>
        </w:rPr>
        <w:t>交易收益金额并无不当之处。上诉人并未提供证据证明该计算结果存在错误之处，且上诉人主张按照股权登记日的收盘价计算其买入成本并无事实和法律依据，故本院对此也不予采纳。生效行政判决虽认为行政处罚决定书主文第一项存在瑕疵，不具有行政处罚的法律特征，不具有拘束力和强制力。但该瑕疵不影响短线交易及其收益相关事实的认定，也不影响被上诉人依据行政处罚决定书及生效行政判决认定的事实主张民事权利。被上诉人在本案中通过民事诉讼途径主张权利并无不当。综上，上诉人的上诉理由均不能成立，本院不予支持。原审判决认定事实清楚，适用法律正确</w:t>
      </w:r>
      <w:r>
        <w:rPr>
          <w:rFonts w:hint="eastAsia"/>
          <w:sz w:val="30"/>
          <w:szCs w:val="30"/>
        </w:rPr>
        <w:t>，本院予以维持。据此，依照《中华人民共和国民事诉讼法》第一百七十条第一款第一项、第一百四十四条的规定，判决如下：</w:t>
      </w:r>
    </w:p>
    <w:p w:rsidR="00000000" w:rsidRDefault="00584B1F">
      <w:pPr>
        <w:spacing w:line="500" w:lineRule="atLeast"/>
        <w:ind w:firstLine="600"/>
        <w:divId w:val="171338387"/>
        <w:rPr>
          <w:rFonts w:hint="eastAsia"/>
          <w:sz w:val="30"/>
          <w:szCs w:val="30"/>
        </w:rPr>
      </w:pPr>
      <w:r>
        <w:rPr>
          <w:rFonts w:hint="eastAsia"/>
          <w:sz w:val="30"/>
          <w:szCs w:val="30"/>
        </w:rPr>
        <w:t>驳回上诉，维持原判。</w:t>
      </w:r>
    </w:p>
    <w:p w:rsidR="00000000" w:rsidRDefault="00584B1F">
      <w:pPr>
        <w:spacing w:line="500" w:lineRule="atLeast"/>
        <w:ind w:firstLine="600"/>
        <w:divId w:val="568929464"/>
        <w:rPr>
          <w:rFonts w:hint="eastAsia"/>
          <w:sz w:val="30"/>
          <w:szCs w:val="30"/>
        </w:rPr>
      </w:pPr>
      <w:r>
        <w:rPr>
          <w:rFonts w:hint="eastAsia"/>
          <w:sz w:val="30"/>
          <w:szCs w:val="30"/>
        </w:rPr>
        <w:t>本案一审案件受理费人民币</w:t>
      </w:r>
      <w:r>
        <w:rPr>
          <w:rFonts w:hint="eastAsia"/>
          <w:sz w:val="30"/>
          <w:szCs w:val="30"/>
        </w:rPr>
        <w:t>1,156,989</w:t>
      </w:r>
      <w:r>
        <w:rPr>
          <w:rFonts w:hint="eastAsia"/>
          <w:sz w:val="30"/>
          <w:szCs w:val="30"/>
        </w:rPr>
        <w:t>元，按原判决执行。二审案件受理费人民币</w:t>
      </w:r>
      <w:r>
        <w:rPr>
          <w:rFonts w:hint="eastAsia"/>
          <w:sz w:val="30"/>
          <w:szCs w:val="30"/>
        </w:rPr>
        <w:t>1,182,477</w:t>
      </w:r>
      <w:r>
        <w:rPr>
          <w:rFonts w:hint="eastAsia"/>
          <w:sz w:val="30"/>
          <w:szCs w:val="30"/>
        </w:rPr>
        <w:t>元，由上诉人浙江九龙山国际旅游开发有限公司、</w:t>
      </w:r>
      <w:r>
        <w:rPr>
          <w:rFonts w:hint="eastAsia"/>
          <w:sz w:val="30"/>
          <w:szCs w:val="30"/>
        </w:rPr>
        <w:t>ResortPropertyInternationalLtd.</w:t>
      </w:r>
      <w:r>
        <w:rPr>
          <w:rFonts w:hint="eastAsia"/>
          <w:sz w:val="30"/>
          <w:szCs w:val="30"/>
        </w:rPr>
        <w:t>、</w:t>
      </w:r>
      <w:r>
        <w:rPr>
          <w:rFonts w:hint="eastAsia"/>
          <w:sz w:val="30"/>
          <w:szCs w:val="30"/>
        </w:rPr>
        <w:t>OceanGardenHoldingsLtd.</w:t>
      </w:r>
      <w:r>
        <w:rPr>
          <w:rFonts w:hint="eastAsia"/>
          <w:sz w:val="30"/>
          <w:szCs w:val="30"/>
        </w:rPr>
        <w:t>共同负担。</w:t>
      </w:r>
    </w:p>
    <w:p w:rsidR="00000000" w:rsidRDefault="00584B1F">
      <w:pPr>
        <w:spacing w:line="500" w:lineRule="atLeast"/>
        <w:ind w:firstLine="600"/>
        <w:divId w:val="522784748"/>
        <w:rPr>
          <w:rFonts w:hint="eastAsia"/>
          <w:sz w:val="30"/>
          <w:szCs w:val="30"/>
        </w:rPr>
      </w:pPr>
      <w:r>
        <w:rPr>
          <w:rFonts w:hint="eastAsia"/>
          <w:sz w:val="30"/>
          <w:szCs w:val="30"/>
        </w:rPr>
        <w:t>负有金钱给付义务的当事人如未按判决指定的期间履行给付义务，应当依照《中华人民共和国民事诉讼法》第二百五十三条之规</w:t>
      </w:r>
      <w:r>
        <w:rPr>
          <w:rFonts w:hint="eastAsia"/>
          <w:sz w:val="30"/>
          <w:szCs w:val="30"/>
        </w:rPr>
        <w:t>定，加倍支付迟延履行期间的债务利息。</w:t>
      </w:r>
    </w:p>
    <w:p w:rsidR="00000000" w:rsidRDefault="00584B1F">
      <w:pPr>
        <w:spacing w:line="500" w:lineRule="atLeast"/>
        <w:ind w:firstLine="600"/>
        <w:divId w:val="1286472710"/>
        <w:rPr>
          <w:rFonts w:hint="eastAsia"/>
          <w:sz w:val="30"/>
          <w:szCs w:val="30"/>
        </w:rPr>
      </w:pPr>
      <w:r>
        <w:rPr>
          <w:rFonts w:hint="eastAsia"/>
          <w:sz w:val="30"/>
          <w:szCs w:val="30"/>
        </w:rPr>
        <w:t>本判决为终审判决。</w:t>
      </w:r>
    </w:p>
    <w:p w:rsidR="00000000" w:rsidRDefault="00584B1F">
      <w:pPr>
        <w:spacing w:line="500" w:lineRule="atLeast"/>
        <w:jc w:val="right"/>
        <w:divId w:val="1960182813"/>
        <w:rPr>
          <w:rFonts w:hint="eastAsia"/>
          <w:sz w:val="30"/>
          <w:szCs w:val="30"/>
        </w:rPr>
      </w:pPr>
      <w:r>
        <w:rPr>
          <w:rFonts w:hint="eastAsia"/>
          <w:sz w:val="30"/>
          <w:szCs w:val="30"/>
        </w:rPr>
        <w:t>审判长　　史伟东</w:t>
      </w:r>
    </w:p>
    <w:p w:rsidR="00000000" w:rsidRDefault="00584B1F">
      <w:pPr>
        <w:spacing w:line="500" w:lineRule="atLeast"/>
        <w:jc w:val="right"/>
        <w:divId w:val="1258060553"/>
        <w:rPr>
          <w:rFonts w:hint="eastAsia"/>
          <w:sz w:val="30"/>
          <w:szCs w:val="30"/>
        </w:rPr>
      </w:pPr>
      <w:r>
        <w:rPr>
          <w:rFonts w:hint="eastAsia"/>
          <w:sz w:val="30"/>
          <w:szCs w:val="30"/>
        </w:rPr>
        <w:t>审判员　　许晓骁</w:t>
      </w:r>
    </w:p>
    <w:p w:rsidR="00000000" w:rsidRDefault="00584B1F">
      <w:pPr>
        <w:spacing w:line="500" w:lineRule="atLeast"/>
        <w:jc w:val="right"/>
        <w:divId w:val="574167191"/>
        <w:rPr>
          <w:rFonts w:hint="eastAsia"/>
          <w:sz w:val="30"/>
          <w:szCs w:val="30"/>
        </w:rPr>
      </w:pPr>
      <w:r>
        <w:rPr>
          <w:rFonts w:hint="eastAsia"/>
          <w:sz w:val="30"/>
          <w:szCs w:val="30"/>
        </w:rPr>
        <w:t>审判员　　熊雯毅</w:t>
      </w:r>
    </w:p>
    <w:p w:rsidR="00000000" w:rsidRDefault="00584B1F">
      <w:pPr>
        <w:spacing w:line="500" w:lineRule="atLeast"/>
        <w:jc w:val="right"/>
        <w:divId w:val="1623220313"/>
        <w:rPr>
          <w:rFonts w:hint="eastAsia"/>
          <w:sz w:val="30"/>
          <w:szCs w:val="30"/>
        </w:rPr>
      </w:pPr>
      <w:r>
        <w:rPr>
          <w:rFonts w:hint="eastAsia"/>
          <w:sz w:val="30"/>
          <w:szCs w:val="30"/>
        </w:rPr>
        <w:t>二〇一九年三月十三日</w:t>
      </w:r>
    </w:p>
    <w:p w:rsidR="00000000" w:rsidRDefault="00584B1F">
      <w:pPr>
        <w:spacing w:line="500" w:lineRule="atLeast"/>
        <w:jc w:val="right"/>
        <w:divId w:val="1751123651"/>
        <w:rPr>
          <w:rFonts w:hint="eastAsia"/>
          <w:sz w:val="30"/>
          <w:szCs w:val="30"/>
        </w:rPr>
      </w:pPr>
      <w:r>
        <w:rPr>
          <w:rFonts w:hint="eastAsia"/>
          <w:sz w:val="30"/>
          <w:szCs w:val="30"/>
        </w:rPr>
        <w:t>书记员　　陈　丽</w:t>
      </w:r>
    </w:p>
    <w:p w:rsidR="00000000" w:rsidRDefault="00584B1F">
      <w:pPr>
        <w:spacing w:line="500" w:lineRule="atLeast"/>
        <w:ind w:firstLine="600"/>
        <w:divId w:val="1768848137"/>
        <w:rPr>
          <w:rFonts w:hint="eastAsia"/>
          <w:sz w:val="30"/>
          <w:szCs w:val="30"/>
        </w:rPr>
      </w:pPr>
      <w:r>
        <w:rPr>
          <w:rFonts w:hint="eastAsia"/>
          <w:sz w:val="30"/>
          <w:szCs w:val="30"/>
        </w:rPr>
        <w:t>附：相关法律条文</w:t>
      </w:r>
    </w:p>
    <w:p w:rsidR="00000000" w:rsidRDefault="00584B1F">
      <w:pPr>
        <w:spacing w:line="500" w:lineRule="atLeast"/>
        <w:ind w:firstLine="600"/>
        <w:divId w:val="969018994"/>
        <w:rPr>
          <w:rFonts w:hint="eastAsia"/>
          <w:sz w:val="30"/>
          <w:szCs w:val="30"/>
        </w:rPr>
      </w:pPr>
      <w:r>
        <w:rPr>
          <w:rFonts w:hint="eastAsia"/>
          <w:sz w:val="30"/>
          <w:szCs w:val="30"/>
        </w:rPr>
        <w:t>《中华人民共和国民事诉讼法》</w:t>
      </w:r>
    </w:p>
    <w:p w:rsidR="00000000" w:rsidRDefault="00584B1F">
      <w:pPr>
        <w:spacing w:line="500" w:lineRule="atLeast"/>
        <w:ind w:firstLine="600"/>
        <w:divId w:val="1114518694"/>
        <w:rPr>
          <w:rFonts w:hint="eastAsia"/>
          <w:sz w:val="30"/>
          <w:szCs w:val="30"/>
        </w:rPr>
      </w:pPr>
      <w:r>
        <w:rPr>
          <w:rFonts w:hint="eastAsia"/>
          <w:sz w:val="30"/>
          <w:szCs w:val="30"/>
        </w:rPr>
        <w:t>第一百七十条第二审人民法院对上诉案件，经过审理，按照下列情形，分别处理：</w:t>
      </w:r>
    </w:p>
    <w:p w:rsidR="00000000" w:rsidRDefault="00584B1F">
      <w:pPr>
        <w:spacing w:line="500" w:lineRule="atLeast"/>
        <w:ind w:firstLine="600"/>
        <w:divId w:val="1656183141"/>
        <w:rPr>
          <w:rFonts w:hint="eastAsia"/>
          <w:sz w:val="30"/>
          <w:szCs w:val="30"/>
        </w:rPr>
      </w:pPr>
      <w:r>
        <w:rPr>
          <w:rFonts w:hint="eastAsia"/>
          <w:sz w:val="30"/>
          <w:szCs w:val="30"/>
        </w:rPr>
        <w:t>（一）原判决、裁定认定事实清楚，适用法律正确的，以判决、裁定方式驳回上诉，维持原判决、裁定；</w:t>
      </w:r>
    </w:p>
    <w:p w:rsidR="00000000" w:rsidRDefault="00584B1F">
      <w:pPr>
        <w:spacing w:line="500" w:lineRule="atLeast"/>
        <w:ind w:firstLine="600"/>
        <w:divId w:val="712465397"/>
        <w:rPr>
          <w:rFonts w:hint="eastAsia"/>
          <w:sz w:val="30"/>
          <w:szCs w:val="30"/>
        </w:rPr>
      </w:pPr>
      <w:r>
        <w:rPr>
          <w:rFonts w:hint="eastAsia"/>
          <w:sz w:val="30"/>
          <w:szCs w:val="30"/>
        </w:rPr>
        <w:t>……</w:t>
      </w:r>
    </w:p>
    <w:p w:rsidR="00000000" w:rsidRDefault="00584B1F">
      <w:pPr>
        <w:spacing w:line="500" w:lineRule="atLeast"/>
        <w:ind w:firstLine="600"/>
        <w:divId w:val="1881354667"/>
        <w:rPr>
          <w:rFonts w:hint="eastAsia"/>
          <w:sz w:val="30"/>
          <w:szCs w:val="30"/>
        </w:rPr>
      </w:pPr>
      <w:r>
        <w:rPr>
          <w:rFonts w:hint="eastAsia"/>
          <w:sz w:val="30"/>
          <w:szCs w:val="30"/>
        </w:rPr>
        <w:t>第一百四十四条被告经传票传唤，无正当理由拒不到庭的，或者未经法庭许可中途退庭的，可以缺席判决。</w:t>
      </w:r>
    </w:p>
    <w:p w:rsidR="00000000" w:rsidRDefault="00584B1F">
      <w:pPr>
        <w:spacing w:line="500" w:lineRule="atLeast"/>
        <w:ind w:firstLine="600"/>
        <w:divId w:val="21732775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B1F" w:rsidRDefault="00584B1F" w:rsidP="00584B1F">
      <w:r>
        <w:separator/>
      </w:r>
    </w:p>
  </w:endnote>
  <w:endnote w:type="continuationSeparator" w:id="0">
    <w:p w:rsidR="00584B1F" w:rsidRDefault="00584B1F" w:rsidP="00584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B1F" w:rsidRDefault="00584B1F" w:rsidP="00584B1F">
      <w:r>
        <w:separator/>
      </w:r>
    </w:p>
  </w:footnote>
  <w:footnote w:type="continuationSeparator" w:id="0">
    <w:p w:rsidR="00584B1F" w:rsidRDefault="00584B1F" w:rsidP="00584B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4B1F"/>
    <w:rsid w:val="0058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84B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4B1F"/>
    <w:rPr>
      <w:rFonts w:ascii="宋体" w:eastAsia="宋体" w:hAnsi="宋体" w:cs="宋体"/>
      <w:sz w:val="18"/>
      <w:szCs w:val="18"/>
    </w:rPr>
  </w:style>
  <w:style w:type="paragraph" w:styleId="a5">
    <w:name w:val="footer"/>
    <w:basedOn w:val="a"/>
    <w:link w:val="a6"/>
    <w:uiPriority w:val="99"/>
    <w:unhideWhenUsed/>
    <w:rsid w:val="00584B1F"/>
    <w:pPr>
      <w:tabs>
        <w:tab w:val="center" w:pos="4153"/>
        <w:tab w:val="right" w:pos="8306"/>
      </w:tabs>
      <w:snapToGrid w:val="0"/>
    </w:pPr>
    <w:rPr>
      <w:sz w:val="18"/>
      <w:szCs w:val="18"/>
    </w:rPr>
  </w:style>
  <w:style w:type="character" w:customStyle="1" w:styleId="a6">
    <w:name w:val="页脚 字符"/>
    <w:basedOn w:val="a0"/>
    <w:link w:val="a5"/>
    <w:uiPriority w:val="99"/>
    <w:rsid w:val="00584B1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2768">
      <w:marLeft w:val="0"/>
      <w:marRight w:val="0"/>
      <w:marTop w:val="10"/>
      <w:marBottom w:val="10"/>
      <w:divBdr>
        <w:top w:val="none" w:sz="0" w:space="0" w:color="auto"/>
        <w:left w:val="none" w:sz="0" w:space="0" w:color="auto"/>
        <w:bottom w:val="none" w:sz="0" w:space="0" w:color="auto"/>
        <w:right w:val="none" w:sz="0" w:space="0" w:color="auto"/>
      </w:divBdr>
    </w:div>
    <w:div w:id="111437887">
      <w:marLeft w:val="0"/>
      <w:marRight w:val="0"/>
      <w:marTop w:val="10"/>
      <w:marBottom w:val="10"/>
      <w:divBdr>
        <w:top w:val="none" w:sz="0" w:space="0" w:color="auto"/>
        <w:left w:val="none" w:sz="0" w:space="0" w:color="auto"/>
        <w:bottom w:val="none" w:sz="0" w:space="0" w:color="auto"/>
        <w:right w:val="none" w:sz="0" w:space="0" w:color="auto"/>
      </w:divBdr>
    </w:div>
    <w:div w:id="122499993">
      <w:marLeft w:val="0"/>
      <w:marRight w:val="0"/>
      <w:marTop w:val="10"/>
      <w:marBottom w:val="10"/>
      <w:divBdr>
        <w:top w:val="none" w:sz="0" w:space="0" w:color="auto"/>
        <w:left w:val="none" w:sz="0" w:space="0" w:color="auto"/>
        <w:bottom w:val="none" w:sz="0" w:space="0" w:color="auto"/>
        <w:right w:val="none" w:sz="0" w:space="0" w:color="auto"/>
      </w:divBdr>
    </w:div>
    <w:div w:id="171338387">
      <w:marLeft w:val="0"/>
      <w:marRight w:val="0"/>
      <w:marTop w:val="10"/>
      <w:marBottom w:val="10"/>
      <w:divBdr>
        <w:top w:val="none" w:sz="0" w:space="0" w:color="auto"/>
        <w:left w:val="none" w:sz="0" w:space="0" w:color="auto"/>
        <w:bottom w:val="none" w:sz="0" w:space="0" w:color="auto"/>
        <w:right w:val="none" w:sz="0" w:space="0" w:color="auto"/>
      </w:divBdr>
    </w:div>
    <w:div w:id="211814255">
      <w:marLeft w:val="0"/>
      <w:marRight w:val="0"/>
      <w:marTop w:val="10"/>
      <w:marBottom w:val="10"/>
      <w:divBdr>
        <w:top w:val="none" w:sz="0" w:space="0" w:color="auto"/>
        <w:left w:val="none" w:sz="0" w:space="0" w:color="auto"/>
        <w:bottom w:val="none" w:sz="0" w:space="0" w:color="auto"/>
        <w:right w:val="none" w:sz="0" w:space="0" w:color="auto"/>
      </w:divBdr>
    </w:div>
    <w:div w:id="217327750">
      <w:marLeft w:val="0"/>
      <w:marRight w:val="0"/>
      <w:marTop w:val="10"/>
      <w:marBottom w:val="10"/>
      <w:divBdr>
        <w:top w:val="none" w:sz="0" w:space="0" w:color="auto"/>
        <w:left w:val="none" w:sz="0" w:space="0" w:color="auto"/>
        <w:bottom w:val="none" w:sz="0" w:space="0" w:color="auto"/>
        <w:right w:val="none" w:sz="0" w:space="0" w:color="auto"/>
      </w:divBdr>
    </w:div>
    <w:div w:id="232198282">
      <w:marLeft w:val="0"/>
      <w:marRight w:val="0"/>
      <w:marTop w:val="10"/>
      <w:marBottom w:val="10"/>
      <w:divBdr>
        <w:top w:val="none" w:sz="0" w:space="0" w:color="auto"/>
        <w:left w:val="none" w:sz="0" w:space="0" w:color="auto"/>
        <w:bottom w:val="none" w:sz="0" w:space="0" w:color="auto"/>
        <w:right w:val="none" w:sz="0" w:space="0" w:color="auto"/>
      </w:divBdr>
    </w:div>
    <w:div w:id="266042827">
      <w:marLeft w:val="0"/>
      <w:marRight w:val="0"/>
      <w:marTop w:val="10"/>
      <w:marBottom w:val="10"/>
      <w:divBdr>
        <w:top w:val="none" w:sz="0" w:space="0" w:color="auto"/>
        <w:left w:val="none" w:sz="0" w:space="0" w:color="auto"/>
        <w:bottom w:val="none" w:sz="0" w:space="0" w:color="auto"/>
        <w:right w:val="none" w:sz="0" w:space="0" w:color="auto"/>
      </w:divBdr>
    </w:div>
    <w:div w:id="296302695">
      <w:marLeft w:val="0"/>
      <w:marRight w:val="0"/>
      <w:marTop w:val="10"/>
      <w:marBottom w:val="10"/>
      <w:divBdr>
        <w:top w:val="none" w:sz="0" w:space="0" w:color="auto"/>
        <w:left w:val="none" w:sz="0" w:space="0" w:color="auto"/>
        <w:bottom w:val="none" w:sz="0" w:space="0" w:color="auto"/>
        <w:right w:val="none" w:sz="0" w:space="0" w:color="auto"/>
      </w:divBdr>
    </w:div>
    <w:div w:id="296495564">
      <w:marLeft w:val="0"/>
      <w:marRight w:val="0"/>
      <w:marTop w:val="10"/>
      <w:marBottom w:val="10"/>
      <w:divBdr>
        <w:top w:val="none" w:sz="0" w:space="0" w:color="auto"/>
        <w:left w:val="none" w:sz="0" w:space="0" w:color="auto"/>
        <w:bottom w:val="none" w:sz="0" w:space="0" w:color="auto"/>
        <w:right w:val="none" w:sz="0" w:space="0" w:color="auto"/>
      </w:divBdr>
    </w:div>
    <w:div w:id="298926025">
      <w:marLeft w:val="0"/>
      <w:marRight w:val="0"/>
      <w:marTop w:val="10"/>
      <w:marBottom w:val="10"/>
      <w:divBdr>
        <w:top w:val="none" w:sz="0" w:space="0" w:color="auto"/>
        <w:left w:val="none" w:sz="0" w:space="0" w:color="auto"/>
        <w:bottom w:val="none" w:sz="0" w:space="0" w:color="auto"/>
        <w:right w:val="none" w:sz="0" w:space="0" w:color="auto"/>
      </w:divBdr>
    </w:div>
    <w:div w:id="422536073">
      <w:marLeft w:val="0"/>
      <w:marRight w:val="0"/>
      <w:marTop w:val="10"/>
      <w:marBottom w:val="10"/>
      <w:divBdr>
        <w:top w:val="none" w:sz="0" w:space="0" w:color="auto"/>
        <w:left w:val="none" w:sz="0" w:space="0" w:color="auto"/>
        <w:bottom w:val="none" w:sz="0" w:space="0" w:color="auto"/>
        <w:right w:val="none" w:sz="0" w:space="0" w:color="auto"/>
      </w:divBdr>
    </w:div>
    <w:div w:id="477697582">
      <w:marLeft w:val="0"/>
      <w:marRight w:val="0"/>
      <w:marTop w:val="10"/>
      <w:marBottom w:val="10"/>
      <w:divBdr>
        <w:top w:val="none" w:sz="0" w:space="0" w:color="auto"/>
        <w:left w:val="none" w:sz="0" w:space="0" w:color="auto"/>
        <w:bottom w:val="none" w:sz="0" w:space="0" w:color="auto"/>
        <w:right w:val="none" w:sz="0" w:space="0" w:color="auto"/>
      </w:divBdr>
    </w:div>
    <w:div w:id="522784748">
      <w:marLeft w:val="0"/>
      <w:marRight w:val="0"/>
      <w:marTop w:val="10"/>
      <w:marBottom w:val="10"/>
      <w:divBdr>
        <w:top w:val="none" w:sz="0" w:space="0" w:color="auto"/>
        <w:left w:val="none" w:sz="0" w:space="0" w:color="auto"/>
        <w:bottom w:val="none" w:sz="0" w:space="0" w:color="auto"/>
        <w:right w:val="none" w:sz="0" w:space="0" w:color="auto"/>
      </w:divBdr>
    </w:div>
    <w:div w:id="568929464">
      <w:marLeft w:val="0"/>
      <w:marRight w:val="0"/>
      <w:marTop w:val="10"/>
      <w:marBottom w:val="10"/>
      <w:divBdr>
        <w:top w:val="none" w:sz="0" w:space="0" w:color="auto"/>
        <w:left w:val="none" w:sz="0" w:space="0" w:color="auto"/>
        <w:bottom w:val="none" w:sz="0" w:space="0" w:color="auto"/>
        <w:right w:val="none" w:sz="0" w:space="0" w:color="auto"/>
      </w:divBdr>
    </w:div>
    <w:div w:id="571353056">
      <w:marLeft w:val="0"/>
      <w:marRight w:val="0"/>
      <w:marTop w:val="10"/>
      <w:marBottom w:val="10"/>
      <w:divBdr>
        <w:top w:val="none" w:sz="0" w:space="0" w:color="auto"/>
        <w:left w:val="none" w:sz="0" w:space="0" w:color="auto"/>
        <w:bottom w:val="none" w:sz="0" w:space="0" w:color="auto"/>
        <w:right w:val="none" w:sz="0" w:space="0" w:color="auto"/>
      </w:divBdr>
    </w:div>
    <w:div w:id="574167191">
      <w:marLeft w:val="0"/>
      <w:marRight w:val="720"/>
      <w:marTop w:val="10"/>
      <w:marBottom w:val="10"/>
      <w:divBdr>
        <w:top w:val="none" w:sz="0" w:space="0" w:color="auto"/>
        <w:left w:val="none" w:sz="0" w:space="0" w:color="auto"/>
        <w:bottom w:val="none" w:sz="0" w:space="0" w:color="auto"/>
        <w:right w:val="none" w:sz="0" w:space="0" w:color="auto"/>
      </w:divBdr>
    </w:div>
    <w:div w:id="686559137">
      <w:marLeft w:val="0"/>
      <w:marRight w:val="0"/>
      <w:marTop w:val="10"/>
      <w:marBottom w:val="10"/>
      <w:divBdr>
        <w:top w:val="none" w:sz="0" w:space="0" w:color="auto"/>
        <w:left w:val="none" w:sz="0" w:space="0" w:color="auto"/>
        <w:bottom w:val="none" w:sz="0" w:space="0" w:color="auto"/>
        <w:right w:val="none" w:sz="0" w:space="0" w:color="auto"/>
      </w:divBdr>
    </w:div>
    <w:div w:id="712465397">
      <w:marLeft w:val="0"/>
      <w:marRight w:val="0"/>
      <w:marTop w:val="10"/>
      <w:marBottom w:val="10"/>
      <w:divBdr>
        <w:top w:val="none" w:sz="0" w:space="0" w:color="auto"/>
        <w:left w:val="none" w:sz="0" w:space="0" w:color="auto"/>
        <w:bottom w:val="none" w:sz="0" w:space="0" w:color="auto"/>
        <w:right w:val="none" w:sz="0" w:space="0" w:color="auto"/>
      </w:divBdr>
    </w:div>
    <w:div w:id="735587639">
      <w:marLeft w:val="0"/>
      <w:marRight w:val="0"/>
      <w:marTop w:val="10"/>
      <w:marBottom w:val="10"/>
      <w:divBdr>
        <w:top w:val="none" w:sz="0" w:space="0" w:color="auto"/>
        <w:left w:val="none" w:sz="0" w:space="0" w:color="auto"/>
        <w:bottom w:val="none" w:sz="0" w:space="0" w:color="auto"/>
        <w:right w:val="none" w:sz="0" w:space="0" w:color="auto"/>
      </w:divBdr>
    </w:div>
    <w:div w:id="795877075">
      <w:marLeft w:val="0"/>
      <w:marRight w:val="0"/>
      <w:marTop w:val="10"/>
      <w:marBottom w:val="10"/>
      <w:divBdr>
        <w:top w:val="none" w:sz="0" w:space="0" w:color="auto"/>
        <w:left w:val="none" w:sz="0" w:space="0" w:color="auto"/>
        <w:bottom w:val="none" w:sz="0" w:space="0" w:color="auto"/>
        <w:right w:val="none" w:sz="0" w:space="0" w:color="auto"/>
      </w:divBdr>
    </w:div>
    <w:div w:id="800417501">
      <w:marLeft w:val="0"/>
      <w:marRight w:val="0"/>
      <w:marTop w:val="10"/>
      <w:marBottom w:val="10"/>
      <w:divBdr>
        <w:top w:val="none" w:sz="0" w:space="0" w:color="auto"/>
        <w:left w:val="none" w:sz="0" w:space="0" w:color="auto"/>
        <w:bottom w:val="none" w:sz="0" w:space="0" w:color="auto"/>
        <w:right w:val="none" w:sz="0" w:space="0" w:color="auto"/>
      </w:divBdr>
    </w:div>
    <w:div w:id="816871871">
      <w:marLeft w:val="0"/>
      <w:marRight w:val="0"/>
      <w:marTop w:val="10"/>
      <w:marBottom w:val="10"/>
      <w:divBdr>
        <w:top w:val="none" w:sz="0" w:space="0" w:color="auto"/>
        <w:left w:val="none" w:sz="0" w:space="0" w:color="auto"/>
        <w:bottom w:val="none" w:sz="0" w:space="0" w:color="auto"/>
        <w:right w:val="none" w:sz="0" w:space="0" w:color="auto"/>
      </w:divBdr>
    </w:div>
    <w:div w:id="825513097">
      <w:marLeft w:val="0"/>
      <w:marRight w:val="0"/>
      <w:marTop w:val="10"/>
      <w:marBottom w:val="10"/>
      <w:divBdr>
        <w:top w:val="none" w:sz="0" w:space="0" w:color="auto"/>
        <w:left w:val="none" w:sz="0" w:space="0" w:color="auto"/>
        <w:bottom w:val="none" w:sz="0" w:space="0" w:color="auto"/>
        <w:right w:val="none" w:sz="0" w:space="0" w:color="auto"/>
      </w:divBdr>
    </w:div>
    <w:div w:id="830027153">
      <w:marLeft w:val="0"/>
      <w:marRight w:val="0"/>
      <w:marTop w:val="10"/>
      <w:marBottom w:val="10"/>
      <w:divBdr>
        <w:top w:val="none" w:sz="0" w:space="0" w:color="auto"/>
        <w:left w:val="none" w:sz="0" w:space="0" w:color="auto"/>
        <w:bottom w:val="none" w:sz="0" w:space="0" w:color="auto"/>
        <w:right w:val="none" w:sz="0" w:space="0" w:color="auto"/>
      </w:divBdr>
    </w:div>
    <w:div w:id="854223992">
      <w:marLeft w:val="0"/>
      <w:marRight w:val="0"/>
      <w:marTop w:val="10"/>
      <w:marBottom w:val="10"/>
      <w:divBdr>
        <w:top w:val="none" w:sz="0" w:space="0" w:color="auto"/>
        <w:left w:val="none" w:sz="0" w:space="0" w:color="auto"/>
        <w:bottom w:val="none" w:sz="0" w:space="0" w:color="auto"/>
        <w:right w:val="none" w:sz="0" w:space="0" w:color="auto"/>
      </w:divBdr>
    </w:div>
    <w:div w:id="898832486">
      <w:marLeft w:val="0"/>
      <w:marRight w:val="0"/>
      <w:marTop w:val="10"/>
      <w:marBottom w:val="10"/>
      <w:divBdr>
        <w:top w:val="none" w:sz="0" w:space="0" w:color="auto"/>
        <w:left w:val="none" w:sz="0" w:space="0" w:color="auto"/>
        <w:bottom w:val="none" w:sz="0" w:space="0" w:color="auto"/>
        <w:right w:val="none" w:sz="0" w:space="0" w:color="auto"/>
      </w:divBdr>
    </w:div>
    <w:div w:id="905801706">
      <w:marLeft w:val="0"/>
      <w:marRight w:val="0"/>
      <w:marTop w:val="10"/>
      <w:marBottom w:val="10"/>
      <w:divBdr>
        <w:top w:val="none" w:sz="0" w:space="0" w:color="auto"/>
        <w:left w:val="none" w:sz="0" w:space="0" w:color="auto"/>
        <w:bottom w:val="none" w:sz="0" w:space="0" w:color="auto"/>
        <w:right w:val="none" w:sz="0" w:space="0" w:color="auto"/>
      </w:divBdr>
    </w:div>
    <w:div w:id="933434672">
      <w:marLeft w:val="0"/>
      <w:marRight w:val="0"/>
      <w:marTop w:val="10"/>
      <w:marBottom w:val="10"/>
      <w:divBdr>
        <w:top w:val="none" w:sz="0" w:space="0" w:color="auto"/>
        <w:left w:val="none" w:sz="0" w:space="0" w:color="auto"/>
        <w:bottom w:val="none" w:sz="0" w:space="0" w:color="auto"/>
        <w:right w:val="none" w:sz="0" w:space="0" w:color="auto"/>
      </w:divBdr>
    </w:div>
    <w:div w:id="935556399">
      <w:marLeft w:val="0"/>
      <w:marRight w:val="0"/>
      <w:marTop w:val="10"/>
      <w:marBottom w:val="10"/>
      <w:divBdr>
        <w:top w:val="none" w:sz="0" w:space="0" w:color="auto"/>
        <w:left w:val="none" w:sz="0" w:space="0" w:color="auto"/>
        <w:bottom w:val="none" w:sz="0" w:space="0" w:color="auto"/>
        <w:right w:val="none" w:sz="0" w:space="0" w:color="auto"/>
      </w:divBdr>
    </w:div>
    <w:div w:id="969018994">
      <w:marLeft w:val="0"/>
      <w:marRight w:val="0"/>
      <w:marTop w:val="10"/>
      <w:marBottom w:val="10"/>
      <w:divBdr>
        <w:top w:val="none" w:sz="0" w:space="0" w:color="auto"/>
        <w:left w:val="none" w:sz="0" w:space="0" w:color="auto"/>
        <w:bottom w:val="none" w:sz="0" w:space="0" w:color="auto"/>
        <w:right w:val="none" w:sz="0" w:space="0" w:color="auto"/>
      </w:divBdr>
    </w:div>
    <w:div w:id="969095293">
      <w:marLeft w:val="0"/>
      <w:marRight w:val="0"/>
      <w:marTop w:val="10"/>
      <w:marBottom w:val="10"/>
      <w:divBdr>
        <w:top w:val="none" w:sz="0" w:space="0" w:color="auto"/>
        <w:left w:val="none" w:sz="0" w:space="0" w:color="auto"/>
        <w:bottom w:val="none" w:sz="0" w:space="0" w:color="auto"/>
        <w:right w:val="none" w:sz="0" w:space="0" w:color="auto"/>
      </w:divBdr>
    </w:div>
    <w:div w:id="990445935">
      <w:marLeft w:val="0"/>
      <w:marRight w:val="0"/>
      <w:marTop w:val="10"/>
      <w:marBottom w:val="10"/>
      <w:divBdr>
        <w:top w:val="none" w:sz="0" w:space="0" w:color="auto"/>
        <w:left w:val="none" w:sz="0" w:space="0" w:color="auto"/>
        <w:bottom w:val="none" w:sz="0" w:space="0" w:color="auto"/>
        <w:right w:val="none" w:sz="0" w:space="0" w:color="auto"/>
      </w:divBdr>
    </w:div>
    <w:div w:id="1041398447">
      <w:marLeft w:val="0"/>
      <w:marRight w:val="0"/>
      <w:marTop w:val="10"/>
      <w:marBottom w:val="10"/>
      <w:divBdr>
        <w:top w:val="none" w:sz="0" w:space="0" w:color="auto"/>
        <w:left w:val="none" w:sz="0" w:space="0" w:color="auto"/>
        <w:bottom w:val="none" w:sz="0" w:space="0" w:color="auto"/>
        <w:right w:val="none" w:sz="0" w:space="0" w:color="auto"/>
      </w:divBdr>
    </w:div>
    <w:div w:id="1075206857">
      <w:marLeft w:val="0"/>
      <w:marRight w:val="0"/>
      <w:marTop w:val="10"/>
      <w:marBottom w:val="10"/>
      <w:divBdr>
        <w:top w:val="none" w:sz="0" w:space="0" w:color="auto"/>
        <w:left w:val="none" w:sz="0" w:space="0" w:color="auto"/>
        <w:bottom w:val="none" w:sz="0" w:space="0" w:color="auto"/>
        <w:right w:val="none" w:sz="0" w:space="0" w:color="auto"/>
      </w:divBdr>
    </w:div>
    <w:div w:id="1100762361">
      <w:marLeft w:val="0"/>
      <w:marRight w:val="0"/>
      <w:marTop w:val="10"/>
      <w:marBottom w:val="10"/>
      <w:divBdr>
        <w:top w:val="none" w:sz="0" w:space="0" w:color="auto"/>
        <w:left w:val="none" w:sz="0" w:space="0" w:color="auto"/>
        <w:bottom w:val="none" w:sz="0" w:space="0" w:color="auto"/>
        <w:right w:val="none" w:sz="0" w:space="0" w:color="auto"/>
      </w:divBdr>
    </w:div>
    <w:div w:id="1114518694">
      <w:marLeft w:val="0"/>
      <w:marRight w:val="0"/>
      <w:marTop w:val="10"/>
      <w:marBottom w:val="10"/>
      <w:divBdr>
        <w:top w:val="none" w:sz="0" w:space="0" w:color="auto"/>
        <w:left w:val="none" w:sz="0" w:space="0" w:color="auto"/>
        <w:bottom w:val="none" w:sz="0" w:space="0" w:color="auto"/>
        <w:right w:val="none" w:sz="0" w:space="0" w:color="auto"/>
      </w:divBdr>
    </w:div>
    <w:div w:id="1258060553">
      <w:marLeft w:val="0"/>
      <w:marRight w:val="720"/>
      <w:marTop w:val="10"/>
      <w:marBottom w:val="10"/>
      <w:divBdr>
        <w:top w:val="none" w:sz="0" w:space="0" w:color="auto"/>
        <w:left w:val="none" w:sz="0" w:space="0" w:color="auto"/>
        <w:bottom w:val="none" w:sz="0" w:space="0" w:color="auto"/>
        <w:right w:val="none" w:sz="0" w:space="0" w:color="auto"/>
      </w:divBdr>
    </w:div>
    <w:div w:id="1286472710">
      <w:marLeft w:val="0"/>
      <w:marRight w:val="0"/>
      <w:marTop w:val="10"/>
      <w:marBottom w:val="10"/>
      <w:divBdr>
        <w:top w:val="none" w:sz="0" w:space="0" w:color="auto"/>
        <w:left w:val="none" w:sz="0" w:space="0" w:color="auto"/>
        <w:bottom w:val="none" w:sz="0" w:space="0" w:color="auto"/>
        <w:right w:val="none" w:sz="0" w:space="0" w:color="auto"/>
      </w:divBdr>
    </w:div>
    <w:div w:id="1371877365">
      <w:marLeft w:val="0"/>
      <w:marRight w:val="0"/>
      <w:marTop w:val="10"/>
      <w:marBottom w:val="10"/>
      <w:divBdr>
        <w:top w:val="none" w:sz="0" w:space="0" w:color="auto"/>
        <w:left w:val="none" w:sz="0" w:space="0" w:color="auto"/>
        <w:bottom w:val="none" w:sz="0" w:space="0" w:color="auto"/>
        <w:right w:val="none" w:sz="0" w:space="0" w:color="auto"/>
      </w:divBdr>
    </w:div>
    <w:div w:id="1459881496">
      <w:marLeft w:val="0"/>
      <w:marRight w:val="0"/>
      <w:marTop w:val="10"/>
      <w:marBottom w:val="10"/>
      <w:divBdr>
        <w:top w:val="none" w:sz="0" w:space="0" w:color="auto"/>
        <w:left w:val="none" w:sz="0" w:space="0" w:color="auto"/>
        <w:bottom w:val="none" w:sz="0" w:space="0" w:color="auto"/>
        <w:right w:val="none" w:sz="0" w:space="0" w:color="auto"/>
      </w:divBdr>
    </w:div>
    <w:div w:id="1499926772">
      <w:marLeft w:val="0"/>
      <w:marRight w:val="0"/>
      <w:marTop w:val="10"/>
      <w:marBottom w:val="10"/>
      <w:divBdr>
        <w:top w:val="none" w:sz="0" w:space="0" w:color="auto"/>
        <w:left w:val="none" w:sz="0" w:space="0" w:color="auto"/>
        <w:bottom w:val="none" w:sz="0" w:space="0" w:color="auto"/>
        <w:right w:val="none" w:sz="0" w:space="0" w:color="auto"/>
      </w:divBdr>
    </w:div>
    <w:div w:id="1567106542">
      <w:marLeft w:val="0"/>
      <w:marRight w:val="0"/>
      <w:marTop w:val="10"/>
      <w:marBottom w:val="10"/>
      <w:divBdr>
        <w:top w:val="none" w:sz="0" w:space="0" w:color="auto"/>
        <w:left w:val="none" w:sz="0" w:space="0" w:color="auto"/>
        <w:bottom w:val="none" w:sz="0" w:space="0" w:color="auto"/>
        <w:right w:val="none" w:sz="0" w:space="0" w:color="auto"/>
      </w:divBdr>
    </w:div>
    <w:div w:id="1618100409">
      <w:marLeft w:val="0"/>
      <w:marRight w:val="0"/>
      <w:marTop w:val="10"/>
      <w:marBottom w:val="10"/>
      <w:divBdr>
        <w:top w:val="none" w:sz="0" w:space="0" w:color="auto"/>
        <w:left w:val="none" w:sz="0" w:space="0" w:color="auto"/>
        <w:bottom w:val="none" w:sz="0" w:space="0" w:color="auto"/>
        <w:right w:val="none" w:sz="0" w:space="0" w:color="auto"/>
      </w:divBdr>
    </w:div>
    <w:div w:id="1623220313">
      <w:marLeft w:val="0"/>
      <w:marRight w:val="720"/>
      <w:marTop w:val="10"/>
      <w:marBottom w:val="10"/>
      <w:divBdr>
        <w:top w:val="none" w:sz="0" w:space="0" w:color="auto"/>
        <w:left w:val="none" w:sz="0" w:space="0" w:color="auto"/>
        <w:bottom w:val="none" w:sz="0" w:space="0" w:color="auto"/>
        <w:right w:val="none" w:sz="0" w:space="0" w:color="auto"/>
      </w:divBdr>
    </w:div>
    <w:div w:id="1656183141">
      <w:marLeft w:val="0"/>
      <w:marRight w:val="0"/>
      <w:marTop w:val="10"/>
      <w:marBottom w:val="10"/>
      <w:divBdr>
        <w:top w:val="none" w:sz="0" w:space="0" w:color="auto"/>
        <w:left w:val="none" w:sz="0" w:space="0" w:color="auto"/>
        <w:bottom w:val="none" w:sz="0" w:space="0" w:color="auto"/>
        <w:right w:val="none" w:sz="0" w:space="0" w:color="auto"/>
      </w:divBdr>
    </w:div>
    <w:div w:id="1677414486">
      <w:marLeft w:val="0"/>
      <w:marRight w:val="0"/>
      <w:marTop w:val="10"/>
      <w:marBottom w:val="10"/>
      <w:divBdr>
        <w:top w:val="none" w:sz="0" w:space="0" w:color="auto"/>
        <w:left w:val="none" w:sz="0" w:space="0" w:color="auto"/>
        <w:bottom w:val="none" w:sz="0" w:space="0" w:color="auto"/>
        <w:right w:val="none" w:sz="0" w:space="0" w:color="auto"/>
      </w:divBdr>
    </w:div>
    <w:div w:id="1697391274">
      <w:marLeft w:val="0"/>
      <w:marRight w:val="0"/>
      <w:marTop w:val="10"/>
      <w:marBottom w:val="10"/>
      <w:divBdr>
        <w:top w:val="none" w:sz="0" w:space="0" w:color="auto"/>
        <w:left w:val="none" w:sz="0" w:space="0" w:color="auto"/>
        <w:bottom w:val="none" w:sz="0" w:space="0" w:color="auto"/>
        <w:right w:val="none" w:sz="0" w:space="0" w:color="auto"/>
      </w:divBdr>
    </w:div>
    <w:div w:id="1751123651">
      <w:marLeft w:val="0"/>
      <w:marRight w:val="720"/>
      <w:marTop w:val="10"/>
      <w:marBottom w:val="10"/>
      <w:divBdr>
        <w:top w:val="none" w:sz="0" w:space="0" w:color="auto"/>
        <w:left w:val="none" w:sz="0" w:space="0" w:color="auto"/>
        <w:bottom w:val="none" w:sz="0" w:space="0" w:color="auto"/>
        <w:right w:val="none" w:sz="0" w:space="0" w:color="auto"/>
      </w:divBdr>
    </w:div>
    <w:div w:id="1768848137">
      <w:marLeft w:val="0"/>
      <w:marRight w:val="0"/>
      <w:marTop w:val="10"/>
      <w:marBottom w:val="10"/>
      <w:divBdr>
        <w:top w:val="none" w:sz="0" w:space="0" w:color="auto"/>
        <w:left w:val="none" w:sz="0" w:space="0" w:color="auto"/>
        <w:bottom w:val="none" w:sz="0" w:space="0" w:color="auto"/>
        <w:right w:val="none" w:sz="0" w:space="0" w:color="auto"/>
      </w:divBdr>
    </w:div>
    <w:div w:id="1779568539">
      <w:marLeft w:val="0"/>
      <w:marRight w:val="0"/>
      <w:marTop w:val="10"/>
      <w:marBottom w:val="10"/>
      <w:divBdr>
        <w:top w:val="none" w:sz="0" w:space="0" w:color="auto"/>
        <w:left w:val="none" w:sz="0" w:space="0" w:color="auto"/>
        <w:bottom w:val="none" w:sz="0" w:space="0" w:color="auto"/>
        <w:right w:val="none" w:sz="0" w:space="0" w:color="auto"/>
      </w:divBdr>
    </w:div>
    <w:div w:id="1788423654">
      <w:marLeft w:val="0"/>
      <w:marRight w:val="0"/>
      <w:marTop w:val="10"/>
      <w:marBottom w:val="10"/>
      <w:divBdr>
        <w:top w:val="none" w:sz="0" w:space="0" w:color="auto"/>
        <w:left w:val="none" w:sz="0" w:space="0" w:color="auto"/>
        <w:bottom w:val="none" w:sz="0" w:space="0" w:color="auto"/>
        <w:right w:val="none" w:sz="0" w:space="0" w:color="auto"/>
      </w:divBdr>
    </w:div>
    <w:div w:id="1872959574">
      <w:marLeft w:val="0"/>
      <w:marRight w:val="0"/>
      <w:marTop w:val="10"/>
      <w:marBottom w:val="10"/>
      <w:divBdr>
        <w:top w:val="none" w:sz="0" w:space="0" w:color="auto"/>
        <w:left w:val="none" w:sz="0" w:space="0" w:color="auto"/>
        <w:bottom w:val="none" w:sz="0" w:space="0" w:color="auto"/>
        <w:right w:val="none" w:sz="0" w:space="0" w:color="auto"/>
      </w:divBdr>
    </w:div>
    <w:div w:id="1878155859">
      <w:marLeft w:val="0"/>
      <w:marRight w:val="0"/>
      <w:marTop w:val="10"/>
      <w:marBottom w:val="10"/>
      <w:divBdr>
        <w:top w:val="none" w:sz="0" w:space="0" w:color="auto"/>
        <w:left w:val="none" w:sz="0" w:space="0" w:color="auto"/>
        <w:bottom w:val="none" w:sz="0" w:space="0" w:color="auto"/>
        <w:right w:val="none" w:sz="0" w:space="0" w:color="auto"/>
      </w:divBdr>
    </w:div>
    <w:div w:id="1881354667">
      <w:marLeft w:val="0"/>
      <w:marRight w:val="0"/>
      <w:marTop w:val="10"/>
      <w:marBottom w:val="10"/>
      <w:divBdr>
        <w:top w:val="none" w:sz="0" w:space="0" w:color="auto"/>
        <w:left w:val="none" w:sz="0" w:space="0" w:color="auto"/>
        <w:bottom w:val="none" w:sz="0" w:space="0" w:color="auto"/>
        <w:right w:val="none" w:sz="0" w:space="0" w:color="auto"/>
      </w:divBdr>
    </w:div>
    <w:div w:id="1889563728">
      <w:marLeft w:val="0"/>
      <w:marRight w:val="0"/>
      <w:marTop w:val="10"/>
      <w:marBottom w:val="10"/>
      <w:divBdr>
        <w:top w:val="none" w:sz="0" w:space="0" w:color="auto"/>
        <w:left w:val="none" w:sz="0" w:space="0" w:color="auto"/>
        <w:bottom w:val="none" w:sz="0" w:space="0" w:color="auto"/>
        <w:right w:val="none" w:sz="0" w:space="0" w:color="auto"/>
      </w:divBdr>
    </w:div>
    <w:div w:id="1960182813">
      <w:marLeft w:val="0"/>
      <w:marRight w:val="720"/>
      <w:marTop w:val="10"/>
      <w:marBottom w:val="10"/>
      <w:divBdr>
        <w:top w:val="none" w:sz="0" w:space="0" w:color="auto"/>
        <w:left w:val="none" w:sz="0" w:space="0" w:color="auto"/>
        <w:bottom w:val="none" w:sz="0" w:space="0" w:color="auto"/>
        <w:right w:val="none" w:sz="0" w:space="0" w:color="auto"/>
      </w:divBdr>
    </w:div>
    <w:div w:id="1981691260">
      <w:marLeft w:val="0"/>
      <w:marRight w:val="0"/>
      <w:marTop w:val="10"/>
      <w:marBottom w:val="10"/>
      <w:divBdr>
        <w:top w:val="none" w:sz="0" w:space="0" w:color="auto"/>
        <w:left w:val="none" w:sz="0" w:space="0" w:color="auto"/>
        <w:bottom w:val="none" w:sz="0" w:space="0" w:color="auto"/>
        <w:right w:val="none" w:sz="0" w:space="0" w:color="auto"/>
      </w:divBdr>
    </w:div>
    <w:div w:id="2096509035">
      <w:marLeft w:val="0"/>
      <w:marRight w:val="0"/>
      <w:marTop w:val="10"/>
      <w:marBottom w:val="10"/>
      <w:divBdr>
        <w:top w:val="none" w:sz="0" w:space="0" w:color="auto"/>
        <w:left w:val="none" w:sz="0" w:space="0" w:color="auto"/>
        <w:bottom w:val="none" w:sz="0" w:space="0" w:color="auto"/>
        <w:right w:val="none" w:sz="0" w:space="0" w:color="auto"/>
      </w:divBdr>
    </w:div>
    <w:div w:id="211231510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