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12856">
      <w:pPr>
        <w:spacing w:line="500" w:lineRule="atLeast"/>
        <w:jc w:val="center"/>
        <w:divId w:val="369962695"/>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F12856">
      <w:pPr>
        <w:spacing w:line="500" w:lineRule="atLeast"/>
        <w:jc w:val="center"/>
        <w:divId w:val="7180130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12856">
      <w:pPr>
        <w:spacing w:line="500" w:lineRule="atLeast"/>
        <w:jc w:val="right"/>
        <w:divId w:val="1667246929"/>
        <w:rPr>
          <w:rFonts w:hint="eastAsia"/>
          <w:sz w:val="30"/>
          <w:szCs w:val="30"/>
        </w:rPr>
      </w:pPr>
      <w:r>
        <w:rPr>
          <w:rFonts w:hint="eastAsia"/>
          <w:sz w:val="30"/>
          <w:szCs w:val="30"/>
        </w:rPr>
        <w:t>（</w:t>
      </w:r>
      <w:r>
        <w:rPr>
          <w:rFonts w:hint="eastAsia"/>
          <w:sz w:val="30"/>
          <w:szCs w:val="30"/>
        </w:rPr>
        <w:t>2016</w:t>
      </w:r>
      <w:r>
        <w:rPr>
          <w:rFonts w:hint="eastAsia"/>
          <w:sz w:val="30"/>
          <w:szCs w:val="30"/>
        </w:rPr>
        <w:t>）最高法民申</w:t>
      </w:r>
      <w:r>
        <w:rPr>
          <w:rFonts w:hint="eastAsia"/>
          <w:sz w:val="30"/>
          <w:szCs w:val="30"/>
        </w:rPr>
        <w:t>299</w:t>
      </w:r>
      <w:r>
        <w:rPr>
          <w:rFonts w:hint="eastAsia"/>
          <w:sz w:val="30"/>
          <w:szCs w:val="30"/>
        </w:rPr>
        <w:t>号</w:t>
      </w:r>
    </w:p>
    <w:p w:rsidR="00000000" w:rsidRDefault="00F12856">
      <w:pPr>
        <w:spacing w:line="500" w:lineRule="atLeast"/>
        <w:ind w:firstLine="600"/>
        <w:divId w:val="1278949499"/>
        <w:rPr>
          <w:rFonts w:hint="eastAsia"/>
          <w:sz w:val="30"/>
          <w:szCs w:val="30"/>
        </w:rPr>
      </w:pPr>
      <w:r>
        <w:rPr>
          <w:rFonts w:hint="eastAsia"/>
          <w:sz w:val="30"/>
          <w:szCs w:val="30"/>
        </w:rPr>
        <w:t>再审申请人（一审原告、二审被上诉人）：王绍兴。</w:t>
      </w:r>
    </w:p>
    <w:p w:rsidR="00000000" w:rsidRDefault="00F12856">
      <w:pPr>
        <w:spacing w:line="500" w:lineRule="atLeast"/>
        <w:ind w:firstLine="600"/>
        <w:divId w:val="1715426014"/>
        <w:rPr>
          <w:rFonts w:hint="eastAsia"/>
          <w:sz w:val="30"/>
          <w:szCs w:val="30"/>
        </w:rPr>
      </w:pPr>
      <w:r>
        <w:rPr>
          <w:rFonts w:hint="eastAsia"/>
          <w:sz w:val="30"/>
          <w:szCs w:val="30"/>
        </w:rPr>
        <w:t>再审申请人（一审原告、二审被上诉人）：王良毅。</w:t>
      </w:r>
    </w:p>
    <w:p w:rsidR="00000000" w:rsidRDefault="00F12856">
      <w:pPr>
        <w:spacing w:line="500" w:lineRule="atLeast"/>
        <w:ind w:firstLine="600"/>
        <w:divId w:val="958224654"/>
        <w:rPr>
          <w:rFonts w:hint="eastAsia"/>
          <w:sz w:val="30"/>
          <w:szCs w:val="30"/>
        </w:rPr>
      </w:pPr>
      <w:r>
        <w:rPr>
          <w:rFonts w:hint="eastAsia"/>
          <w:sz w:val="30"/>
          <w:szCs w:val="30"/>
        </w:rPr>
        <w:t>二再审申请人共同委托诉讼代理人：蔡可尚，北京青葵律师事务所律师。</w:t>
      </w:r>
    </w:p>
    <w:p w:rsidR="00000000" w:rsidRDefault="00F12856">
      <w:pPr>
        <w:spacing w:line="500" w:lineRule="atLeast"/>
        <w:ind w:firstLine="600"/>
        <w:divId w:val="333266010"/>
        <w:rPr>
          <w:rFonts w:hint="eastAsia"/>
          <w:sz w:val="30"/>
          <w:szCs w:val="30"/>
        </w:rPr>
      </w:pPr>
      <w:r>
        <w:rPr>
          <w:rFonts w:hint="eastAsia"/>
          <w:sz w:val="30"/>
          <w:szCs w:val="30"/>
        </w:rPr>
        <w:t>二再审申请人共同委托诉讼代理人：刘岸，北京青葵律师事务所律师。</w:t>
      </w:r>
    </w:p>
    <w:p w:rsidR="00000000" w:rsidRDefault="00F12856">
      <w:pPr>
        <w:spacing w:line="500" w:lineRule="atLeast"/>
        <w:ind w:firstLine="600"/>
        <w:divId w:val="1766263599"/>
        <w:rPr>
          <w:rFonts w:hint="eastAsia"/>
          <w:sz w:val="30"/>
          <w:szCs w:val="30"/>
        </w:rPr>
      </w:pPr>
      <w:r>
        <w:rPr>
          <w:rFonts w:hint="eastAsia"/>
          <w:sz w:val="30"/>
          <w:szCs w:val="30"/>
        </w:rPr>
        <w:t>被申请人（一审被告、二审上诉人）：湖南金利房地产开发有限公司（以下简称金利公司）。</w:t>
      </w:r>
    </w:p>
    <w:p w:rsidR="00000000" w:rsidRDefault="00F12856">
      <w:pPr>
        <w:spacing w:line="500" w:lineRule="atLeast"/>
        <w:ind w:firstLine="600"/>
        <w:divId w:val="596208263"/>
        <w:rPr>
          <w:rFonts w:hint="eastAsia"/>
          <w:sz w:val="30"/>
          <w:szCs w:val="30"/>
        </w:rPr>
      </w:pPr>
      <w:r>
        <w:rPr>
          <w:rFonts w:hint="eastAsia"/>
          <w:sz w:val="30"/>
          <w:szCs w:val="30"/>
        </w:rPr>
        <w:t>法定代表人：郑静，该公司董事长。</w:t>
      </w:r>
    </w:p>
    <w:p w:rsidR="00000000" w:rsidRDefault="00F12856">
      <w:pPr>
        <w:spacing w:line="500" w:lineRule="atLeast"/>
        <w:ind w:firstLine="600"/>
        <w:divId w:val="1617132908"/>
        <w:rPr>
          <w:rFonts w:hint="eastAsia"/>
          <w:sz w:val="30"/>
          <w:szCs w:val="30"/>
        </w:rPr>
      </w:pPr>
      <w:r>
        <w:rPr>
          <w:rFonts w:hint="eastAsia"/>
          <w:sz w:val="30"/>
          <w:szCs w:val="30"/>
        </w:rPr>
        <w:t>委托诉讼代理人：马长生，男，</w:t>
      </w:r>
      <w:r>
        <w:rPr>
          <w:rFonts w:hint="eastAsia"/>
          <w:sz w:val="30"/>
          <w:szCs w:val="30"/>
        </w:rPr>
        <w:t>1944</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日出生，汉族，住长沙市开福区，该公司法律顾问。</w:t>
      </w:r>
    </w:p>
    <w:p w:rsidR="00000000" w:rsidRDefault="00F12856">
      <w:pPr>
        <w:spacing w:line="500" w:lineRule="atLeast"/>
        <w:ind w:firstLine="600"/>
        <w:divId w:val="1472946018"/>
        <w:rPr>
          <w:rFonts w:hint="eastAsia"/>
          <w:sz w:val="30"/>
          <w:szCs w:val="30"/>
        </w:rPr>
      </w:pPr>
      <w:r>
        <w:rPr>
          <w:rFonts w:hint="eastAsia"/>
          <w:sz w:val="30"/>
          <w:szCs w:val="30"/>
        </w:rPr>
        <w:t>再审申请人王绍兴、王良毅因与被申请人金利公司民间借贷纠纷一案，不服湖南省高级人民法院（</w:t>
      </w:r>
      <w:r>
        <w:rPr>
          <w:rFonts w:hint="eastAsia"/>
          <w:sz w:val="30"/>
          <w:szCs w:val="30"/>
        </w:rPr>
        <w:t>2015</w:t>
      </w:r>
      <w:r>
        <w:rPr>
          <w:rFonts w:hint="eastAsia"/>
          <w:sz w:val="30"/>
          <w:szCs w:val="30"/>
        </w:rPr>
        <w:t>）湘高法民一终字第</w:t>
      </w:r>
      <w:r>
        <w:rPr>
          <w:rFonts w:hint="eastAsia"/>
          <w:sz w:val="30"/>
          <w:szCs w:val="30"/>
        </w:rPr>
        <w:t>98</w:t>
      </w:r>
      <w:r>
        <w:rPr>
          <w:rFonts w:hint="eastAsia"/>
          <w:sz w:val="30"/>
          <w:szCs w:val="30"/>
        </w:rPr>
        <w:t>号民事判决，向本院申请再审。本院依法组成合议庭进行了审查，现已审查终结。</w:t>
      </w:r>
    </w:p>
    <w:p w:rsidR="00000000" w:rsidRDefault="00F12856">
      <w:pPr>
        <w:spacing w:line="500" w:lineRule="atLeast"/>
        <w:ind w:firstLine="600"/>
        <w:divId w:val="1344474765"/>
        <w:rPr>
          <w:rFonts w:hint="eastAsia"/>
          <w:sz w:val="30"/>
          <w:szCs w:val="30"/>
        </w:rPr>
      </w:pPr>
      <w:r>
        <w:rPr>
          <w:rFonts w:hint="eastAsia"/>
          <w:sz w:val="30"/>
          <w:szCs w:val="30"/>
        </w:rPr>
        <w:t>王绍兴、王良毅向本院申请再审称，再审申请人王绍兴、王良毅与被申请人金利公司之间民间借贷关系事实清楚，证据充分，二审法院认定再审申请人与被申请人金利公司之间不存在民间借贷关系，判决驳回再审申请人一审提出的全部诉讼请求，无事实和法律依</w:t>
      </w:r>
      <w:r>
        <w:rPr>
          <w:rFonts w:hint="eastAsia"/>
          <w:sz w:val="30"/>
          <w:szCs w:val="30"/>
        </w:rPr>
        <w:t>据。请求本院予以再审，依法保护再审申请人的合法权益。</w:t>
      </w:r>
    </w:p>
    <w:p w:rsidR="00000000" w:rsidRDefault="00F12856">
      <w:pPr>
        <w:spacing w:line="500" w:lineRule="atLeast"/>
        <w:ind w:firstLine="600"/>
        <w:divId w:val="961887821"/>
        <w:rPr>
          <w:rFonts w:hint="eastAsia"/>
          <w:sz w:val="30"/>
          <w:szCs w:val="30"/>
        </w:rPr>
      </w:pPr>
      <w:r>
        <w:rPr>
          <w:rFonts w:hint="eastAsia"/>
          <w:sz w:val="30"/>
          <w:szCs w:val="30"/>
        </w:rPr>
        <w:t>金利公司辩称，申请人提供的所有证据上加盖的公章均是王绍兴、王良毅私刻的，不是金利公司的真实意思表示。王绍兴、王良毅明知《公司法》、《会计法》规定公司高级管理人</w:t>
      </w:r>
      <w:r>
        <w:rPr>
          <w:rFonts w:hint="eastAsia"/>
          <w:sz w:val="30"/>
          <w:szCs w:val="30"/>
        </w:rPr>
        <w:lastRenderedPageBreak/>
        <w:t>员不得将公司资金以其个人名义或者以其他个人名义开立账户存储，仍将出借款项汇入张宪银个人账户，说明双方有恶意串通行为。王绍兴、王良毅在本案中存在违法行为，对该行为产生的后果，法院不应予以保护。</w:t>
      </w:r>
    </w:p>
    <w:p w:rsidR="00000000" w:rsidRDefault="00F12856">
      <w:pPr>
        <w:spacing w:line="500" w:lineRule="atLeast"/>
        <w:ind w:firstLine="600"/>
        <w:divId w:val="558790204"/>
        <w:rPr>
          <w:rFonts w:hint="eastAsia"/>
          <w:sz w:val="30"/>
          <w:szCs w:val="30"/>
        </w:rPr>
      </w:pPr>
      <w:r>
        <w:rPr>
          <w:rFonts w:hint="eastAsia"/>
          <w:sz w:val="30"/>
          <w:szCs w:val="30"/>
        </w:rPr>
        <w:t>本院经审查认为：本案是民间借贷纠纷。争议焦点在于张宪银以金利公司名义与王绍兴、王良毅签订的《借据》、《借款保</w:t>
      </w:r>
      <w:r>
        <w:rPr>
          <w:rFonts w:hint="eastAsia"/>
          <w:sz w:val="30"/>
          <w:szCs w:val="30"/>
        </w:rPr>
        <w:t>证合同》、《借款到位确认书》、《借款凭证》是否是金利公司的真实意思表示；金利公司是否实际占有和使用所借款项；张宪银与王绍兴、王良毅是否存在恶意串通损害金利公司利益的行为，二审判决驳回王绍兴、王良毅的诉讼请求是否有事实和法律依据。</w:t>
      </w:r>
    </w:p>
    <w:p w:rsidR="00000000" w:rsidRDefault="00F12856">
      <w:pPr>
        <w:spacing w:line="500" w:lineRule="atLeast"/>
        <w:ind w:firstLine="600"/>
        <w:divId w:val="136995950"/>
        <w:rPr>
          <w:rFonts w:hint="eastAsia"/>
          <w:sz w:val="30"/>
          <w:szCs w:val="30"/>
        </w:rPr>
      </w:pPr>
      <w:r>
        <w:rPr>
          <w:rFonts w:hint="eastAsia"/>
          <w:sz w:val="30"/>
          <w:szCs w:val="30"/>
        </w:rPr>
        <w:t>一、关于张宪银以金利公司名义与王绍兴、王良毅签订的《借据》、《借款保证合同》、《借款到位确认书》、《借款凭证》是否是金利公司的真实意思表示问题。</w:t>
      </w:r>
    </w:p>
    <w:p w:rsidR="00000000" w:rsidRDefault="00F12856">
      <w:pPr>
        <w:spacing w:line="500" w:lineRule="atLeast"/>
        <w:ind w:firstLine="600"/>
        <w:divId w:val="69622419"/>
        <w:rPr>
          <w:rFonts w:hint="eastAsia"/>
          <w:sz w:val="30"/>
          <w:szCs w:val="30"/>
        </w:rPr>
      </w:pPr>
      <w:r>
        <w:rPr>
          <w:rFonts w:hint="eastAsia"/>
          <w:sz w:val="30"/>
          <w:szCs w:val="30"/>
        </w:rPr>
        <w:t>《中华人民共和国公司法》第一百零三条规定，“股东出席股东大会会议，所持每一股份有一表决权。但是，公司持有的本公司股份没有表决权。股东大会</w:t>
      </w:r>
      <w:r>
        <w:rPr>
          <w:rFonts w:hint="eastAsia"/>
          <w:sz w:val="30"/>
          <w:szCs w:val="30"/>
        </w:rPr>
        <w:t>作出决议，必须经出席会议的股东所持表决权过半数通过。”张宪银占有金利公司</w:t>
      </w:r>
      <w:r>
        <w:rPr>
          <w:rFonts w:hint="eastAsia"/>
          <w:sz w:val="30"/>
          <w:szCs w:val="30"/>
        </w:rPr>
        <w:t>55%</w:t>
      </w:r>
      <w:r>
        <w:rPr>
          <w:rFonts w:hint="eastAsia"/>
          <w:sz w:val="30"/>
          <w:szCs w:val="30"/>
        </w:rPr>
        <w:t>股权，是控股股东。虽然案涉《股东会决议》上的另一股东管福勤的签字是张宪银代签，因公司实行的是股东多数决制度，故持有公司</w:t>
      </w:r>
      <w:r>
        <w:rPr>
          <w:rFonts w:hint="eastAsia"/>
          <w:sz w:val="30"/>
          <w:szCs w:val="30"/>
        </w:rPr>
        <w:t>55%</w:t>
      </w:r>
      <w:r>
        <w:rPr>
          <w:rFonts w:hint="eastAsia"/>
          <w:sz w:val="30"/>
          <w:szCs w:val="30"/>
        </w:rPr>
        <w:t>股权的公司控股股东张宪银已经签字，该《股东会决议》上加盖了金利公司公章，按公司法第一百零三条，股东会决议实际上已经股东持表决权过半数通过，该股东会决议为有效决议。张宪银出示了管福勤的授权委托书，王良毅、王绍兴有理由相信张宪银有权代表金利公司。原审仅凭《授权委托书》、三份《股东会决议》上“管福勤”署名并非其本人</w:t>
      </w:r>
      <w:r>
        <w:rPr>
          <w:rFonts w:hint="eastAsia"/>
          <w:sz w:val="30"/>
          <w:szCs w:val="30"/>
        </w:rPr>
        <w:t>所签为由，认定案涉《股东会决议》无效无法律依据。根据法</w:t>
      </w:r>
      <w:r>
        <w:rPr>
          <w:rFonts w:hint="eastAsia"/>
          <w:sz w:val="30"/>
          <w:szCs w:val="30"/>
        </w:rPr>
        <w:lastRenderedPageBreak/>
        <w:t>律规定和公司章程，公司法定代表人是唯一有权代表法人对外进行意思表示的主体，在法定权限内代表公司的对外作出的民事行为，所产生的法律后果，均应由其所代表的公司负法律责任。除非其超越权限，且相对人知道或者应当知道其超越权限以外。本案中，张宪银作为金利公司法定代表人、控股股东，以为公司能够正常经营为由以公司名义向王绍兴、王良毅借款，该行为并没有超过张宪银作为金利公司法定代表人的权限。王绍兴、王良毅有理由相信该代表行为合法有效。原审认定该民间借贷行为不是金利公司的</w:t>
      </w:r>
      <w:r>
        <w:rPr>
          <w:rFonts w:hint="eastAsia"/>
          <w:sz w:val="30"/>
          <w:szCs w:val="30"/>
        </w:rPr>
        <w:t>真实意思表示缺乏事实依据。</w:t>
      </w:r>
    </w:p>
    <w:p w:rsidR="00000000" w:rsidRDefault="00F12856">
      <w:pPr>
        <w:spacing w:line="500" w:lineRule="atLeast"/>
        <w:ind w:firstLine="600"/>
        <w:divId w:val="1288704690"/>
        <w:rPr>
          <w:rFonts w:hint="eastAsia"/>
          <w:sz w:val="30"/>
          <w:szCs w:val="30"/>
        </w:rPr>
      </w:pPr>
      <w:r>
        <w:rPr>
          <w:rFonts w:hint="eastAsia"/>
          <w:sz w:val="30"/>
          <w:szCs w:val="30"/>
        </w:rPr>
        <w:t>二、关于资金走向问题。</w:t>
      </w:r>
    </w:p>
    <w:p w:rsidR="00000000" w:rsidRDefault="00F12856">
      <w:pPr>
        <w:spacing w:line="500" w:lineRule="atLeast"/>
        <w:ind w:firstLine="600"/>
        <w:divId w:val="966400645"/>
        <w:rPr>
          <w:rFonts w:hint="eastAsia"/>
          <w:sz w:val="30"/>
          <w:szCs w:val="30"/>
        </w:rPr>
      </w:pPr>
      <w:r>
        <w:rPr>
          <w:rFonts w:hint="eastAsia"/>
          <w:sz w:val="30"/>
          <w:szCs w:val="30"/>
        </w:rPr>
        <w:t>本案王绍兴、王良毅已证明自己将</w:t>
      </w:r>
      <w:r>
        <w:rPr>
          <w:rFonts w:hint="eastAsia"/>
          <w:sz w:val="30"/>
          <w:szCs w:val="30"/>
        </w:rPr>
        <w:t>3000</w:t>
      </w:r>
      <w:r>
        <w:rPr>
          <w:rFonts w:hint="eastAsia"/>
          <w:sz w:val="30"/>
          <w:szCs w:val="30"/>
        </w:rPr>
        <w:t>万元资金转至张宪银账户，完成了举证责任。虽然案涉借款均汇入了张宪银账户，没有汇入金利公司账户，但是该款项是按照双方签订的合同约定支付的。王绍兴已举证</w:t>
      </w:r>
      <w:r>
        <w:rPr>
          <w:rFonts w:hint="eastAsia"/>
          <w:sz w:val="30"/>
          <w:szCs w:val="30"/>
        </w:rPr>
        <w:t>3000</w:t>
      </w:r>
      <w:r>
        <w:rPr>
          <w:rFonts w:hint="eastAsia"/>
          <w:sz w:val="30"/>
          <w:szCs w:val="30"/>
        </w:rPr>
        <w:t>万元资金是其从王芝强、项光平、黄剑武代表的朱成泽等人处筹措后，借给了张宪银代表的金利公司。而张宪银、朱成泽等人之间均存在长期的、多次的借贷关系。虽然</w:t>
      </w:r>
      <w:r>
        <w:rPr>
          <w:rFonts w:hint="eastAsia"/>
          <w:sz w:val="30"/>
          <w:szCs w:val="30"/>
        </w:rPr>
        <w:t>3000</w:t>
      </w:r>
      <w:r>
        <w:rPr>
          <w:rFonts w:hint="eastAsia"/>
          <w:sz w:val="30"/>
          <w:szCs w:val="30"/>
        </w:rPr>
        <w:t>万元中部分款项是从黄剑武等四人账户流向王绍兴账户、之后流向张宪银账户、张宪银又流向黄剑武，但公司高管将公司资金</w:t>
      </w:r>
      <w:r>
        <w:rPr>
          <w:rFonts w:hint="eastAsia"/>
          <w:sz w:val="30"/>
          <w:szCs w:val="30"/>
        </w:rPr>
        <w:t>存储在自己账户上，公司对该存款可以行使归入权，公司高管违反忠实义务的行为涉及善意第三人的，该行为仍应认定为有效。因此，本案仍有必要查清本案当事人及张宪银与案外人黄剑武（朱成泽）之间是否有其他关系。在没有其他证据佐证的情况下，认定王绍兴与金利公司之间未形成真实的</w:t>
      </w:r>
      <w:r>
        <w:rPr>
          <w:rFonts w:hint="eastAsia"/>
          <w:sz w:val="30"/>
          <w:szCs w:val="30"/>
        </w:rPr>
        <w:t>3000</w:t>
      </w:r>
      <w:r>
        <w:rPr>
          <w:rFonts w:hint="eastAsia"/>
          <w:sz w:val="30"/>
          <w:szCs w:val="30"/>
        </w:rPr>
        <w:t>万元借贷关系，得出“金利公司未占有使用该</w:t>
      </w:r>
      <w:r>
        <w:rPr>
          <w:rFonts w:hint="eastAsia"/>
          <w:sz w:val="30"/>
          <w:szCs w:val="30"/>
        </w:rPr>
        <w:t>3000</w:t>
      </w:r>
      <w:r>
        <w:rPr>
          <w:rFonts w:hint="eastAsia"/>
          <w:sz w:val="30"/>
          <w:szCs w:val="30"/>
        </w:rPr>
        <w:t>万元，张宪银也未占有使用该</w:t>
      </w:r>
      <w:r>
        <w:rPr>
          <w:rFonts w:hint="eastAsia"/>
          <w:sz w:val="30"/>
          <w:szCs w:val="30"/>
        </w:rPr>
        <w:t>3000</w:t>
      </w:r>
      <w:r>
        <w:rPr>
          <w:rFonts w:hint="eastAsia"/>
          <w:sz w:val="30"/>
          <w:szCs w:val="30"/>
        </w:rPr>
        <w:t>万元”的结论证据仍似不足。而关于该</w:t>
      </w:r>
      <w:r>
        <w:rPr>
          <w:rFonts w:hint="eastAsia"/>
          <w:sz w:val="30"/>
          <w:szCs w:val="30"/>
        </w:rPr>
        <w:t>3000</w:t>
      </w:r>
      <w:r>
        <w:rPr>
          <w:rFonts w:hint="eastAsia"/>
          <w:sz w:val="30"/>
          <w:szCs w:val="30"/>
        </w:rPr>
        <w:t>万元以外的</w:t>
      </w:r>
      <w:r>
        <w:rPr>
          <w:rFonts w:hint="eastAsia"/>
          <w:sz w:val="30"/>
          <w:szCs w:val="30"/>
        </w:rPr>
        <w:t>2500</w:t>
      </w:r>
      <w:r>
        <w:rPr>
          <w:rFonts w:hint="eastAsia"/>
          <w:sz w:val="30"/>
          <w:szCs w:val="30"/>
        </w:rPr>
        <w:t>万元款项，二审以借款的立据方式和走账流程与</w:t>
      </w:r>
      <w:r>
        <w:rPr>
          <w:rFonts w:hint="eastAsia"/>
          <w:sz w:val="30"/>
          <w:szCs w:val="30"/>
        </w:rPr>
        <w:t>3000</w:t>
      </w:r>
      <w:r>
        <w:rPr>
          <w:rFonts w:hint="eastAsia"/>
          <w:sz w:val="30"/>
          <w:szCs w:val="30"/>
        </w:rPr>
        <w:t>万元借款是一致借款的真实性亦存在疑问为由，认定没有真</w:t>
      </w:r>
      <w:r>
        <w:rPr>
          <w:rFonts w:hint="eastAsia"/>
          <w:sz w:val="30"/>
          <w:szCs w:val="30"/>
        </w:rPr>
        <w:t>实的借款关系显然存在证据不足的问题。</w:t>
      </w:r>
    </w:p>
    <w:p w:rsidR="00000000" w:rsidRDefault="00F12856">
      <w:pPr>
        <w:spacing w:line="500" w:lineRule="atLeast"/>
        <w:ind w:firstLine="600"/>
        <w:divId w:val="1653944549"/>
        <w:rPr>
          <w:rFonts w:hint="eastAsia"/>
          <w:sz w:val="30"/>
          <w:szCs w:val="30"/>
        </w:rPr>
      </w:pPr>
      <w:r>
        <w:rPr>
          <w:rFonts w:hint="eastAsia"/>
          <w:sz w:val="30"/>
          <w:szCs w:val="30"/>
        </w:rPr>
        <w:t>三、二审法院仅以“本案双方借款存在诸多不符合常理之处”为由，认定双方借款关系不真实违反民事诉讼的证据采信原则。</w:t>
      </w:r>
    </w:p>
    <w:p w:rsidR="00000000" w:rsidRDefault="00F12856">
      <w:pPr>
        <w:spacing w:line="500" w:lineRule="atLeast"/>
        <w:ind w:firstLine="600"/>
        <w:divId w:val="1316690615"/>
        <w:rPr>
          <w:rFonts w:hint="eastAsia"/>
          <w:sz w:val="30"/>
          <w:szCs w:val="30"/>
        </w:rPr>
      </w:pPr>
      <w:r>
        <w:rPr>
          <w:rFonts w:hint="eastAsia"/>
          <w:sz w:val="30"/>
          <w:szCs w:val="30"/>
        </w:rPr>
        <w:t>虽然借据中的落款日期</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日的借据中的“</w:t>
      </w:r>
      <w:r>
        <w:rPr>
          <w:rFonts w:hint="eastAsia"/>
          <w:sz w:val="30"/>
          <w:szCs w:val="30"/>
        </w:rPr>
        <w:t>3</w:t>
      </w:r>
      <w:r>
        <w:rPr>
          <w:rFonts w:hint="eastAsia"/>
          <w:sz w:val="30"/>
          <w:szCs w:val="30"/>
        </w:rPr>
        <w:t>”均是由“</w:t>
      </w:r>
      <w:r>
        <w:rPr>
          <w:rFonts w:hint="eastAsia"/>
          <w:sz w:val="30"/>
          <w:szCs w:val="30"/>
        </w:rPr>
        <w:t>2</w:t>
      </w:r>
      <w:r>
        <w:rPr>
          <w:rFonts w:hint="eastAsia"/>
          <w:sz w:val="30"/>
          <w:szCs w:val="30"/>
        </w:rPr>
        <w:t>”涂改形成，但双方经办人均在涂改处摁了指印，涂改后的日期并不影响其效力。虽然“</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日张宪银出具</w:t>
      </w:r>
      <w:r>
        <w:rPr>
          <w:rFonts w:hint="eastAsia"/>
          <w:sz w:val="30"/>
          <w:szCs w:val="30"/>
        </w:rPr>
        <w:t>200</w:t>
      </w:r>
      <w:r>
        <w:rPr>
          <w:rFonts w:hint="eastAsia"/>
          <w:sz w:val="30"/>
          <w:szCs w:val="30"/>
        </w:rPr>
        <w:t>万元的借据，借据出具时间在前汇款时间在后。同一借据上出现同一人右手捺印和同一人左手捺印的情况</w:t>
      </w:r>
      <w:r>
        <w:rPr>
          <w:rFonts w:hint="eastAsia"/>
          <w:sz w:val="30"/>
          <w:szCs w:val="30"/>
        </w:rPr>
        <w:t>,</w:t>
      </w:r>
      <w:r>
        <w:rPr>
          <w:rFonts w:hint="eastAsia"/>
          <w:sz w:val="30"/>
          <w:szCs w:val="30"/>
        </w:rPr>
        <w:t>张宪银出具借据上的印文是由两枚不同印章形成。”但是，这些行为系签约双方认可的，在没有足够证</w:t>
      </w:r>
      <w:r>
        <w:rPr>
          <w:rFonts w:hint="eastAsia"/>
          <w:sz w:val="30"/>
          <w:szCs w:val="30"/>
        </w:rPr>
        <w:t>据情况下，不能否定其真实性。虽然张宪银出具的借据中有的在借款人一栏签署的是金利公司，大部分零散的借据或借款凭证签署的借款人均是张宪银个人，但是，因为</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日金利公司《股东会决议》写明由张宪银向王绍兴、王良毅借款</w:t>
      </w:r>
      <w:r>
        <w:rPr>
          <w:rFonts w:hint="eastAsia"/>
          <w:sz w:val="30"/>
          <w:szCs w:val="30"/>
        </w:rPr>
        <w:t>3000</w:t>
      </w:r>
      <w:r>
        <w:rPr>
          <w:rFonts w:hint="eastAsia"/>
          <w:sz w:val="30"/>
          <w:szCs w:val="30"/>
        </w:rPr>
        <w:t>万元，所以，借款凭证上签张宪银个人名字也合乎情理。诉讼的功能就是厘清事实后进行判决，因此，不能因部分证据存在瑕疵就否定全部借款事实。至于“王绍兴、王良毅在债务人逾期还款时没有停止继续向金利公司借款。第二笔</w:t>
      </w:r>
      <w:r>
        <w:rPr>
          <w:rFonts w:hint="eastAsia"/>
          <w:sz w:val="30"/>
          <w:szCs w:val="30"/>
        </w:rPr>
        <w:t>2000</w:t>
      </w:r>
      <w:r>
        <w:rPr>
          <w:rFonts w:hint="eastAsia"/>
          <w:sz w:val="30"/>
          <w:szCs w:val="30"/>
        </w:rPr>
        <w:t>万元借款的借款合同花费</w:t>
      </w:r>
      <w:r>
        <w:rPr>
          <w:rFonts w:hint="eastAsia"/>
          <w:sz w:val="30"/>
          <w:szCs w:val="30"/>
        </w:rPr>
        <w:t>1</w:t>
      </w:r>
      <w:r>
        <w:rPr>
          <w:rFonts w:hint="eastAsia"/>
          <w:sz w:val="30"/>
          <w:szCs w:val="30"/>
        </w:rPr>
        <w:t>年多的时间才完成出借行为，张宪银去世前五天还向</w:t>
      </w:r>
      <w:r>
        <w:rPr>
          <w:rFonts w:hint="eastAsia"/>
          <w:sz w:val="30"/>
          <w:szCs w:val="30"/>
        </w:rPr>
        <w:t>张宪银账户汇入款项，王绍兴和王良毅在张宪银生前不向金利公司主张债权或者要求张宪银承担担保责任等”，均不能构成完整证据链条，证明借款事实未发生。此外，王绍兴和王良毅所提供的借款虽有部分是由案外人王明娟、张维泳、王仁康及张文豪汇入到张宪银个人账户的，上述案外人均未出庭作证，对上述案外人汇入张宪银账户的款项，有证据证明张宪银已予以认可，在无相反证据情况下，应计入张宪银代表金利公司向王绍兴、王良毅的借款。因此，本案还存在事实不清的问题，有待查明。</w:t>
      </w:r>
    </w:p>
    <w:p w:rsidR="00000000" w:rsidRDefault="00F12856">
      <w:pPr>
        <w:spacing w:line="500" w:lineRule="atLeast"/>
        <w:ind w:firstLine="600"/>
        <w:divId w:val="1888180147"/>
        <w:rPr>
          <w:rFonts w:hint="eastAsia"/>
          <w:sz w:val="30"/>
          <w:szCs w:val="30"/>
        </w:rPr>
      </w:pPr>
      <w:r>
        <w:rPr>
          <w:rFonts w:hint="eastAsia"/>
          <w:sz w:val="30"/>
          <w:szCs w:val="30"/>
        </w:rPr>
        <w:t>综上，依照《中华人民共和国民事诉讼法》第二百零四条、第二百零六条，《</w:t>
      </w:r>
      <w:r>
        <w:rPr>
          <w:rFonts w:hint="eastAsia"/>
          <w:sz w:val="30"/>
          <w:szCs w:val="30"/>
        </w:rPr>
        <w:t>最高人民法院关于适</w:t>
      </w:r>
      <w:r>
        <w:rPr>
          <w:rFonts w:hint="eastAsia"/>
          <w:sz w:val="30"/>
          <w:szCs w:val="30"/>
        </w:rPr>
        <w:t>用</w:t>
      </w:r>
      <w:r>
        <w:rPr>
          <w:rFonts w:hint="eastAsia"/>
          <w:sz w:val="30"/>
          <w:szCs w:val="30"/>
        </w:rPr>
        <w:t>的解释》第三百九十五条第一款的规定，裁定如下</w:t>
      </w:r>
      <w:r>
        <w:rPr>
          <w:rFonts w:hint="eastAsia"/>
          <w:sz w:val="30"/>
          <w:szCs w:val="30"/>
        </w:rPr>
        <w:t>:</w:t>
      </w:r>
    </w:p>
    <w:p w:rsidR="00000000" w:rsidRDefault="00F12856">
      <w:pPr>
        <w:spacing w:line="500" w:lineRule="atLeast"/>
        <w:ind w:firstLine="600"/>
        <w:divId w:val="459108646"/>
        <w:rPr>
          <w:rFonts w:hint="eastAsia"/>
          <w:sz w:val="30"/>
          <w:szCs w:val="30"/>
        </w:rPr>
      </w:pPr>
      <w:r>
        <w:rPr>
          <w:rFonts w:hint="eastAsia"/>
          <w:sz w:val="30"/>
          <w:szCs w:val="30"/>
        </w:rPr>
        <w:t>一、指令湖南省高级人民法院再审本案；</w:t>
      </w:r>
    </w:p>
    <w:p w:rsidR="00000000" w:rsidRDefault="00F12856">
      <w:pPr>
        <w:spacing w:line="500" w:lineRule="atLeast"/>
        <w:ind w:firstLine="600"/>
        <w:divId w:val="1944998529"/>
        <w:rPr>
          <w:rFonts w:hint="eastAsia"/>
          <w:sz w:val="30"/>
          <w:szCs w:val="30"/>
        </w:rPr>
      </w:pPr>
      <w:r>
        <w:rPr>
          <w:rFonts w:hint="eastAsia"/>
          <w:sz w:val="30"/>
          <w:szCs w:val="30"/>
        </w:rPr>
        <w:t>二、再审期间，中止原判决的执行。</w:t>
      </w:r>
    </w:p>
    <w:p w:rsidR="00000000" w:rsidRDefault="00F12856">
      <w:pPr>
        <w:spacing w:line="500" w:lineRule="atLeast"/>
        <w:jc w:val="right"/>
        <w:divId w:val="775633880"/>
        <w:rPr>
          <w:rFonts w:hint="eastAsia"/>
          <w:sz w:val="30"/>
          <w:szCs w:val="30"/>
        </w:rPr>
      </w:pPr>
      <w:r>
        <w:rPr>
          <w:rFonts w:hint="eastAsia"/>
          <w:sz w:val="30"/>
          <w:szCs w:val="30"/>
        </w:rPr>
        <w:t>审判长　　杨国香</w:t>
      </w:r>
    </w:p>
    <w:p w:rsidR="00000000" w:rsidRDefault="00F12856">
      <w:pPr>
        <w:spacing w:line="500" w:lineRule="atLeast"/>
        <w:jc w:val="right"/>
        <w:divId w:val="2039119611"/>
        <w:rPr>
          <w:rFonts w:hint="eastAsia"/>
          <w:sz w:val="30"/>
          <w:szCs w:val="30"/>
        </w:rPr>
      </w:pPr>
      <w:r>
        <w:rPr>
          <w:rFonts w:hint="eastAsia"/>
          <w:sz w:val="30"/>
          <w:szCs w:val="30"/>
        </w:rPr>
        <w:t>审判员　　周其濛</w:t>
      </w:r>
    </w:p>
    <w:p w:rsidR="00000000" w:rsidRDefault="00F12856">
      <w:pPr>
        <w:spacing w:line="500" w:lineRule="atLeast"/>
        <w:jc w:val="right"/>
        <w:divId w:val="315302938"/>
        <w:rPr>
          <w:rFonts w:hint="eastAsia"/>
          <w:sz w:val="30"/>
          <w:szCs w:val="30"/>
        </w:rPr>
      </w:pPr>
      <w:r>
        <w:rPr>
          <w:rFonts w:hint="eastAsia"/>
          <w:sz w:val="30"/>
          <w:szCs w:val="30"/>
        </w:rPr>
        <w:t>审判员　　宁　晟</w:t>
      </w:r>
    </w:p>
    <w:p w:rsidR="00000000" w:rsidRDefault="00F12856">
      <w:pPr>
        <w:spacing w:line="500" w:lineRule="atLeast"/>
        <w:jc w:val="right"/>
        <w:divId w:val="2060938744"/>
        <w:rPr>
          <w:rFonts w:hint="eastAsia"/>
          <w:sz w:val="30"/>
          <w:szCs w:val="30"/>
        </w:rPr>
      </w:pPr>
      <w:r>
        <w:rPr>
          <w:rFonts w:hint="eastAsia"/>
          <w:sz w:val="30"/>
          <w:szCs w:val="30"/>
        </w:rPr>
        <w:t>二〇一八年七月十三日</w:t>
      </w:r>
    </w:p>
    <w:p w:rsidR="00000000" w:rsidRDefault="00F12856">
      <w:pPr>
        <w:spacing w:line="500" w:lineRule="atLeast"/>
        <w:jc w:val="right"/>
        <w:divId w:val="1771970329"/>
        <w:rPr>
          <w:rFonts w:hint="eastAsia"/>
          <w:sz w:val="30"/>
          <w:szCs w:val="30"/>
        </w:rPr>
      </w:pPr>
      <w:r>
        <w:rPr>
          <w:rFonts w:hint="eastAsia"/>
          <w:sz w:val="30"/>
          <w:szCs w:val="30"/>
        </w:rPr>
        <w:t>书记员　　柳　珊</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856" w:rsidRDefault="00F12856" w:rsidP="00F12856">
      <w:r>
        <w:separator/>
      </w:r>
    </w:p>
  </w:endnote>
  <w:endnote w:type="continuationSeparator" w:id="0">
    <w:p w:rsidR="00F12856" w:rsidRDefault="00F12856" w:rsidP="00F1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856" w:rsidRDefault="00F12856" w:rsidP="00F12856">
      <w:r>
        <w:separator/>
      </w:r>
    </w:p>
  </w:footnote>
  <w:footnote w:type="continuationSeparator" w:id="0">
    <w:p w:rsidR="00F12856" w:rsidRDefault="00F12856" w:rsidP="00F12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2856"/>
    <w:rsid w:val="00F12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128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856"/>
    <w:rPr>
      <w:rFonts w:ascii="宋体" w:eastAsia="宋体" w:hAnsi="宋体" w:cs="宋体"/>
      <w:sz w:val="18"/>
      <w:szCs w:val="18"/>
    </w:rPr>
  </w:style>
  <w:style w:type="paragraph" w:styleId="a5">
    <w:name w:val="footer"/>
    <w:basedOn w:val="a"/>
    <w:link w:val="a6"/>
    <w:uiPriority w:val="99"/>
    <w:unhideWhenUsed/>
    <w:rsid w:val="00F12856"/>
    <w:pPr>
      <w:tabs>
        <w:tab w:val="center" w:pos="4153"/>
        <w:tab w:val="right" w:pos="8306"/>
      </w:tabs>
      <w:snapToGrid w:val="0"/>
    </w:pPr>
    <w:rPr>
      <w:sz w:val="18"/>
      <w:szCs w:val="18"/>
    </w:rPr>
  </w:style>
  <w:style w:type="character" w:customStyle="1" w:styleId="a6">
    <w:name w:val="页脚 字符"/>
    <w:basedOn w:val="a0"/>
    <w:link w:val="a5"/>
    <w:uiPriority w:val="99"/>
    <w:rsid w:val="00F1285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419">
      <w:marLeft w:val="0"/>
      <w:marRight w:val="0"/>
      <w:marTop w:val="10"/>
      <w:marBottom w:val="10"/>
      <w:divBdr>
        <w:top w:val="none" w:sz="0" w:space="0" w:color="auto"/>
        <w:left w:val="none" w:sz="0" w:space="0" w:color="auto"/>
        <w:bottom w:val="none" w:sz="0" w:space="0" w:color="auto"/>
        <w:right w:val="none" w:sz="0" w:space="0" w:color="auto"/>
      </w:divBdr>
    </w:div>
    <w:div w:id="136995950">
      <w:marLeft w:val="0"/>
      <w:marRight w:val="0"/>
      <w:marTop w:val="10"/>
      <w:marBottom w:val="10"/>
      <w:divBdr>
        <w:top w:val="none" w:sz="0" w:space="0" w:color="auto"/>
        <w:left w:val="none" w:sz="0" w:space="0" w:color="auto"/>
        <w:bottom w:val="none" w:sz="0" w:space="0" w:color="auto"/>
        <w:right w:val="none" w:sz="0" w:space="0" w:color="auto"/>
      </w:divBdr>
    </w:div>
    <w:div w:id="315302938">
      <w:marLeft w:val="0"/>
      <w:marRight w:val="720"/>
      <w:marTop w:val="10"/>
      <w:marBottom w:val="10"/>
      <w:divBdr>
        <w:top w:val="none" w:sz="0" w:space="0" w:color="auto"/>
        <w:left w:val="none" w:sz="0" w:space="0" w:color="auto"/>
        <w:bottom w:val="none" w:sz="0" w:space="0" w:color="auto"/>
        <w:right w:val="none" w:sz="0" w:space="0" w:color="auto"/>
      </w:divBdr>
    </w:div>
    <w:div w:id="333266010">
      <w:marLeft w:val="0"/>
      <w:marRight w:val="0"/>
      <w:marTop w:val="10"/>
      <w:marBottom w:val="10"/>
      <w:divBdr>
        <w:top w:val="none" w:sz="0" w:space="0" w:color="auto"/>
        <w:left w:val="none" w:sz="0" w:space="0" w:color="auto"/>
        <w:bottom w:val="none" w:sz="0" w:space="0" w:color="auto"/>
        <w:right w:val="none" w:sz="0" w:space="0" w:color="auto"/>
      </w:divBdr>
    </w:div>
    <w:div w:id="369962695">
      <w:marLeft w:val="0"/>
      <w:marRight w:val="0"/>
      <w:marTop w:val="10"/>
      <w:marBottom w:val="10"/>
      <w:divBdr>
        <w:top w:val="none" w:sz="0" w:space="0" w:color="auto"/>
        <w:left w:val="none" w:sz="0" w:space="0" w:color="auto"/>
        <w:bottom w:val="none" w:sz="0" w:space="0" w:color="auto"/>
        <w:right w:val="none" w:sz="0" w:space="0" w:color="auto"/>
      </w:divBdr>
    </w:div>
    <w:div w:id="459108646">
      <w:marLeft w:val="0"/>
      <w:marRight w:val="0"/>
      <w:marTop w:val="10"/>
      <w:marBottom w:val="10"/>
      <w:divBdr>
        <w:top w:val="none" w:sz="0" w:space="0" w:color="auto"/>
        <w:left w:val="none" w:sz="0" w:space="0" w:color="auto"/>
        <w:bottom w:val="none" w:sz="0" w:space="0" w:color="auto"/>
        <w:right w:val="none" w:sz="0" w:space="0" w:color="auto"/>
      </w:divBdr>
    </w:div>
    <w:div w:id="558790204">
      <w:marLeft w:val="0"/>
      <w:marRight w:val="0"/>
      <w:marTop w:val="10"/>
      <w:marBottom w:val="10"/>
      <w:divBdr>
        <w:top w:val="none" w:sz="0" w:space="0" w:color="auto"/>
        <w:left w:val="none" w:sz="0" w:space="0" w:color="auto"/>
        <w:bottom w:val="none" w:sz="0" w:space="0" w:color="auto"/>
        <w:right w:val="none" w:sz="0" w:space="0" w:color="auto"/>
      </w:divBdr>
    </w:div>
    <w:div w:id="596208263">
      <w:marLeft w:val="0"/>
      <w:marRight w:val="0"/>
      <w:marTop w:val="10"/>
      <w:marBottom w:val="10"/>
      <w:divBdr>
        <w:top w:val="none" w:sz="0" w:space="0" w:color="auto"/>
        <w:left w:val="none" w:sz="0" w:space="0" w:color="auto"/>
        <w:bottom w:val="none" w:sz="0" w:space="0" w:color="auto"/>
        <w:right w:val="none" w:sz="0" w:space="0" w:color="auto"/>
      </w:divBdr>
    </w:div>
    <w:div w:id="718013099">
      <w:marLeft w:val="0"/>
      <w:marRight w:val="0"/>
      <w:marTop w:val="10"/>
      <w:marBottom w:val="10"/>
      <w:divBdr>
        <w:top w:val="none" w:sz="0" w:space="0" w:color="auto"/>
        <w:left w:val="none" w:sz="0" w:space="0" w:color="auto"/>
        <w:bottom w:val="none" w:sz="0" w:space="0" w:color="auto"/>
        <w:right w:val="none" w:sz="0" w:space="0" w:color="auto"/>
      </w:divBdr>
    </w:div>
    <w:div w:id="775633880">
      <w:marLeft w:val="0"/>
      <w:marRight w:val="720"/>
      <w:marTop w:val="10"/>
      <w:marBottom w:val="10"/>
      <w:divBdr>
        <w:top w:val="none" w:sz="0" w:space="0" w:color="auto"/>
        <w:left w:val="none" w:sz="0" w:space="0" w:color="auto"/>
        <w:bottom w:val="none" w:sz="0" w:space="0" w:color="auto"/>
        <w:right w:val="none" w:sz="0" w:space="0" w:color="auto"/>
      </w:divBdr>
    </w:div>
    <w:div w:id="958224654">
      <w:marLeft w:val="0"/>
      <w:marRight w:val="0"/>
      <w:marTop w:val="10"/>
      <w:marBottom w:val="10"/>
      <w:divBdr>
        <w:top w:val="none" w:sz="0" w:space="0" w:color="auto"/>
        <w:left w:val="none" w:sz="0" w:space="0" w:color="auto"/>
        <w:bottom w:val="none" w:sz="0" w:space="0" w:color="auto"/>
        <w:right w:val="none" w:sz="0" w:space="0" w:color="auto"/>
      </w:divBdr>
    </w:div>
    <w:div w:id="961887821">
      <w:marLeft w:val="0"/>
      <w:marRight w:val="0"/>
      <w:marTop w:val="10"/>
      <w:marBottom w:val="10"/>
      <w:divBdr>
        <w:top w:val="none" w:sz="0" w:space="0" w:color="auto"/>
        <w:left w:val="none" w:sz="0" w:space="0" w:color="auto"/>
        <w:bottom w:val="none" w:sz="0" w:space="0" w:color="auto"/>
        <w:right w:val="none" w:sz="0" w:space="0" w:color="auto"/>
      </w:divBdr>
    </w:div>
    <w:div w:id="966400645">
      <w:marLeft w:val="0"/>
      <w:marRight w:val="0"/>
      <w:marTop w:val="10"/>
      <w:marBottom w:val="10"/>
      <w:divBdr>
        <w:top w:val="none" w:sz="0" w:space="0" w:color="auto"/>
        <w:left w:val="none" w:sz="0" w:space="0" w:color="auto"/>
        <w:bottom w:val="none" w:sz="0" w:space="0" w:color="auto"/>
        <w:right w:val="none" w:sz="0" w:space="0" w:color="auto"/>
      </w:divBdr>
    </w:div>
    <w:div w:id="1278949499">
      <w:marLeft w:val="0"/>
      <w:marRight w:val="0"/>
      <w:marTop w:val="10"/>
      <w:marBottom w:val="10"/>
      <w:divBdr>
        <w:top w:val="none" w:sz="0" w:space="0" w:color="auto"/>
        <w:left w:val="none" w:sz="0" w:space="0" w:color="auto"/>
        <w:bottom w:val="none" w:sz="0" w:space="0" w:color="auto"/>
        <w:right w:val="none" w:sz="0" w:space="0" w:color="auto"/>
      </w:divBdr>
    </w:div>
    <w:div w:id="1288704690">
      <w:marLeft w:val="0"/>
      <w:marRight w:val="0"/>
      <w:marTop w:val="10"/>
      <w:marBottom w:val="10"/>
      <w:divBdr>
        <w:top w:val="none" w:sz="0" w:space="0" w:color="auto"/>
        <w:left w:val="none" w:sz="0" w:space="0" w:color="auto"/>
        <w:bottom w:val="none" w:sz="0" w:space="0" w:color="auto"/>
        <w:right w:val="none" w:sz="0" w:space="0" w:color="auto"/>
      </w:divBdr>
    </w:div>
    <w:div w:id="1316690615">
      <w:marLeft w:val="0"/>
      <w:marRight w:val="0"/>
      <w:marTop w:val="10"/>
      <w:marBottom w:val="10"/>
      <w:divBdr>
        <w:top w:val="none" w:sz="0" w:space="0" w:color="auto"/>
        <w:left w:val="none" w:sz="0" w:space="0" w:color="auto"/>
        <w:bottom w:val="none" w:sz="0" w:space="0" w:color="auto"/>
        <w:right w:val="none" w:sz="0" w:space="0" w:color="auto"/>
      </w:divBdr>
    </w:div>
    <w:div w:id="1344474765">
      <w:marLeft w:val="0"/>
      <w:marRight w:val="0"/>
      <w:marTop w:val="10"/>
      <w:marBottom w:val="10"/>
      <w:divBdr>
        <w:top w:val="none" w:sz="0" w:space="0" w:color="auto"/>
        <w:left w:val="none" w:sz="0" w:space="0" w:color="auto"/>
        <w:bottom w:val="none" w:sz="0" w:space="0" w:color="auto"/>
        <w:right w:val="none" w:sz="0" w:space="0" w:color="auto"/>
      </w:divBdr>
    </w:div>
    <w:div w:id="1472946018">
      <w:marLeft w:val="0"/>
      <w:marRight w:val="0"/>
      <w:marTop w:val="10"/>
      <w:marBottom w:val="10"/>
      <w:divBdr>
        <w:top w:val="none" w:sz="0" w:space="0" w:color="auto"/>
        <w:left w:val="none" w:sz="0" w:space="0" w:color="auto"/>
        <w:bottom w:val="none" w:sz="0" w:space="0" w:color="auto"/>
        <w:right w:val="none" w:sz="0" w:space="0" w:color="auto"/>
      </w:divBdr>
    </w:div>
    <w:div w:id="1617132908">
      <w:marLeft w:val="0"/>
      <w:marRight w:val="0"/>
      <w:marTop w:val="10"/>
      <w:marBottom w:val="10"/>
      <w:divBdr>
        <w:top w:val="none" w:sz="0" w:space="0" w:color="auto"/>
        <w:left w:val="none" w:sz="0" w:space="0" w:color="auto"/>
        <w:bottom w:val="none" w:sz="0" w:space="0" w:color="auto"/>
        <w:right w:val="none" w:sz="0" w:space="0" w:color="auto"/>
      </w:divBdr>
    </w:div>
    <w:div w:id="1653944549">
      <w:marLeft w:val="0"/>
      <w:marRight w:val="0"/>
      <w:marTop w:val="10"/>
      <w:marBottom w:val="10"/>
      <w:divBdr>
        <w:top w:val="none" w:sz="0" w:space="0" w:color="auto"/>
        <w:left w:val="none" w:sz="0" w:space="0" w:color="auto"/>
        <w:bottom w:val="none" w:sz="0" w:space="0" w:color="auto"/>
        <w:right w:val="none" w:sz="0" w:space="0" w:color="auto"/>
      </w:divBdr>
    </w:div>
    <w:div w:id="1667246929">
      <w:marLeft w:val="0"/>
      <w:marRight w:val="0"/>
      <w:marTop w:val="10"/>
      <w:marBottom w:val="10"/>
      <w:divBdr>
        <w:top w:val="none" w:sz="0" w:space="0" w:color="auto"/>
        <w:left w:val="none" w:sz="0" w:space="0" w:color="auto"/>
        <w:bottom w:val="none" w:sz="0" w:space="0" w:color="auto"/>
        <w:right w:val="none" w:sz="0" w:space="0" w:color="auto"/>
      </w:divBdr>
    </w:div>
    <w:div w:id="1715426014">
      <w:marLeft w:val="0"/>
      <w:marRight w:val="0"/>
      <w:marTop w:val="10"/>
      <w:marBottom w:val="10"/>
      <w:divBdr>
        <w:top w:val="none" w:sz="0" w:space="0" w:color="auto"/>
        <w:left w:val="none" w:sz="0" w:space="0" w:color="auto"/>
        <w:bottom w:val="none" w:sz="0" w:space="0" w:color="auto"/>
        <w:right w:val="none" w:sz="0" w:space="0" w:color="auto"/>
      </w:divBdr>
    </w:div>
    <w:div w:id="1766263599">
      <w:marLeft w:val="0"/>
      <w:marRight w:val="0"/>
      <w:marTop w:val="10"/>
      <w:marBottom w:val="10"/>
      <w:divBdr>
        <w:top w:val="none" w:sz="0" w:space="0" w:color="auto"/>
        <w:left w:val="none" w:sz="0" w:space="0" w:color="auto"/>
        <w:bottom w:val="none" w:sz="0" w:space="0" w:color="auto"/>
        <w:right w:val="none" w:sz="0" w:space="0" w:color="auto"/>
      </w:divBdr>
    </w:div>
    <w:div w:id="1771970329">
      <w:marLeft w:val="0"/>
      <w:marRight w:val="720"/>
      <w:marTop w:val="10"/>
      <w:marBottom w:val="10"/>
      <w:divBdr>
        <w:top w:val="none" w:sz="0" w:space="0" w:color="auto"/>
        <w:left w:val="none" w:sz="0" w:space="0" w:color="auto"/>
        <w:bottom w:val="none" w:sz="0" w:space="0" w:color="auto"/>
        <w:right w:val="none" w:sz="0" w:space="0" w:color="auto"/>
      </w:divBdr>
    </w:div>
    <w:div w:id="1888180147">
      <w:marLeft w:val="0"/>
      <w:marRight w:val="0"/>
      <w:marTop w:val="10"/>
      <w:marBottom w:val="10"/>
      <w:divBdr>
        <w:top w:val="none" w:sz="0" w:space="0" w:color="auto"/>
        <w:left w:val="none" w:sz="0" w:space="0" w:color="auto"/>
        <w:bottom w:val="none" w:sz="0" w:space="0" w:color="auto"/>
        <w:right w:val="none" w:sz="0" w:space="0" w:color="auto"/>
      </w:divBdr>
    </w:div>
    <w:div w:id="1944998529">
      <w:marLeft w:val="0"/>
      <w:marRight w:val="0"/>
      <w:marTop w:val="10"/>
      <w:marBottom w:val="10"/>
      <w:divBdr>
        <w:top w:val="none" w:sz="0" w:space="0" w:color="auto"/>
        <w:left w:val="none" w:sz="0" w:space="0" w:color="auto"/>
        <w:bottom w:val="none" w:sz="0" w:space="0" w:color="auto"/>
        <w:right w:val="none" w:sz="0" w:space="0" w:color="auto"/>
      </w:divBdr>
    </w:div>
    <w:div w:id="2039119611">
      <w:marLeft w:val="0"/>
      <w:marRight w:val="720"/>
      <w:marTop w:val="10"/>
      <w:marBottom w:val="10"/>
      <w:divBdr>
        <w:top w:val="none" w:sz="0" w:space="0" w:color="auto"/>
        <w:left w:val="none" w:sz="0" w:space="0" w:color="auto"/>
        <w:bottom w:val="none" w:sz="0" w:space="0" w:color="auto"/>
        <w:right w:val="none" w:sz="0" w:space="0" w:color="auto"/>
      </w:divBdr>
    </w:div>
    <w:div w:id="206093874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