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A20BA2">
      <w:pPr>
        <w:spacing w:line="500" w:lineRule="atLeast"/>
        <w:jc w:val="center"/>
        <w:divId w:val="581991761"/>
        <w:rPr>
          <w:rFonts w:ascii="黑体" w:eastAsia="黑体" w:hAnsi="黑体"/>
          <w:sz w:val="36"/>
          <w:szCs w:val="36"/>
        </w:rPr>
      </w:pPr>
      <w:bookmarkStart w:id="0" w:name="_GoBack"/>
      <w:bookmarkEnd w:id="0"/>
      <w:r>
        <w:rPr>
          <w:rFonts w:ascii="黑体" w:eastAsia="黑体" w:hAnsi="黑体" w:hint="eastAsia"/>
          <w:sz w:val="36"/>
          <w:szCs w:val="36"/>
        </w:rPr>
        <w:t>重庆市第一中级人民法院</w:t>
      </w:r>
    </w:p>
    <w:p w:rsidR="00000000" w:rsidRDefault="00A20BA2">
      <w:pPr>
        <w:spacing w:line="500" w:lineRule="atLeast"/>
        <w:jc w:val="center"/>
        <w:divId w:val="96832086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A20BA2">
      <w:pPr>
        <w:spacing w:line="500" w:lineRule="atLeast"/>
        <w:jc w:val="right"/>
        <w:divId w:val="2066491492"/>
        <w:rPr>
          <w:rFonts w:hint="eastAsia"/>
          <w:sz w:val="30"/>
          <w:szCs w:val="30"/>
        </w:rPr>
      </w:pPr>
      <w:r>
        <w:rPr>
          <w:rFonts w:hint="eastAsia"/>
          <w:sz w:val="30"/>
          <w:szCs w:val="30"/>
        </w:rPr>
        <w:t>（</w:t>
      </w:r>
      <w:r>
        <w:rPr>
          <w:rFonts w:hint="eastAsia"/>
          <w:sz w:val="30"/>
          <w:szCs w:val="30"/>
        </w:rPr>
        <w:t>2016</w:t>
      </w:r>
      <w:r>
        <w:rPr>
          <w:rFonts w:hint="eastAsia"/>
          <w:sz w:val="30"/>
          <w:szCs w:val="30"/>
        </w:rPr>
        <w:t>）渝</w:t>
      </w:r>
      <w:r>
        <w:rPr>
          <w:rFonts w:hint="eastAsia"/>
          <w:sz w:val="30"/>
          <w:szCs w:val="30"/>
        </w:rPr>
        <w:t>01</w:t>
      </w:r>
      <w:r>
        <w:rPr>
          <w:rFonts w:hint="eastAsia"/>
          <w:sz w:val="30"/>
          <w:szCs w:val="30"/>
        </w:rPr>
        <w:t>民终</w:t>
      </w:r>
      <w:r>
        <w:rPr>
          <w:rFonts w:hint="eastAsia"/>
          <w:sz w:val="30"/>
          <w:szCs w:val="30"/>
        </w:rPr>
        <w:t>7498</w:t>
      </w:r>
      <w:r>
        <w:rPr>
          <w:rFonts w:hint="eastAsia"/>
          <w:sz w:val="30"/>
          <w:szCs w:val="30"/>
        </w:rPr>
        <w:t>号</w:t>
      </w:r>
    </w:p>
    <w:p w:rsidR="00000000" w:rsidRDefault="00A20BA2">
      <w:pPr>
        <w:spacing w:line="500" w:lineRule="atLeast"/>
        <w:ind w:firstLine="600"/>
        <w:divId w:val="116489246"/>
        <w:rPr>
          <w:rFonts w:hint="eastAsia"/>
          <w:sz w:val="30"/>
          <w:szCs w:val="30"/>
        </w:rPr>
      </w:pPr>
      <w:r>
        <w:rPr>
          <w:rFonts w:hint="eastAsia"/>
          <w:sz w:val="30"/>
          <w:szCs w:val="30"/>
        </w:rPr>
        <w:t>上诉人（原审原告）：重庆优能火工业气体有限公司，住所地重庆市沙坪坝区井口工业园井华路</w:t>
      </w:r>
      <w:r>
        <w:rPr>
          <w:rFonts w:hint="eastAsia"/>
          <w:sz w:val="30"/>
          <w:szCs w:val="30"/>
        </w:rPr>
        <w:t>009</w:t>
      </w:r>
      <w:r>
        <w:rPr>
          <w:rFonts w:hint="eastAsia"/>
          <w:sz w:val="30"/>
          <w:szCs w:val="30"/>
        </w:rPr>
        <w:t>号，组织机构代码</w:t>
      </w:r>
      <w:r>
        <w:rPr>
          <w:rFonts w:hint="eastAsia"/>
          <w:sz w:val="30"/>
          <w:szCs w:val="30"/>
        </w:rPr>
        <w:t>79589807</w:t>
      </w:r>
      <w:r>
        <w:rPr>
          <w:rFonts w:hint="eastAsia"/>
          <w:sz w:val="30"/>
          <w:szCs w:val="30"/>
        </w:rPr>
        <w:t>－</w:t>
      </w:r>
      <w:r>
        <w:rPr>
          <w:rFonts w:hint="eastAsia"/>
          <w:sz w:val="30"/>
          <w:szCs w:val="30"/>
        </w:rPr>
        <w:t>9</w:t>
      </w:r>
      <w:r>
        <w:rPr>
          <w:rFonts w:hint="eastAsia"/>
          <w:sz w:val="30"/>
          <w:szCs w:val="30"/>
        </w:rPr>
        <w:t>。</w:t>
      </w:r>
    </w:p>
    <w:p w:rsidR="00000000" w:rsidRDefault="00A20BA2">
      <w:pPr>
        <w:spacing w:line="500" w:lineRule="atLeast"/>
        <w:ind w:firstLine="600"/>
        <w:divId w:val="1100956631"/>
        <w:rPr>
          <w:rFonts w:hint="eastAsia"/>
          <w:sz w:val="30"/>
          <w:szCs w:val="30"/>
        </w:rPr>
      </w:pPr>
      <w:r>
        <w:rPr>
          <w:rFonts w:hint="eastAsia"/>
          <w:sz w:val="30"/>
          <w:szCs w:val="30"/>
        </w:rPr>
        <w:t>法定代表人：欧博俊，执行董事。</w:t>
      </w:r>
    </w:p>
    <w:p w:rsidR="00000000" w:rsidRDefault="00A20BA2">
      <w:pPr>
        <w:spacing w:line="500" w:lineRule="atLeast"/>
        <w:ind w:firstLine="600"/>
        <w:divId w:val="798378943"/>
        <w:rPr>
          <w:rFonts w:hint="eastAsia"/>
          <w:sz w:val="30"/>
          <w:szCs w:val="30"/>
        </w:rPr>
      </w:pPr>
      <w:r>
        <w:rPr>
          <w:rFonts w:hint="eastAsia"/>
          <w:sz w:val="30"/>
          <w:szCs w:val="30"/>
        </w:rPr>
        <w:t>委托诉讼代理人：邵先国，北京大成（重庆）律师事务所律师。</w:t>
      </w:r>
    </w:p>
    <w:p w:rsidR="00000000" w:rsidRDefault="00A20BA2">
      <w:pPr>
        <w:spacing w:line="500" w:lineRule="atLeast"/>
        <w:ind w:firstLine="600"/>
        <w:divId w:val="2050565163"/>
        <w:rPr>
          <w:rFonts w:hint="eastAsia"/>
          <w:sz w:val="30"/>
          <w:szCs w:val="30"/>
        </w:rPr>
      </w:pPr>
      <w:r>
        <w:rPr>
          <w:rFonts w:hint="eastAsia"/>
          <w:sz w:val="30"/>
          <w:szCs w:val="30"/>
        </w:rPr>
        <w:t>委托诉讼代理人：郑翔，北京大成（重庆）律师事务所律师。</w:t>
      </w:r>
    </w:p>
    <w:p w:rsidR="00000000" w:rsidRDefault="00A20BA2">
      <w:pPr>
        <w:spacing w:line="500" w:lineRule="atLeast"/>
        <w:ind w:firstLine="600"/>
        <w:divId w:val="268048628"/>
        <w:rPr>
          <w:rFonts w:hint="eastAsia"/>
          <w:sz w:val="30"/>
          <w:szCs w:val="30"/>
        </w:rPr>
      </w:pPr>
      <w:r>
        <w:rPr>
          <w:rFonts w:hint="eastAsia"/>
          <w:sz w:val="30"/>
          <w:szCs w:val="30"/>
        </w:rPr>
        <w:t>上诉人（原审被告）：游江，男，</w:t>
      </w:r>
      <w:r>
        <w:rPr>
          <w:rFonts w:hint="eastAsia"/>
          <w:sz w:val="30"/>
          <w:szCs w:val="30"/>
        </w:rPr>
        <w:t>1968</w:t>
      </w:r>
      <w:r>
        <w:rPr>
          <w:rFonts w:hint="eastAsia"/>
          <w:sz w:val="30"/>
          <w:szCs w:val="30"/>
        </w:rPr>
        <w:t>年</w:t>
      </w:r>
      <w:r>
        <w:rPr>
          <w:rFonts w:hint="eastAsia"/>
          <w:sz w:val="30"/>
          <w:szCs w:val="30"/>
        </w:rPr>
        <w:t>10</w:t>
      </w:r>
      <w:r>
        <w:rPr>
          <w:rFonts w:hint="eastAsia"/>
          <w:sz w:val="30"/>
          <w:szCs w:val="30"/>
        </w:rPr>
        <w:t>月</w:t>
      </w:r>
      <w:r>
        <w:rPr>
          <w:rFonts w:hint="eastAsia"/>
          <w:sz w:val="30"/>
          <w:szCs w:val="30"/>
        </w:rPr>
        <w:t>17</w:t>
      </w:r>
      <w:r>
        <w:rPr>
          <w:rFonts w:hint="eastAsia"/>
          <w:sz w:val="30"/>
          <w:szCs w:val="30"/>
        </w:rPr>
        <w:t>日出生，汉族，住重庆市沙坪坝区。</w:t>
      </w:r>
    </w:p>
    <w:p w:rsidR="00000000" w:rsidRDefault="00A20BA2">
      <w:pPr>
        <w:spacing w:line="500" w:lineRule="atLeast"/>
        <w:ind w:firstLine="600"/>
        <w:divId w:val="1745447518"/>
        <w:rPr>
          <w:rFonts w:hint="eastAsia"/>
          <w:sz w:val="30"/>
          <w:szCs w:val="30"/>
        </w:rPr>
      </w:pPr>
      <w:r>
        <w:rPr>
          <w:rFonts w:hint="eastAsia"/>
          <w:sz w:val="30"/>
          <w:szCs w:val="30"/>
        </w:rPr>
        <w:t>委托诉讼代理人：刘星，重庆海力律师事务所律师。</w:t>
      </w:r>
    </w:p>
    <w:p w:rsidR="00000000" w:rsidRDefault="00A20BA2">
      <w:pPr>
        <w:spacing w:line="500" w:lineRule="atLeast"/>
        <w:ind w:firstLine="600"/>
        <w:divId w:val="1170675225"/>
        <w:rPr>
          <w:rFonts w:hint="eastAsia"/>
          <w:sz w:val="30"/>
          <w:szCs w:val="30"/>
        </w:rPr>
      </w:pPr>
      <w:r>
        <w:rPr>
          <w:rFonts w:hint="eastAsia"/>
          <w:sz w:val="30"/>
          <w:szCs w:val="30"/>
        </w:rPr>
        <w:t>委托诉讼代理人：赵国，重庆海力律师事务所律师。</w:t>
      </w:r>
    </w:p>
    <w:p w:rsidR="00000000" w:rsidRDefault="00A20BA2">
      <w:pPr>
        <w:spacing w:line="500" w:lineRule="atLeast"/>
        <w:ind w:firstLine="600"/>
        <w:divId w:val="1292246800"/>
        <w:rPr>
          <w:rFonts w:hint="eastAsia"/>
          <w:sz w:val="30"/>
          <w:szCs w:val="30"/>
        </w:rPr>
      </w:pPr>
      <w:r>
        <w:rPr>
          <w:rFonts w:hint="eastAsia"/>
          <w:sz w:val="30"/>
          <w:szCs w:val="30"/>
        </w:rPr>
        <w:t>被上诉人（原审被告）：张丽娟，女，</w:t>
      </w:r>
      <w:r>
        <w:rPr>
          <w:rFonts w:hint="eastAsia"/>
          <w:sz w:val="30"/>
          <w:szCs w:val="30"/>
        </w:rPr>
        <w:t>1972</w:t>
      </w:r>
      <w:r>
        <w:rPr>
          <w:rFonts w:hint="eastAsia"/>
          <w:sz w:val="30"/>
          <w:szCs w:val="30"/>
        </w:rPr>
        <w:t>年</w:t>
      </w:r>
      <w:r>
        <w:rPr>
          <w:rFonts w:hint="eastAsia"/>
          <w:sz w:val="30"/>
          <w:szCs w:val="30"/>
        </w:rPr>
        <w:t>11</w:t>
      </w:r>
      <w:r>
        <w:rPr>
          <w:rFonts w:hint="eastAsia"/>
          <w:sz w:val="30"/>
          <w:szCs w:val="30"/>
        </w:rPr>
        <w:t>月</w:t>
      </w:r>
      <w:r>
        <w:rPr>
          <w:rFonts w:hint="eastAsia"/>
          <w:sz w:val="30"/>
          <w:szCs w:val="30"/>
        </w:rPr>
        <w:t>14</w:t>
      </w:r>
      <w:r>
        <w:rPr>
          <w:rFonts w:hint="eastAsia"/>
          <w:sz w:val="30"/>
          <w:szCs w:val="30"/>
        </w:rPr>
        <w:t>日出生，汉族，住重庆市九龙坡区。</w:t>
      </w:r>
    </w:p>
    <w:p w:rsidR="00000000" w:rsidRDefault="00A20BA2">
      <w:pPr>
        <w:spacing w:line="500" w:lineRule="atLeast"/>
        <w:ind w:firstLine="600"/>
        <w:divId w:val="775902991"/>
        <w:rPr>
          <w:rFonts w:hint="eastAsia"/>
          <w:sz w:val="30"/>
          <w:szCs w:val="30"/>
        </w:rPr>
      </w:pPr>
      <w:r>
        <w:rPr>
          <w:rFonts w:hint="eastAsia"/>
          <w:sz w:val="30"/>
          <w:szCs w:val="30"/>
        </w:rPr>
        <w:t>委托诉讼代理人：刘星，重庆海力律师事务所律师。</w:t>
      </w:r>
    </w:p>
    <w:p w:rsidR="00000000" w:rsidRDefault="00A20BA2">
      <w:pPr>
        <w:spacing w:line="500" w:lineRule="atLeast"/>
        <w:ind w:firstLine="600"/>
        <w:divId w:val="1855880056"/>
        <w:rPr>
          <w:rFonts w:hint="eastAsia"/>
          <w:sz w:val="30"/>
          <w:szCs w:val="30"/>
        </w:rPr>
      </w:pPr>
      <w:r>
        <w:rPr>
          <w:rFonts w:hint="eastAsia"/>
          <w:sz w:val="30"/>
          <w:szCs w:val="30"/>
        </w:rPr>
        <w:t>委托诉讼代理人：赵国，重庆海力律师事务所律师。</w:t>
      </w:r>
    </w:p>
    <w:p w:rsidR="00000000" w:rsidRDefault="00A20BA2">
      <w:pPr>
        <w:spacing w:line="500" w:lineRule="atLeast"/>
        <w:ind w:firstLine="600"/>
        <w:divId w:val="1375156302"/>
        <w:rPr>
          <w:rFonts w:hint="eastAsia"/>
          <w:sz w:val="30"/>
          <w:szCs w:val="30"/>
        </w:rPr>
      </w:pPr>
      <w:r>
        <w:rPr>
          <w:rFonts w:hint="eastAsia"/>
          <w:sz w:val="30"/>
          <w:szCs w:val="30"/>
        </w:rPr>
        <w:t>被上诉人（原审被告）：董若舟，男，</w:t>
      </w:r>
      <w:r>
        <w:rPr>
          <w:rFonts w:hint="eastAsia"/>
          <w:sz w:val="30"/>
          <w:szCs w:val="30"/>
        </w:rPr>
        <w:t>1986</w:t>
      </w:r>
      <w:r>
        <w:rPr>
          <w:rFonts w:hint="eastAsia"/>
          <w:sz w:val="30"/>
          <w:szCs w:val="30"/>
        </w:rPr>
        <w:t>年</w:t>
      </w:r>
      <w:r>
        <w:rPr>
          <w:rFonts w:hint="eastAsia"/>
          <w:sz w:val="30"/>
          <w:szCs w:val="30"/>
        </w:rPr>
        <w:t>3</w:t>
      </w:r>
      <w:r>
        <w:rPr>
          <w:rFonts w:hint="eastAsia"/>
          <w:sz w:val="30"/>
          <w:szCs w:val="30"/>
        </w:rPr>
        <w:t>月</w:t>
      </w:r>
      <w:r>
        <w:rPr>
          <w:rFonts w:hint="eastAsia"/>
          <w:sz w:val="30"/>
          <w:szCs w:val="30"/>
        </w:rPr>
        <w:t>14</w:t>
      </w:r>
      <w:r>
        <w:rPr>
          <w:rFonts w:hint="eastAsia"/>
          <w:sz w:val="30"/>
          <w:szCs w:val="30"/>
        </w:rPr>
        <w:t>日出生，汉族，住重庆市沙坪坝区。</w:t>
      </w:r>
    </w:p>
    <w:p w:rsidR="00000000" w:rsidRDefault="00A20BA2">
      <w:pPr>
        <w:spacing w:line="500" w:lineRule="atLeast"/>
        <w:ind w:firstLine="600"/>
        <w:divId w:val="478379232"/>
        <w:rPr>
          <w:rFonts w:hint="eastAsia"/>
          <w:sz w:val="30"/>
          <w:szCs w:val="30"/>
        </w:rPr>
      </w:pPr>
      <w:r>
        <w:rPr>
          <w:rFonts w:hint="eastAsia"/>
          <w:sz w:val="30"/>
          <w:szCs w:val="30"/>
        </w:rPr>
        <w:t>委托诉讼代理人：刘星，重庆海力律师事务所律师。</w:t>
      </w:r>
    </w:p>
    <w:p w:rsidR="00000000" w:rsidRDefault="00A20BA2">
      <w:pPr>
        <w:spacing w:line="500" w:lineRule="atLeast"/>
        <w:ind w:firstLine="600"/>
        <w:divId w:val="1319383796"/>
        <w:rPr>
          <w:rFonts w:hint="eastAsia"/>
          <w:sz w:val="30"/>
          <w:szCs w:val="30"/>
        </w:rPr>
      </w:pPr>
      <w:r>
        <w:rPr>
          <w:rFonts w:hint="eastAsia"/>
          <w:sz w:val="30"/>
          <w:szCs w:val="30"/>
        </w:rPr>
        <w:t>委托诉讼代理人：赵国，重庆海力律师事务所律师。</w:t>
      </w:r>
    </w:p>
    <w:p w:rsidR="00000000" w:rsidRDefault="00A20BA2">
      <w:pPr>
        <w:spacing w:line="500" w:lineRule="atLeast"/>
        <w:ind w:firstLine="600"/>
        <w:divId w:val="1224213612"/>
        <w:rPr>
          <w:rFonts w:hint="eastAsia"/>
          <w:sz w:val="30"/>
          <w:szCs w:val="30"/>
        </w:rPr>
      </w:pPr>
      <w:r>
        <w:rPr>
          <w:rFonts w:hint="eastAsia"/>
          <w:sz w:val="30"/>
          <w:szCs w:val="30"/>
        </w:rPr>
        <w:t>被上诉人（原审被告）：许天府，男，</w:t>
      </w:r>
      <w:r>
        <w:rPr>
          <w:rFonts w:hint="eastAsia"/>
          <w:sz w:val="30"/>
          <w:szCs w:val="30"/>
        </w:rPr>
        <w:t>1964</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日出生，汉族，住重庆市沙坪坝区。</w:t>
      </w:r>
    </w:p>
    <w:p w:rsidR="00000000" w:rsidRDefault="00A20BA2">
      <w:pPr>
        <w:spacing w:line="500" w:lineRule="atLeast"/>
        <w:ind w:firstLine="600"/>
        <w:divId w:val="888802291"/>
        <w:rPr>
          <w:rFonts w:hint="eastAsia"/>
          <w:sz w:val="30"/>
          <w:szCs w:val="30"/>
        </w:rPr>
      </w:pPr>
      <w:r>
        <w:rPr>
          <w:rFonts w:hint="eastAsia"/>
          <w:sz w:val="30"/>
          <w:szCs w:val="30"/>
        </w:rPr>
        <w:t>委托诉讼代</w:t>
      </w:r>
      <w:r>
        <w:rPr>
          <w:rFonts w:hint="eastAsia"/>
          <w:sz w:val="30"/>
          <w:szCs w:val="30"/>
        </w:rPr>
        <w:t>理人：刘星，重庆海力律师事务所律师。</w:t>
      </w:r>
    </w:p>
    <w:p w:rsidR="00000000" w:rsidRDefault="00A20BA2">
      <w:pPr>
        <w:spacing w:line="500" w:lineRule="atLeast"/>
        <w:ind w:firstLine="600"/>
        <w:divId w:val="99227782"/>
        <w:rPr>
          <w:rFonts w:hint="eastAsia"/>
          <w:sz w:val="30"/>
          <w:szCs w:val="30"/>
        </w:rPr>
      </w:pPr>
      <w:r>
        <w:rPr>
          <w:rFonts w:hint="eastAsia"/>
          <w:sz w:val="30"/>
          <w:szCs w:val="30"/>
        </w:rPr>
        <w:t>委托诉讼代理人：赵国，重庆海力律师事务所律师。</w:t>
      </w:r>
    </w:p>
    <w:p w:rsidR="00000000" w:rsidRDefault="00A20BA2">
      <w:pPr>
        <w:spacing w:line="500" w:lineRule="atLeast"/>
        <w:ind w:firstLine="600"/>
        <w:divId w:val="1578200283"/>
        <w:rPr>
          <w:rFonts w:hint="eastAsia"/>
          <w:sz w:val="30"/>
          <w:szCs w:val="30"/>
        </w:rPr>
      </w:pPr>
      <w:r>
        <w:rPr>
          <w:rFonts w:hint="eastAsia"/>
          <w:sz w:val="30"/>
          <w:szCs w:val="30"/>
        </w:rPr>
        <w:lastRenderedPageBreak/>
        <w:t>原审第三人：重庆金宏海格气体有限公司，住所地重庆市九龙坡区石坪桥横街</w:t>
      </w:r>
      <w:r>
        <w:rPr>
          <w:rFonts w:hint="eastAsia"/>
          <w:sz w:val="30"/>
          <w:szCs w:val="30"/>
        </w:rPr>
        <w:t>2</w:t>
      </w:r>
      <w:r>
        <w:rPr>
          <w:rFonts w:hint="eastAsia"/>
          <w:sz w:val="30"/>
          <w:szCs w:val="30"/>
        </w:rPr>
        <w:t>号附</w:t>
      </w:r>
      <w:r>
        <w:rPr>
          <w:rFonts w:hint="eastAsia"/>
          <w:sz w:val="30"/>
          <w:szCs w:val="30"/>
        </w:rPr>
        <w:t>5</w:t>
      </w:r>
      <w:r>
        <w:rPr>
          <w:rFonts w:hint="eastAsia"/>
          <w:sz w:val="30"/>
          <w:szCs w:val="30"/>
        </w:rPr>
        <w:t>号</w:t>
      </w:r>
      <w:r>
        <w:rPr>
          <w:rFonts w:hint="eastAsia"/>
          <w:sz w:val="30"/>
          <w:szCs w:val="30"/>
        </w:rPr>
        <w:t>12</w:t>
      </w:r>
      <w:r>
        <w:rPr>
          <w:rFonts w:hint="eastAsia"/>
          <w:sz w:val="30"/>
          <w:szCs w:val="30"/>
        </w:rPr>
        <w:t>－</w:t>
      </w:r>
      <w:r>
        <w:rPr>
          <w:rFonts w:hint="eastAsia"/>
          <w:sz w:val="30"/>
          <w:szCs w:val="30"/>
        </w:rPr>
        <w:t>1</w:t>
      </w:r>
      <w:r>
        <w:rPr>
          <w:rFonts w:hint="eastAsia"/>
          <w:sz w:val="30"/>
          <w:szCs w:val="30"/>
        </w:rPr>
        <w:t>，组织机构代码</w:t>
      </w:r>
      <w:r>
        <w:rPr>
          <w:rFonts w:hint="eastAsia"/>
          <w:sz w:val="30"/>
          <w:szCs w:val="30"/>
        </w:rPr>
        <w:t>07726077</w:t>
      </w:r>
      <w:r>
        <w:rPr>
          <w:rFonts w:hint="eastAsia"/>
          <w:sz w:val="30"/>
          <w:szCs w:val="30"/>
        </w:rPr>
        <w:t>－</w:t>
      </w:r>
      <w:r>
        <w:rPr>
          <w:rFonts w:hint="eastAsia"/>
          <w:sz w:val="30"/>
          <w:szCs w:val="30"/>
        </w:rPr>
        <w:t>5</w:t>
      </w:r>
      <w:r>
        <w:rPr>
          <w:rFonts w:hint="eastAsia"/>
          <w:sz w:val="30"/>
          <w:szCs w:val="30"/>
        </w:rPr>
        <w:t>。</w:t>
      </w:r>
    </w:p>
    <w:p w:rsidR="00000000" w:rsidRDefault="00A20BA2">
      <w:pPr>
        <w:spacing w:line="500" w:lineRule="atLeast"/>
        <w:ind w:firstLine="600"/>
        <w:divId w:val="795371324"/>
        <w:rPr>
          <w:rFonts w:hint="eastAsia"/>
          <w:sz w:val="30"/>
          <w:szCs w:val="30"/>
        </w:rPr>
      </w:pPr>
      <w:r>
        <w:rPr>
          <w:rFonts w:hint="eastAsia"/>
          <w:sz w:val="30"/>
          <w:szCs w:val="30"/>
        </w:rPr>
        <w:t>法定代表人：张丽娟，总经理。</w:t>
      </w:r>
    </w:p>
    <w:p w:rsidR="00000000" w:rsidRDefault="00A20BA2">
      <w:pPr>
        <w:spacing w:line="500" w:lineRule="atLeast"/>
        <w:ind w:firstLine="600"/>
        <w:divId w:val="330837983"/>
        <w:rPr>
          <w:rFonts w:hint="eastAsia"/>
          <w:sz w:val="30"/>
          <w:szCs w:val="30"/>
        </w:rPr>
      </w:pPr>
      <w:r>
        <w:rPr>
          <w:rFonts w:hint="eastAsia"/>
          <w:sz w:val="30"/>
          <w:szCs w:val="30"/>
        </w:rPr>
        <w:t>委托诉讼代理人：刘星，重庆海力律师事务所律师。</w:t>
      </w:r>
    </w:p>
    <w:p w:rsidR="00000000" w:rsidRDefault="00A20BA2">
      <w:pPr>
        <w:spacing w:line="500" w:lineRule="atLeast"/>
        <w:ind w:firstLine="600"/>
        <w:divId w:val="295140132"/>
        <w:rPr>
          <w:rFonts w:hint="eastAsia"/>
          <w:sz w:val="30"/>
          <w:szCs w:val="30"/>
        </w:rPr>
      </w:pPr>
      <w:r>
        <w:rPr>
          <w:rFonts w:hint="eastAsia"/>
          <w:sz w:val="30"/>
          <w:szCs w:val="30"/>
        </w:rPr>
        <w:t>委托诉讼代理人：赵国，重庆海力律师事务所律师。</w:t>
      </w:r>
    </w:p>
    <w:p w:rsidR="00000000" w:rsidRDefault="00A20BA2">
      <w:pPr>
        <w:spacing w:line="500" w:lineRule="atLeast"/>
        <w:ind w:firstLine="600"/>
        <w:divId w:val="1110199323"/>
        <w:rPr>
          <w:rFonts w:hint="eastAsia"/>
          <w:sz w:val="30"/>
          <w:szCs w:val="30"/>
        </w:rPr>
      </w:pPr>
      <w:r>
        <w:rPr>
          <w:rFonts w:hint="eastAsia"/>
          <w:sz w:val="30"/>
          <w:szCs w:val="30"/>
        </w:rPr>
        <w:t>上诉人重庆优能火工业气体有限公司（以下简称优能火公司）、上诉人游江因与被上诉人张丽娟、董若舟、许天府、原审第三人重庆金宏海格气体有限公司（以下简称海格公司）股东损害公司利益纠纷</w:t>
      </w:r>
      <w:r>
        <w:rPr>
          <w:rFonts w:hint="eastAsia"/>
          <w:sz w:val="30"/>
          <w:szCs w:val="30"/>
        </w:rPr>
        <w:t>一案，不服重庆市沙坪坝区人民法院</w:t>
      </w:r>
      <w:r>
        <w:rPr>
          <w:rFonts w:hint="eastAsia"/>
          <w:sz w:val="30"/>
          <w:szCs w:val="30"/>
        </w:rPr>
        <w:t>(2015)</w:t>
      </w:r>
      <w:r>
        <w:rPr>
          <w:rFonts w:hint="eastAsia"/>
          <w:sz w:val="30"/>
          <w:szCs w:val="30"/>
        </w:rPr>
        <w:t>沙法民初字第</w:t>
      </w:r>
      <w:r>
        <w:rPr>
          <w:rFonts w:hint="eastAsia"/>
          <w:sz w:val="30"/>
          <w:szCs w:val="30"/>
        </w:rPr>
        <w:t>14026</w:t>
      </w:r>
      <w:r>
        <w:rPr>
          <w:rFonts w:hint="eastAsia"/>
          <w:sz w:val="30"/>
          <w:szCs w:val="30"/>
        </w:rPr>
        <w:t>号民事判决，向本院提起上诉。本院于</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17</w:t>
      </w:r>
      <w:r>
        <w:rPr>
          <w:rFonts w:hint="eastAsia"/>
          <w:sz w:val="30"/>
          <w:szCs w:val="30"/>
        </w:rPr>
        <w:t>日受理后，依法组成合议庭进行了审理。本案现已审理终结。</w:t>
      </w:r>
    </w:p>
    <w:p w:rsidR="00000000" w:rsidRDefault="00A20BA2">
      <w:pPr>
        <w:spacing w:line="500" w:lineRule="atLeast"/>
        <w:ind w:firstLine="600"/>
        <w:divId w:val="872888867"/>
        <w:rPr>
          <w:rFonts w:hint="eastAsia"/>
          <w:sz w:val="30"/>
          <w:szCs w:val="30"/>
        </w:rPr>
      </w:pPr>
      <w:r>
        <w:rPr>
          <w:rFonts w:hint="eastAsia"/>
          <w:sz w:val="30"/>
          <w:szCs w:val="30"/>
        </w:rPr>
        <w:t>优能火公司上诉请求：</w:t>
      </w:r>
      <w:r>
        <w:rPr>
          <w:rFonts w:hint="eastAsia"/>
          <w:sz w:val="30"/>
          <w:szCs w:val="30"/>
        </w:rPr>
        <w:t>1.</w:t>
      </w:r>
      <w:r>
        <w:rPr>
          <w:rFonts w:hint="eastAsia"/>
          <w:sz w:val="30"/>
          <w:szCs w:val="30"/>
        </w:rPr>
        <w:t>撤销重庆市沙坪坝区人民法院作出的</w:t>
      </w:r>
      <w:r>
        <w:rPr>
          <w:rFonts w:hint="eastAsia"/>
          <w:sz w:val="30"/>
          <w:szCs w:val="30"/>
        </w:rPr>
        <w:t>(2015)</w:t>
      </w:r>
      <w:r>
        <w:rPr>
          <w:rFonts w:hint="eastAsia"/>
          <w:sz w:val="30"/>
          <w:szCs w:val="30"/>
        </w:rPr>
        <w:t>沙法民初字第</w:t>
      </w:r>
      <w:r>
        <w:rPr>
          <w:rFonts w:hint="eastAsia"/>
          <w:sz w:val="30"/>
          <w:szCs w:val="30"/>
        </w:rPr>
        <w:t>14026</w:t>
      </w:r>
      <w:r>
        <w:rPr>
          <w:rFonts w:hint="eastAsia"/>
          <w:sz w:val="30"/>
          <w:szCs w:val="30"/>
        </w:rPr>
        <w:t>号民事判决，依法改判支持优能火公司的全部诉讼请求；</w:t>
      </w:r>
      <w:r>
        <w:rPr>
          <w:rFonts w:hint="eastAsia"/>
          <w:sz w:val="30"/>
          <w:szCs w:val="30"/>
        </w:rPr>
        <w:t>2.</w:t>
      </w:r>
      <w:r>
        <w:rPr>
          <w:rFonts w:hint="eastAsia"/>
          <w:sz w:val="30"/>
          <w:szCs w:val="30"/>
        </w:rPr>
        <w:t>本案一、二审的诉讼费用由游江、张丽娟、董若舟、许天府承担。事实与理由：</w:t>
      </w:r>
      <w:r>
        <w:rPr>
          <w:rFonts w:hint="eastAsia"/>
          <w:sz w:val="30"/>
          <w:szCs w:val="30"/>
        </w:rPr>
        <w:t>1.</w:t>
      </w:r>
      <w:r>
        <w:rPr>
          <w:rFonts w:hint="eastAsia"/>
          <w:sz w:val="30"/>
          <w:szCs w:val="30"/>
        </w:rPr>
        <w:t>游江、张丽娟、董若舟、许天府系优能火公司承包人、总经理、董事，其行为给优能火公司造成重大损失；</w:t>
      </w:r>
      <w:r>
        <w:rPr>
          <w:rFonts w:hint="eastAsia"/>
          <w:sz w:val="30"/>
          <w:szCs w:val="30"/>
        </w:rPr>
        <w:t>2.</w:t>
      </w:r>
      <w:r>
        <w:rPr>
          <w:rFonts w:hint="eastAsia"/>
          <w:sz w:val="30"/>
          <w:szCs w:val="30"/>
        </w:rPr>
        <w:t>一审判决认定优能火公</w:t>
      </w:r>
      <w:r>
        <w:rPr>
          <w:rFonts w:hint="eastAsia"/>
          <w:sz w:val="30"/>
          <w:szCs w:val="30"/>
        </w:rPr>
        <w:t>司证据不充分是错误的，优能火公司一审时所举示证据已形成证据链条，足以证明优能火公司的诉讼请求。</w:t>
      </w:r>
    </w:p>
    <w:p w:rsidR="00000000" w:rsidRDefault="00A20BA2">
      <w:pPr>
        <w:spacing w:line="500" w:lineRule="atLeast"/>
        <w:ind w:firstLine="600"/>
        <w:divId w:val="1967615462"/>
        <w:rPr>
          <w:rFonts w:hint="eastAsia"/>
          <w:sz w:val="30"/>
          <w:szCs w:val="30"/>
        </w:rPr>
      </w:pPr>
      <w:r>
        <w:rPr>
          <w:rFonts w:hint="eastAsia"/>
          <w:sz w:val="30"/>
          <w:szCs w:val="30"/>
        </w:rPr>
        <w:t>游江辩称，一审诉请无任何事实法律依据，优能火公司没有向法庭提交任何损失证明，实际也没有产生任何损失。</w:t>
      </w:r>
    </w:p>
    <w:p w:rsidR="00000000" w:rsidRDefault="00A20BA2">
      <w:pPr>
        <w:spacing w:line="500" w:lineRule="atLeast"/>
        <w:ind w:firstLine="600"/>
        <w:divId w:val="1128742562"/>
        <w:rPr>
          <w:rFonts w:hint="eastAsia"/>
          <w:sz w:val="30"/>
          <w:szCs w:val="30"/>
        </w:rPr>
      </w:pPr>
      <w:r>
        <w:rPr>
          <w:rFonts w:hint="eastAsia"/>
          <w:sz w:val="30"/>
          <w:szCs w:val="30"/>
        </w:rPr>
        <w:t>张丽娟、董若舟、许天府同意游江意见。</w:t>
      </w:r>
    </w:p>
    <w:p w:rsidR="00000000" w:rsidRDefault="00A20BA2">
      <w:pPr>
        <w:spacing w:line="500" w:lineRule="atLeast"/>
        <w:ind w:firstLine="600"/>
        <w:divId w:val="1579943771"/>
        <w:rPr>
          <w:rFonts w:hint="eastAsia"/>
          <w:sz w:val="30"/>
          <w:szCs w:val="30"/>
        </w:rPr>
      </w:pPr>
      <w:r>
        <w:rPr>
          <w:rFonts w:hint="eastAsia"/>
          <w:sz w:val="30"/>
          <w:szCs w:val="30"/>
        </w:rPr>
        <w:t>原审第三人海格公司同意游江意见。</w:t>
      </w:r>
    </w:p>
    <w:p w:rsidR="00000000" w:rsidRDefault="00A20BA2">
      <w:pPr>
        <w:spacing w:line="500" w:lineRule="atLeast"/>
        <w:ind w:firstLine="600"/>
        <w:divId w:val="974412245"/>
        <w:rPr>
          <w:rFonts w:hint="eastAsia"/>
          <w:sz w:val="30"/>
          <w:szCs w:val="30"/>
        </w:rPr>
      </w:pPr>
      <w:r>
        <w:rPr>
          <w:rFonts w:hint="eastAsia"/>
          <w:sz w:val="30"/>
          <w:szCs w:val="30"/>
        </w:rPr>
        <w:t>游江上诉请求：</w:t>
      </w:r>
      <w:r>
        <w:rPr>
          <w:rFonts w:hint="eastAsia"/>
          <w:sz w:val="30"/>
          <w:szCs w:val="30"/>
        </w:rPr>
        <w:t>1.</w:t>
      </w:r>
      <w:r>
        <w:rPr>
          <w:rFonts w:hint="eastAsia"/>
          <w:sz w:val="30"/>
          <w:szCs w:val="30"/>
        </w:rPr>
        <w:t>判令撤销（</w:t>
      </w:r>
      <w:r>
        <w:rPr>
          <w:rFonts w:hint="eastAsia"/>
          <w:sz w:val="30"/>
          <w:szCs w:val="30"/>
        </w:rPr>
        <w:t>2015</w:t>
      </w:r>
      <w:r>
        <w:rPr>
          <w:rFonts w:hint="eastAsia"/>
          <w:sz w:val="30"/>
          <w:szCs w:val="30"/>
        </w:rPr>
        <w:t>）沙法民初字第</w:t>
      </w:r>
      <w:r>
        <w:rPr>
          <w:rFonts w:hint="eastAsia"/>
          <w:sz w:val="30"/>
          <w:szCs w:val="30"/>
        </w:rPr>
        <w:t>14026</w:t>
      </w:r>
      <w:r>
        <w:rPr>
          <w:rFonts w:hint="eastAsia"/>
          <w:sz w:val="30"/>
          <w:szCs w:val="30"/>
        </w:rPr>
        <w:t>号民事判决书；</w:t>
      </w:r>
      <w:r>
        <w:rPr>
          <w:rFonts w:hint="eastAsia"/>
          <w:sz w:val="30"/>
          <w:szCs w:val="30"/>
        </w:rPr>
        <w:t>2.</w:t>
      </w:r>
      <w:r>
        <w:rPr>
          <w:rFonts w:hint="eastAsia"/>
          <w:sz w:val="30"/>
          <w:szCs w:val="30"/>
        </w:rPr>
        <w:t>请求判令驳回优能火公司的全部诉讼请求；</w:t>
      </w:r>
      <w:r>
        <w:rPr>
          <w:rFonts w:hint="eastAsia"/>
          <w:sz w:val="30"/>
          <w:szCs w:val="30"/>
        </w:rPr>
        <w:lastRenderedPageBreak/>
        <w:t>3.</w:t>
      </w:r>
      <w:r>
        <w:rPr>
          <w:rFonts w:hint="eastAsia"/>
          <w:sz w:val="30"/>
          <w:szCs w:val="30"/>
        </w:rPr>
        <w:t>一审、二审诉讼费用由优能火公司承担。事实及理由：</w:t>
      </w:r>
      <w:r>
        <w:rPr>
          <w:rFonts w:hint="eastAsia"/>
          <w:sz w:val="30"/>
          <w:szCs w:val="30"/>
        </w:rPr>
        <w:t>1.</w:t>
      </w:r>
      <w:r>
        <w:rPr>
          <w:rFonts w:hint="eastAsia"/>
          <w:sz w:val="30"/>
          <w:szCs w:val="30"/>
        </w:rPr>
        <w:t>一审判决依据并账协议认定重庆隆鑫机车有限公司欠优能火公司</w:t>
      </w:r>
      <w:r>
        <w:rPr>
          <w:rFonts w:hint="eastAsia"/>
          <w:sz w:val="30"/>
          <w:szCs w:val="30"/>
        </w:rPr>
        <w:t>153047.74</w:t>
      </w:r>
      <w:r>
        <w:rPr>
          <w:rFonts w:hint="eastAsia"/>
          <w:sz w:val="30"/>
          <w:szCs w:val="30"/>
        </w:rPr>
        <w:t>元理由不成立。在（</w:t>
      </w:r>
      <w:r>
        <w:rPr>
          <w:rFonts w:hint="eastAsia"/>
          <w:sz w:val="30"/>
          <w:szCs w:val="30"/>
        </w:rPr>
        <w:t>2015</w:t>
      </w:r>
      <w:r>
        <w:rPr>
          <w:rFonts w:hint="eastAsia"/>
          <w:sz w:val="30"/>
          <w:szCs w:val="30"/>
        </w:rPr>
        <w:t>）沙法民初字第</w:t>
      </w:r>
      <w:r>
        <w:rPr>
          <w:rFonts w:hint="eastAsia"/>
          <w:sz w:val="30"/>
          <w:szCs w:val="30"/>
        </w:rPr>
        <w:t>07807</w:t>
      </w:r>
      <w:r>
        <w:rPr>
          <w:rFonts w:hint="eastAsia"/>
          <w:sz w:val="30"/>
          <w:szCs w:val="30"/>
        </w:rPr>
        <w:t>号案件庭审中，重庆隆鑫机车有限公司明确否认与优能火公司存在实际交易往来，其没有欠优能火公司任何货款，且在该案中仅对并账协议真实性进行了确认，并未对并账协议关联性、合法性予以确认。</w:t>
      </w:r>
      <w:r>
        <w:rPr>
          <w:rFonts w:hint="eastAsia"/>
          <w:sz w:val="30"/>
          <w:szCs w:val="30"/>
        </w:rPr>
        <w:t>2.</w:t>
      </w:r>
      <w:r>
        <w:rPr>
          <w:rFonts w:hint="eastAsia"/>
          <w:sz w:val="30"/>
          <w:szCs w:val="30"/>
        </w:rPr>
        <w:t>根据</w:t>
      </w:r>
      <w:r>
        <w:rPr>
          <w:rFonts w:hint="eastAsia"/>
          <w:sz w:val="30"/>
          <w:szCs w:val="30"/>
        </w:rPr>
        <w:t>2011</w:t>
      </w:r>
      <w:r>
        <w:rPr>
          <w:rFonts w:hint="eastAsia"/>
          <w:sz w:val="30"/>
          <w:szCs w:val="30"/>
        </w:rPr>
        <w:t>年</w:t>
      </w:r>
      <w:r>
        <w:rPr>
          <w:rFonts w:hint="eastAsia"/>
          <w:sz w:val="30"/>
          <w:szCs w:val="30"/>
        </w:rPr>
        <w:t>3</w:t>
      </w:r>
      <w:r>
        <w:rPr>
          <w:rFonts w:hint="eastAsia"/>
          <w:sz w:val="30"/>
          <w:szCs w:val="30"/>
        </w:rPr>
        <w:t>月</w:t>
      </w:r>
      <w:r>
        <w:rPr>
          <w:rFonts w:hint="eastAsia"/>
          <w:sz w:val="30"/>
          <w:szCs w:val="30"/>
        </w:rPr>
        <w:t>20</w:t>
      </w:r>
      <w:r>
        <w:rPr>
          <w:rFonts w:hint="eastAsia"/>
          <w:sz w:val="30"/>
          <w:szCs w:val="30"/>
        </w:rPr>
        <w:t>日优能火公司</w:t>
      </w:r>
      <w:r>
        <w:rPr>
          <w:rFonts w:hint="eastAsia"/>
          <w:sz w:val="30"/>
          <w:szCs w:val="30"/>
        </w:rPr>
        <w:t>股东大会决议，以及</w:t>
      </w:r>
      <w:r>
        <w:rPr>
          <w:rFonts w:hint="eastAsia"/>
          <w:sz w:val="30"/>
          <w:szCs w:val="30"/>
        </w:rPr>
        <w:t>2011</w:t>
      </w:r>
      <w:r>
        <w:rPr>
          <w:rFonts w:hint="eastAsia"/>
          <w:sz w:val="30"/>
          <w:szCs w:val="30"/>
        </w:rPr>
        <w:t>年</w:t>
      </w:r>
      <w:r>
        <w:rPr>
          <w:rFonts w:hint="eastAsia"/>
          <w:sz w:val="30"/>
          <w:szCs w:val="30"/>
        </w:rPr>
        <w:t>3</w:t>
      </w:r>
      <w:r>
        <w:rPr>
          <w:rFonts w:hint="eastAsia"/>
          <w:sz w:val="30"/>
          <w:szCs w:val="30"/>
        </w:rPr>
        <w:t>月</w:t>
      </w:r>
      <w:r>
        <w:rPr>
          <w:rFonts w:hint="eastAsia"/>
          <w:sz w:val="30"/>
          <w:szCs w:val="30"/>
        </w:rPr>
        <w:t>24</w:t>
      </w:r>
      <w:r>
        <w:rPr>
          <w:rFonts w:hint="eastAsia"/>
          <w:sz w:val="30"/>
          <w:szCs w:val="30"/>
        </w:rPr>
        <w:t>日优能火公司与游江签订目标经营责任书。游江在</w:t>
      </w:r>
      <w:r>
        <w:rPr>
          <w:rFonts w:hint="eastAsia"/>
          <w:sz w:val="30"/>
          <w:szCs w:val="30"/>
        </w:rPr>
        <w:t>2011</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日，对优能火公司进行承包经营，优能火公司按照目标经营责任约定指标对游江进行目标责任考核。但时至今日，双方未就目标责任指标考核进行结算。且双方就该目标结算纠纷正在一审法院审理过程中。在双方</w:t>
      </w:r>
      <w:r>
        <w:rPr>
          <w:rFonts w:hint="eastAsia"/>
          <w:sz w:val="30"/>
          <w:szCs w:val="30"/>
        </w:rPr>
        <w:t>2011</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日期间目标考核结算未完成之前，一审判决仅凭海格公司收到重庆隆鑫机车有限公司支付</w:t>
      </w:r>
      <w:r>
        <w:rPr>
          <w:rFonts w:hint="eastAsia"/>
          <w:sz w:val="30"/>
          <w:szCs w:val="30"/>
        </w:rPr>
        <w:t>153047.74</w:t>
      </w:r>
      <w:r>
        <w:rPr>
          <w:rFonts w:hint="eastAsia"/>
          <w:sz w:val="30"/>
          <w:szCs w:val="30"/>
        </w:rPr>
        <w:t>元货款，就认定游江损害优能火公司利益没有事实依据。</w:t>
      </w:r>
      <w:r>
        <w:rPr>
          <w:rFonts w:hint="eastAsia"/>
          <w:sz w:val="30"/>
          <w:szCs w:val="30"/>
        </w:rPr>
        <w:t>3.</w:t>
      </w:r>
      <w:r>
        <w:rPr>
          <w:rFonts w:hint="eastAsia"/>
          <w:sz w:val="30"/>
          <w:szCs w:val="30"/>
        </w:rPr>
        <w:t>一审判决适用法律错误</w:t>
      </w:r>
      <w:r>
        <w:rPr>
          <w:rFonts w:hint="eastAsia"/>
          <w:sz w:val="30"/>
          <w:szCs w:val="30"/>
        </w:rPr>
        <w:t>。按照《公司法》第二十一条规定，公司实际控制人给公司造成损失，才应当承担赔偿责任。或按照第一百四十八条规定，……董事、高级管理人员违反前款规定所得的收入应当归公司所有。但在实际中，优能火公司根本没有向重庆隆鑫机车有限公司供应过价值</w:t>
      </w:r>
      <w:r>
        <w:rPr>
          <w:rFonts w:hint="eastAsia"/>
          <w:sz w:val="30"/>
          <w:szCs w:val="30"/>
        </w:rPr>
        <w:t>153047.74</w:t>
      </w:r>
      <w:r>
        <w:rPr>
          <w:rFonts w:hint="eastAsia"/>
          <w:sz w:val="30"/>
          <w:szCs w:val="30"/>
        </w:rPr>
        <w:t>元商品或货物，并不存在实际损失。且游江也没有收到重庆隆鑫机车有限公司支付</w:t>
      </w:r>
      <w:r>
        <w:rPr>
          <w:rFonts w:hint="eastAsia"/>
          <w:sz w:val="30"/>
          <w:szCs w:val="30"/>
        </w:rPr>
        <w:t>153047.74</w:t>
      </w:r>
      <w:r>
        <w:rPr>
          <w:rFonts w:hint="eastAsia"/>
          <w:sz w:val="30"/>
          <w:szCs w:val="30"/>
        </w:rPr>
        <w:t>元货款。</w:t>
      </w:r>
      <w:r>
        <w:rPr>
          <w:rFonts w:hint="eastAsia"/>
          <w:sz w:val="30"/>
          <w:szCs w:val="30"/>
        </w:rPr>
        <w:t>4.</w:t>
      </w:r>
      <w:r>
        <w:rPr>
          <w:rFonts w:hint="eastAsia"/>
          <w:sz w:val="30"/>
          <w:szCs w:val="30"/>
        </w:rPr>
        <w:t>一审判决审判程序错误，属于一事二审，在（</w:t>
      </w:r>
      <w:r>
        <w:rPr>
          <w:rFonts w:hint="eastAsia"/>
          <w:sz w:val="30"/>
          <w:szCs w:val="30"/>
        </w:rPr>
        <w:t>2015</w:t>
      </w:r>
      <w:r>
        <w:rPr>
          <w:rFonts w:hint="eastAsia"/>
          <w:sz w:val="30"/>
          <w:szCs w:val="30"/>
        </w:rPr>
        <w:t>）沙法民初字第</w:t>
      </w:r>
      <w:r>
        <w:rPr>
          <w:rFonts w:hint="eastAsia"/>
          <w:sz w:val="30"/>
          <w:szCs w:val="30"/>
        </w:rPr>
        <w:t>07807</w:t>
      </w:r>
      <w:r>
        <w:rPr>
          <w:rFonts w:hint="eastAsia"/>
          <w:sz w:val="30"/>
          <w:szCs w:val="30"/>
        </w:rPr>
        <w:t>号案件审理过程中，优能火公司明确认可“返还不当得利属于立案错误，该案实为损害公司权益纠纷”</w:t>
      </w:r>
      <w:r>
        <w:rPr>
          <w:rFonts w:hint="eastAsia"/>
          <w:sz w:val="30"/>
          <w:szCs w:val="30"/>
        </w:rPr>
        <w:t>。本案</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7</w:t>
      </w:r>
      <w:r>
        <w:rPr>
          <w:rFonts w:hint="eastAsia"/>
          <w:sz w:val="30"/>
          <w:szCs w:val="30"/>
        </w:rPr>
        <w:t>日立案，期间正是（</w:t>
      </w:r>
      <w:r>
        <w:rPr>
          <w:rFonts w:hint="eastAsia"/>
          <w:sz w:val="30"/>
          <w:szCs w:val="30"/>
        </w:rPr>
        <w:t>2015</w:t>
      </w:r>
      <w:r>
        <w:rPr>
          <w:rFonts w:hint="eastAsia"/>
          <w:sz w:val="30"/>
          <w:szCs w:val="30"/>
        </w:rPr>
        <w:t>）沙法民初字第</w:t>
      </w:r>
      <w:r>
        <w:rPr>
          <w:rFonts w:hint="eastAsia"/>
          <w:sz w:val="30"/>
          <w:szCs w:val="30"/>
        </w:rPr>
        <w:t>07807</w:t>
      </w:r>
      <w:r>
        <w:rPr>
          <w:rFonts w:hint="eastAsia"/>
          <w:sz w:val="30"/>
          <w:szCs w:val="30"/>
        </w:rPr>
        <w:t>号案件审理过程中。优能火公司基于同样理由、证据资料及诉请类别（主张金额不同），向同一法院提起诉讼，属于重复诉讼。</w:t>
      </w:r>
    </w:p>
    <w:p w:rsidR="00000000" w:rsidRDefault="00A20BA2">
      <w:pPr>
        <w:spacing w:line="500" w:lineRule="atLeast"/>
        <w:ind w:firstLine="600"/>
        <w:divId w:val="1900676404"/>
        <w:rPr>
          <w:rFonts w:hint="eastAsia"/>
          <w:sz w:val="30"/>
          <w:szCs w:val="30"/>
        </w:rPr>
      </w:pPr>
      <w:r>
        <w:rPr>
          <w:rFonts w:hint="eastAsia"/>
          <w:sz w:val="30"/>
          <w:szCs w:val="30"/>
        </w:rPr>
        <w:t>优能火公司辩称，一审第一项判决认定事实清楚，请求驳回游江的二审诉请。</w:t>
      </w:r>
    </w:p>
    <w:p w:rsidR="00000000" w:rsidRDefault="00A20BA2">
      <w:pPr>
        <w:spacing w:line="500" w:lineRule="atLeast"/>
        <w:ind w:firstLine="600"/>
        <w:divId w:val="861630234"/>
        <w:rPr>
          <w:rFonts w:hint="eastAsia"/>
          <w:sz w:val="30"/>
          <w:szCs w:val="30"/>
        </w:rPr>
      </w:pPr>
      <w:r>
        <w:rPr>
          <w:rFonts w:hint="eastAsia"/>
          <w:sz w:val="30"/>
          <w:szCs w:val="30"/>
        </w:rPr>
        <w:t>张丽娟、董若舟、许天府同意游江意见。</w:t>
      </w:r>
    </w:p>
    <w:p w:rsidR="00000000" w:rsidRDefault="00A20BA2">
      <w:pPr>
        <w:spacing w:line="500" w:lineRule="atLeast"/>
        <w:ind w:firstLine="600"/>
        <w:divId w:val="1360466741"/>
        <w:rPr>
          <w:rFonts w:hint="eastAsia"/>
          <w:sz w:val="30"/>
          <w:szCs w:val="30"/>
        </w:rPr>
      </w:pPr>
      <w:r>
        <w:rPr>
          <w:rFonts w:hint="eastAsia"/>
          <w:sz w:val="30"/>
          <w:szCs w:val="30"/>
        </w:rPr>
        <w:t>原审第三人海格公司同意游江意见。</w:t>
      </w:r>
    </w:p>
    <w:p w:rsidR="00000000" w:rsidRDefault="00A20BA2">
      <w:pPr>
        <w:spacing w:line="500" w:lineRule="atLeast"/>
        <w:ind w:firstLine="600"/>
        <w:divId w:val="1426347028"/>
        <w:rPr>
          <w:rFonts w:hint="eastAsia"/>
          <w:sz w:val="30"/>
          <w:szCs w:val="30"/>
        </w:rPr>
      </w:pPr>
      <w:r>
        <w:rPr>
          <w:rFonts w:hint="eastAsia"/>
          <w:sz w:val="30"/>
          <w:szCs w:val="30"/>
        </w:rPr>
        <w:t>优能火公司向一审法院起诉请求：判决游江、张丽娟、董若舟、许天府向优能火公司共同赔偿</w:t>
      </w:r>
      <w:r>
        <w:rPr>
          <w:rFonts w:hint="eastAsia"/>
          <w:sz w:val="30"/>
          <w:szCs w:val="30"/>
        </w:rPr>
        <w:t>160</w:t>
      </w:r>
      <w:r>
        <w:rPr>
          <w:rFonts w:hint="eastAsia"/>
          <w:sz w:val="30"/>
          <w:szCs w:val="30"/>
        </w:rPr>
        <w:t>万元，第三人海格公司承担连带赔偿责任。</w:t>
      </w:r>
    </w:p>
    <w:p w:rsidR="00000000" w:rsidRDefault="00A20BA2">
      <w:pPr>
        <w:spacing w:line="500" w:lineRule="atLeast"/>
        <w:ind w:firstLine="600"/>
        <w:divId w:val="373626548"/>
        <w:rPr>
          <w:rFonts w:hint="eastAsia"/>
          <w:sz w:val="30"/>
          <w:szCs w:val="30"/>
        </w:rPr>
      </w:pPr>
      <w:r>
        <w:rPr>
          <w:rFonts w:hint="eastAsia"/>
          <w:sz w:val="30"/>
          <w:szCs w:val="30"/>
        </w:rPr>
        <w:t>一审法院认定事实：优能火公司于</w:t>
      </w:r>
      <w:r>
        <w:rPr>
          <w:rFonts w:hint="eastAsia"/>
          <w:sz w:val="30"/>
          <w:szCs w:val="30"/>
        </w:rPr>
        <w:t>2006</w:t>
      </w:r>
      <w:r>
        <w:rPr>
          <w:rFonts w:hint="eastAsia"/>
          <w:sz w:val="30"/>
          <w:szCs w:val="30"/>
        </w:rPr>
        <w:t>年</w:t>
      </w:r>
      <w:r>
        <w:rPr>
          <w:rFonts w:hint="eastAsia"/>
          <w:sz w:val="30"/>
          <w:szCs w:val="30"/>
        </w:rPr>
        <w:t>12</w:t>
      </w:r>
      <w:r>
        <w:rPr>
          <w:rFonts w:hint="eastAsia"/>
          <w:sz w:val="30"/>
          <w:szCs w:val="30"/>
        </w:rPr>
        <w:t>月登记设立</w:t>
      </w:r>
      <w:r>
        <w:rPr>
          <w:rFonts w:hint="eastAsia"/>
          <w:sz w:val="30"/>
          <w:szCs w:val="30"/>
        </w:rPr>
        <w:t>，发起股东为欧博俊、游江、张丽娟、谢煌琰。</w:t>
      </w:r>
      <w:r>
        <w:rPr>
          <w:rFonts w:hint="eastAsia"/>
          <w:sz w:val="30"/>
          <w:szCs w:val="30"/>
        </w:rPr>
        <w:t>2006</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日第一次股东会决定欧博俊为执行董事，担任法定代表人，聘任张丽娟为公司总经理。</w:t>
      </w:r>
      <w:r>
        <w:rPr>
          <w:rFonts w:hint="eastAsia"/>
          <w:sz w:val="30"/>
          <w:szCs w:val="30"/>
        </w:rPr>
        <w:t>2011</w:t>
      </w:r>
      <w:r>
        <w:rPr>
          <w:rFonts w:hint="eastAsia"/>
          <w:sz w:val="30"/>
          <w:szCs w:val="30"/>
        </w:rPr>
        <w:t>年</w:t>
      </w:r>
      <w:r>
        <w:rPr>
          <w:rFonts w:hint="eastAsia"/>
          <w:sz w:val="30"/>
          <w:szCs w:val="30"/>
        </w:rPr>
        <w:t>3</w:t>
      </w:r>
      <w:r>
        <w:rPr>
          <w:rFonts w:hint="eastAsia"/>
          <w:sz w:val="30"/>
          <w:szCs w:val="30"/>
        </w:rPr>
        <w:t>月，优能火公司股东会同意欧博俊、游江分别向左成、董若舟、许天府转让股权，其中欧博俊股权占比</w:t>
      </w:r>
      <w:r>
        <w:rPr>
          <w:rFonts w:hint="eastAsia"/>
          <w:sz w:val="30"/>
          <w:szCs w:val="30"/>
        </w:rPr>
        <w:t>30%</w:t>
      </w:r>
      <w:r>
        <w:rPr>
          <w:rFonts w:hint="eastAsia"/>
          <w:sz w:val="30"/>
          <w:szCs w:val="30"/>
        </w:rPr>
        <w:t>，张丽娟股权占比</w:t>
      </w:r>
      <w:r>
        <w:rPr>
          <w:rFonts w:hint="eastAsia"/>
          <w:sz w:val="30"/>
          <w:szCs w:val="30"/>
        </w:rPr>
        <w:t>20%</w:t>
      </w:r>
      <w:r>
        <w:rPr>
          <w:rFonts w:hint="eastAsia"/>
          <w:sz w:val="30"/>
          <w:szCs w:val="30"/>
        </w:rPr>
        <w:t>，游江股权占比</w:t>
      </w:r>
      <w:r>
        <w:rPr>
          <w:rFonts w:hint="eastAsia"/>
          <w:sz w:val="30"/>
          <w:szCs w:val="30"/>
        </w:rPr>
        <w:t>20%</w:t>
      </w:r>
      <w:r>
        <w:rPr>
          <w:rFonts w:hint="eastAsia"/>
          <w:sz w:val="30"/>
          <w:szCs w:val="30"/>
        </w:rPr>
        <w:t>，左成股权占比</w:t>
      </w:r>
      <w:r>
        <w:rPr>
          <w:rFonts w:hint="eastAsia"/>
          <w:sz w:val="30"/>
          <w:szCs w:val="30"/>
        </w:rPr>
        <w:t>10%</w:t>
      </w:r>
      <w:r>
        <w:rPr>
          <w:rFonts w:hint="eastAsia"/>
          <w:sz w:val="30"/>
          <w:szCs w:val="30"/>
        </w:rPr>
        <w:t>，董若舟股权占比</w:t>
      </w:r>
      <w:r>
        <w:rPr>
          <w:rFonts w:hint="eastAsia"/>
          <w:sz w:val="30"/>
          <w:szCs w:val="30"/>
        </w:rPr>
        <w:t>10%</w:t>
      </w:r>
      <w:r>
        <w:rPr>
          <w:rFonts w:hint="eastAsia"/>
          <w:sz w:val="30"/>
          <w:szCs w:val="30"/>
        </w:rPr>
        <w:t>，谢煌琰股权占比</w:t>
      </w:r>
      <w:r>
        <w:rPr>
          <w:rFonts w:hint="eastAsia"/>
          <w:sz w:val="30"/>
          <w:szCs w:val="30"/>
        </w:rPr>
        <w:t>5%</w:t>
      </w:r>
      <w:r>
        <w:rPr>
          <w:rFonts w:hint="eastAsia"/>
          <w:sz w:val="30"/>
          <w:szCs w:val="30"/>
        </w:rPr>
        <w:t>，许天府股权占比</w:t>
      </w:r>
      <w:r>
        <w:rPr>
          <w:rFonts w:hint="eastAsia"/>
          <w:sz w:val="30"/>
          <w:szCs w:val="30"/>
        </w:rPr>
        <w:t>5%</w:t>
      </w:r>
      <w:r>
        <w:rPr>
          <w:rFonts w:hint="eastAsia"/>
          <w:sz w:val="30"/>
          <w:szCs w:val="30"/>
        </w:rPr>
        <w:t>。</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日，优能火公司召开股东会，再次引入新股东，由左成将</w:t>
      </w:r>
      <w:r>
        <w:rPr>
          <w:rFonts w:hint="eastAsia"/>
          <w:sz w:val="30"/>
          <w:szCs w:val="30"/>
        </w:rPr>
        <w:t>10%</w:t>
      </w:r>
      <w:r>
        <w:rPr>
          <w:rFonts w:hint="eastAsia"/>
          <w:sz w:val="30"/>
          <w:szCs w:val="30"/>
        </w:rPr>
        <w:t>股权转让给陈全，欧博俊向欧庆、欧丹分别转让</w:t>
      </w:r>
      <w:r>
        <w:rPr>
          <w:rFonts w:hint="eastAsia"/>
          <w:sz w:val="30"/>
          <w:szCs w:val="30"/>
        </w:rPr>
        <w:t>5%</w:t>
      </w:r>
      <w:r>
        <w:rPr>
          <w:rFonts w:hint="eastAsia"/>
          <w:sz w:val="30"/>
          <w:szCs w:val="30"/>
        </w:rPr>
        <w:t>股权，游江向郭英转让</w:t>
      </w:r>
      <w:r>
        <w:rPr>
          <w:rFonts w:hint="eastAsia"/>
          <w:sz w:val="30"/>
          <w:szCs w:val="30"/>
        </w:rPr>
        <w:t>7</w:t>
      </w:r>
      <w:r>
        <w:rPr>
          <w:rFonts w:hint="eastAsia"/>
          <w:sz w:val="30"/>
          <w:szCs w:val="30"/>
        </w:rPr>
        <w:t>.5%</w:t>
      </w:r>
      <w:r>
        <w:rPr>
          <w:rFonts w:hint="eastAsia"/>
          <w:sz w:val="30"/>
          <w:szCs w:val="30"/>
        </w:rPr>
        <w:t>股权。自此，欧博俊的股权比例变更为</w:t>
      </w:r>
      <w:r>
        <w:rPr>
          <w:rFonts w:hint="eastAsia"/>
          <w:sz w:val="30"/>
          <w:szCs w:val="30"/>
        </w:rPr>
        <w:t>20%</w:t>
      </w:r>
      <w:r>
        <w:rPr>
          <w:rFonts w:hint="eastAsia"/>
          <w:sz w:val="30"/>
          <w:szCs w:val="30"/>
        </w:rPr>
        <w:t>，游江的股权比例变更为</w:t>
      </w:r>
      <w:r>
        <w:rPr>
          <w:rFonts w:hint="eastAsia"/>
          <w:sz w:val="30"/>
          <w:szCs w:val="30"/>
        </w:rPr>
        <w:t>12.5%</w:t>
      </w:r>
      <w:r>
        <w:rPr>
          <w:rFonts w:hint="eastAsia"/>
          <w:sz w:val="30"/>
          <w:szCs w:val="30"/>
        </w:rPr>
        <w:t>，张丽娟、董若舟、许天府的股权比例维持不变。优能火公司的经营范围包括许可经营项目：销售压缩气体及液化气体；一般经营项目：销售五金交电、建筑材料、电子设备、气体钢瓶及附件，机械配件加工。</w:t>
      </w:r>
    </w:p>
    <w:p w:rsidR="00000000" w:rsidRDefault="00A20BA2">
      <w:pPr>
        <w:spacing w:line="500" w:lineRule="atLeast"/>
        <w:ind w:firstLine="600"/>
        <w:divId w:val="182063460"/>
        <w:rPr>
          <w:rFonts w:hint="eastAsia"/>
          <w:sz w:val="30"/>
          <w:szCs w:val="30"/>
        </w:rPr>
      </w:pPr>
      <w:r>
        <w:rPr>
          <w:rFonts w:hint="eastAsia"/>
          <w:sz w:val="30"/>
          <w:szCs w:val="30"/>
        </w:rPr>
        <w:t>2011</w:t>
      </w:r>
      <w:r>
        <w:rPr>
          <w:rFonts w:hint="eastAsia"/>
          <w:sz w:val="30"/>
          <w:szCs w:val="30"/>
        </w:rPr>
        <w:t>年</w:t>
      </w:r>
      <w:r>
        <w:rPr>
          <w:rFonts w:hint="eastAsia"/>
          <w:sz w:val="30"/>
          <w:szCs w:val="30"/>
        </w:rPr>
        <w:t>3</w:t>
      </w:r>
      <w:r>
        <w:rPr>
          <w:rFonts w:hint="eastAsia"/>
          <w:sz w:val="30"/>
          <w:szCs w:val="30"/>
        </w:rPr>
        <w:t>月</w:t>
      </w:r>
      <w:r>
        <w:rPr>
          <w:rFonts w:hint="eastAsia"/>
          <w:sz w:val="30"/>
          <w:szCs w:val="30"/>
        </w:rPr>
        <w:t>20</w:t>
      </w:r>
      <w:r>
        <w:rPr>
          <w:rFonts w:hint="eastAsia"/>
          <w:sz w:val="30"/>
          <w:szCs w:val="30"/>
        </w:rPr>
        <w:t>日，优能火公司召开股东会，决定改变公司经营模式，采取目标经营责任制形式。</w:t>
      </w:r>
      <w:r>
        <w:rPr>
          <w:rFonts w:hint="eastAsia"/>
          <w:sz w:val="30"/>
          <w:szCs w:val="30"/>
        </w:rPr>
        <w:t>2011</w:t>
      </w:r>
      <w:r>
        <w:rPr>
          <w:rFonts w:hint="eastAsia"/>
          <w:sz w:val="30"/>
          <w:szCs w:val="30"/>
        </w:rPr>
        <w:t>年</w:t>
      </w:r>
      <w:r>
        <w:rPr>
          <w:rFonts w:hint="eastAsia"/>
          <w:sz w:val="30"/>
          <w:szCs w:val="30"/>
        </w:rPr>
        <w:t>3</w:t>
      </w:r>
      <w:r>
        <w:rPr>
          <w:rFonts w:hint="eastAsia"/>
          <w:sz w:val="30"/>
          <w:szCs w:val="30"/>
        </w:rPr>
        <w:t>月</w:t>
      </w:r>
      <w:r>
        <w:rPr>
          <w:rFonts w:hint="eastAsia"/>
          <w:sz w:val="30"/>
          <w:szCs w:val="30"/>
        </w:rPr>
        <w:t>24</w:t>
      </w:r>
      <w:r>
        <w:rPr>
          <w:rFonts w:hint="eastAsia"/>
          <w:sz w:val="30"/>
          <w:szCs w:val="30"/>
        </w:rPr>
        <w:t>日，优能火公司与游江签订目标经营责任书，内容为，根据公司股东会决议及全体股东投标结果，股东游江中得公司的目标经营责任权。一、责任目标：第一年</w:t>
      </w:r>
      <w:r>
        <w:rPr>
          <w:rFonts w:hint="eastAsia"/>
          <w:sz w:val="30"/>
          <w:szCs w:val="30"/>
        </w:rPr>
        <w:t>的经营目标为当年实现净利润</w:t>
      </w:r>
      <w:r>
        <w:rPr>
          <w:rFonts w:hint="eastAsia"/>
          <w:sz w:val="30"/>
          <w:szCs w:val="30"/>
        </w:rPr>
        <w:t>312</w:t>
      </w:r>
      <w:r>
        <w:rPr>
          <w:rFonts w:hint="eastAsia"/>
          <w:sz w:val="30"/>
          <w:szCs w:val="30"/>
        </w:rPr>
        <w:t>万元，实现直销客户经营</w:t>
      </w:r>
      <w:r>
        <w:rPr>
          <w:rFonts w:hint="eastAsia"/>
          <w:sz w:val="30"/>
          <w:szCs w:val="30"/>
        </w:rPr>
        <w:t>1063</w:t>
      </w:r>
      <w:r>
        <w:rPr>
          <w:rFonts w:hint="eastAsia"/>
          <w:sz w:val="30"/>
          <w:szCs w:val="30"/>
        </w:rPr>
        <w:t>万元；二、经营期限：目标责任经营期限为三年，自</w:t>
      </w:r>
      <w:r>
        <w:rPr>
          <w:rFonts w:hint="eastAsia"/>
          <w:sz w:val="30"/>
          <w:szCs w:val="30"/>
        </w:rPr>
        <w:t>2011</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日止。三、递增率：</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日净利润及直销客户经营收入同步递增</w:t>
      </w:r>
      <w:r>
        <w:rPr>
          <w:rFonts w:hint="eastAsia"/>
          <w:sz w:val="30"/>
          <w:szCs w:val="30"/>
        </w:rPr>
        <w:t>5%</w:t>
      </w:r>
      <w:r>
        <w:rPr>
          <w:rFonts w:hint="eastAsia"/>
          <w:sz w:val="30"/>
          <w:szCs w:val="30"/>
        </w:rPr>
        <w:t>；</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日净利润及直销客户经营收入同步递增</w:t>
      </w:r>
      <w:r>
        <w:rPr>
          <w:rFonts w:hint="eastAsia"/>
          <w:sz w:val="30"/>
          <w:szCs w:val="30"/>
        </w:rPr>
        <w:t>8%</w:t>
      </w:r>
      <w:r>
        <w:rPr>
          <w:rFonts w:hint="eastAsia"/>
          <w:sz w:val="30"/>
          <w:szCs w:val="30"/>
        </w:rPr>
        <w:t>。游江在经营期间有完全独立的人、财、物支配权，所有的印章、证照等全部交由游江保管，经营期满交回。游江要确保目标任务的完成，如未完成当年净利润目标任务，应用现金补足差额，不能用现金补足即抵扣其股份</w:t>
      </w:r>
      <w:r>
        <w:rPr>
          <w:rFonts w:hint="eastAsia"/>
          <w:sz w:val="30"/>
          <w:szCs w:val="30"/>
        </w:rPr>
        <w:t>，抵扣额按所差金额与股份额的比率为一比一（股份按人民币伍百万元为</w:t>
      </w:r>
      <w:r>
        <w:rPr>
          <w:rFonts w:hint="eastAsia"/>
          <w:sz w:val="30"/>
          <w:szCs w:val="30"/>
        </w:rPr>
        <w:t>100%</w:t>
      </w:r>
      <w:r>
        <w:rPr>
          <w:rFonts w:hint="eastAsia"/>
          <w:sz w:val="30"/>
          <w:szCs w:val="30"/>
        </w:rPr>
        <w:t>计算）。未完成直销客户经营收入直接抵扣股份，直销客户收入与股份的比率为三比一，累计抵扣达到目标责任人的持有股份，即自然解除目标责任，该责任人在公司内的股份自然消失，退出公司股东身份，其所抵扣的股份按未参加目标经营的现有股东按股份分摊。游江在经营期间必须保证每月计提十万元股东分红款，按月分红。经营期间的财务制度按公司现行财务制度执行，不得随意更改。责任书签订后，游江取得独立经营权，控制优能火公司的实际运营。</w:t>
      </w:r>
    </w:p>
    <w:p w:rsidR="00000000" w:rsidRDefault="00A20BA2">
      <w:pPr>
        <w:spacing w:line="500" w:lineRule="atLeast"/>
        <w:ind w:firstLine="600"/>
        <w:divId w:val="822622871"/>
        <w:rPr>
          <w:rFonts w:hint="eastAsia"/>
          <w:sz w:val="30"/>
          <w:szCs w:val="30"/>
        </w:rPr>
      </w:pPr>
      <w:r>
        <w:rPr>
          <w:rFonts w:hint="eastAsia"/>
          <w:sz w:val="30"/>
          <w:szCs w:val="30"/>
        </w:rPr>
        <w:t>另，</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22</w:t>
      </w:r>
      <w:r>
        <w:rPr>
          <w:rFonts w:hint="eastAsia"/>
          <w:sz w:val="30"/>
          <w:szCs w:val="30"/>
        </w:rPr>
        <w:t>日，张丽</w:t>
      </w:r>
      <w:r>
        <w:rPr>
          <w:rFonts w:hint="eastAsia"/>
          <w:sz w:val="30"/>
          <w:szCs w:val="30"/>
        </w:rPr>
        <w:t>娟、游江、董若舟、许天府另外登记设立重庆海格气体有限公司，公司法定代表人为游江，张丽娟股权占比</w:t>
      </w:r>
      <w:r>
        <w:rPr>
          <w:rFonts w:hint="eastAsia"/>
          <w:sz w:val="30"/>
          <w:szCs w:val="30"/>
        </w:rPr>
        <w:t>40%</w:t>
      </w:r>
      <w:r>
        <w:rPr>
          <w:rFonts w:hint="eastAsia"/>
          <w:sz w:val="30"/>
          <w:szCs w:val="30"/>
        </w:rPr>
        <w:t>，游江股权占比</w:t>
      </w:r>
      <w:r>
        <w:rPr>
          <w:rFonts w:hint="eastAsia"/>
          <w:sz w:val="30"/>
          <w:szCs w:val="30"/>
        </w:rPr>
        <w:t>30%</w:t>
      </w:r>
      <w:r>
        <w:rPr>
          <w:rFonts w:hint="eastAsia"/>
          <w:sz w:val="30"/>
          <w:szCs w:val="30"/>
        </w:rPr>
        <w:t>，董若舟、许天府的股权比例各为</w:t>
      </w:r>
      <w:r>
        <w:rPr>
          <w:rFonts w:hint="eastAsia"/>
          <w:sz w:val="30"/>
          <w:szCs w:val="30"/>
        </w:rPr>
        <w:t>15%</w:t>
      </w:r>
      <w:r>
        <w:rPr>
          <w:rFonts w:hint="eastAsia"/>
          <w:sz w:val="30"/>
          <w:szCs w:val="30"/>
        </w:rPr>
        <w:t>。重庆海格气体有限公司的登记经营范围包括许可经营项目：危险化学品。一般经营项目：销售气体剂、仪器、仪表、阀门配件、管道及气体充灌设备、纯化设备、钢瓶、气体设备销售、机电、五金、日杂、劳保用品，气体设备、管道及气体充灌设备、纯化设备维修、维护等。</w:t>
      </w:r>
      <w:r>
        <w:rPr>
          <w:rFonts w:hint="eastAsia"/>
          <w:sz w:val="30"/>
          <w:szCs w:val="30"/>
        </w:rPr>
        <w:t>2014</w:t>
      </w:r>
      <w:r>
        <w:rPr>
          <w:rFonts w:hint="eastAsia"/>
          <w:sz w:val="30"/>
          <w:szCs w:val="30"/>
        </w:rPr>
        <w:t>年</w:t>
      </w:r>
      <w:r>
        <w:rPr>
          <w:rFonts w:hint="eastAsia"/>
          <w:sz w:val="30"/>
          <w:szCs w:val="30"/>
        </w:rPr>
        <w:t>3</w:t>
      </w:r>
      <w:r>
        <w:rPr>
          <w:rFonts w:hint="eastAsia"/>
          <w:sz w:val="30"/>
          <w:szCs w:val="30"/>
        </w:rPr>
        <w:t>月底，游江目标经营期限届满。</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2</w:t>
      </w:r>
      <w:r>
        <w:rPr>
          <w:rFonts w:hint="eastAsia"/>
          <w:sz w:val="30"/>
          <w:szCs w:val="30"/>
        </w:rPr>
        <w:t>日，游江向欧博俊等其他股东移交了优能火公司的库存物资、财</w:t>
      </w:r>
      <w:r>
        <w:rPr>
          <w:rFonts w:hint="eastAsia"/>
          <w:sz w:val="30"/>
          <w:szCs w:val="30"/>
        </w:rPr>
        <w:t>务凭证、分类明细账等。此后，优能火公司认为游江等在目标经营责任期间，以设立海格公司参与同业竞争、流失属于优能火公司的应由账款及重要客户为手段，侵害优能火公司权益，向一审法院提起本案诉讼。优能火公司举示的与损害直接相关的证据包括企业对账函</w:t>
      </w:r>
      <w:r>
        <w:rPr>
          <w:rFonts w:hint="eastAsia"/>
          <w:sz w:val="30"/>
          <w:szCs w:val="30"/>
        </w:rPr>
        <w:t>3</w:t>
      </w:r>
      <w:r>
        <w:rPr>
          <w:rFonts w:hint="eastAsia"/>
          <w:sz w:val="30"/>
          <w:szCs w:val="30"/>
        </w:rPr>
        <w:t>份，内容为优能火公司于</w:t>
      </w:r>
      <w:r>
        <w:rPr>
          <w:rFonts w:hint="eastAsia"/>
          <w:sz w:val="30"/>
          <w:szCs w:val="30"/>
        </w:rPr>
        <w:t>2015</w:t>
      </w:r>
      <w:r>
        <w:rPr>
          <w:rFonts w:hint="eastAsia"/>
          <w:sz w:val="30"/>
          <w:szCs w:val="30"/>
        </w:rPr>
        <w:t>年</w:t>
      </w:r>
      <w:r>
        <w:rPr>
          <w:rFonts w:hint="eastAsia"/>
          <w:sz w:val="30"/>
          <w:szCs w:val="30"/>
        </w:rPr>
        <w:t>3</w:t>
      </w:r>
      <w:r>
        <w:rPr>
          <w:rFonts w:hint="eastAsia"/>
          <w:sz w:val="30"/>
          <w:szCs w:val="30"/>
        </w:rPr>
        <w:t>月分别向重庆齿轮箱有限责任公司、潍柴动力股份有限公司重庆分公司、重庆重齿风力发电齿轮箱有限责任公司询证，要求确认该三公司差欠优能火公司的货款金额，该三公司对询证结果未予肯定。优能火公司另举示并账协议复印件</w:t>
      </w:r>
      <w:r>
        <w:rPr>
          <w:rFonts w:hint="eastAsia"/>
          <w:sz w:val="30"/>
          <w:szCs w:val="30"/>
        </w:rPr>
        <w:t>1</w:t>
      </w:r>
      <w:r>
        <w:rPr>
          <w:rFonts w:hint="eastAsia"/>
          <w:sz w:val="30"/>
          <w:szCs w:val="30"/>
        </w:rPr>
        <w:t>份，内容为</w:t>
      </w:r>
      <w:r>
        <w:rPr>
          <w:rFonts w:hint="eastAsia"/>
          <w:sz w:val="30"/>
          <w:szCs w:val="30"/>
        </w:rPr>
        <w:t>2014</w:t>
      </w:r>
      <w:r>
        <w:rPr>
          <w:rFonts w:hint="eastAsia"/>
          <w:sz w:val="30"/>
          <w:szCs w:val="30"/>
        </w:rPr>
        <w:t>年某日，重庆隆鑫</w:t>
      </w:r>
      <w:r>
        <w:rPr>
          <w:rFonts w:hint="eastAsia"/>
          <w:sz w:val="30"/>
          <w:szCs w:val="30"/>
        </w:rPr>
        <w:t>机车有限公司（甲方）、原告优能火公司（乙方）及第三人海格公司（丙方）三方签订，约定甲方欠乙方货款，乙方欠丙方货款，甲方欠丙方货款，三方互有往来。……甲方所欠乙方金额为</w:t>
      </w:r>
      <w:r>
        <w:rPr>
          <w:rFonts w:hint="eastAsia"/>
          <w:sz w:val="30"/>
          <w:szCs w:val="30"/>
        </w:rPr>
        <w:t>153047.74</w:t>
      </w:r>
      <w:r>
        <w:rPr>
          <w:rFonts w:hint="eastAsia"/>
          <w:sz w:val="30"/>
          <w:szCs w:val="30"/>
        </w:rPr>
        <w:t>元，现三方达成共识，此笔款项由丙方代乙方收到，或由甲方直接付丙方账户，以此冲抵三方各自债权债务。三方凭此协议做账，并完善相应财务手续。</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26</w:t>
      </w:r>
      <w:r>
        <w:rPr>
          <w:rFonts w:hint="eastAsia"/>
          <w:sz w:val="30"/>
          <w:szCs w:val="30"/>
        </w:rPr>
        <w:t>日，优能火公司向重庆市江北公证处申请证据保全，在公证员监督下，由优能火公司委托代理人李西与重庆隆鑫机车有限公司的财务负责人“高艳”（音）电话联系，公证处人员作了电话录音，录音记</w:t>
      </w:r>
      <w:r>
        <w:rPr>
          <w:rFonts w:hint="eastAsia"/>
          <w:sz w:val="30"/>
          <w:szCs w:val="30"/>
        </w:rPr>
        <w:t>录显示重庆隆鑫机车有限公司认可根据并账协议将货款支付给了海格公司，并强调并账协议具有法律效力。</w:t>
      </w:r>
    </w:p>
    <w:p w:rsidR="00000000" w:rsidRDefault="00A20BA2">
      <w:pPr>
        <w:spacing w:line="500" w:lineRule="atLeast"/>
        <w:ind w:firstLine="600"/>
        <w:divId w:val="1255237528"/>
        <w:rPr>
          <w:rFonts w:hint="eastAsia"/>
          <w:sz w:val="30"/>
          <w:szCs w:val="30"/>
        </w:rPr>
      </w:pPr>
      <w:r>
        <w:rPr>
          <w:rFonts w:hint="eastAsia"/>
          <w:sz w:val="30"/>
          <w:szCs w:val="30"/>
        </w:rPr>
        <w:t>另，</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7</w:t>
      </w:r>
      <w:r>
        <w:rPr>
          <w:rFonts w:hint="eastAsia"/>
          <w:sz w:val="30"/>
          <w:szCs w:val="30"/>
        </w:rPr>
        <w:t>日，优能火公司向一审法院提起（</w:t>
      </w:r>
      <w:r>
        <w:rPr>
          <w:rFonts w:hint="eastAsia"/>
          <w:sz w:val="30"/>
          <w:szCs w:val="30"/>
        </w:rPr>
        <w:t>2015</w:t>
      </w:r>
      <w:r>
        <w:rPr>
          <w:rFonts w:hint="eastAsia"/>
          <w:sz w:val="30"/>
          <w:szCs w:val="30"/>
        </w:rPr>
        <w:t>）沙法民初字第</w:t>
      </w:r>
      <w:r>
        <w:rPr>
          <w:rFonts w:hint="eastAsia"/>
          <w:sz w:val="30"/>
          <w:szCs w:val="30"/>
        </w:rPr>
        <w:t>07807</w:t>
      </w:r>
      <w:r>
        <w:rPr>
          <w:rFonts w:hint="eastAsia"/>
          <w:sz w:val="30"/>
          <w:szCs w:val="30"/>
        </w:rPr>
        <w:t>号诉讼，将海格公司、游江列为被告，重庆隆鑫机车有限公司列为第三人，以不当得利为由，要求海格公司、游江共同返还货款</w:t>
      </w:r>
      <w:r>
        <w:rPr>
          <w:rFonts w:hint="eastAsia"/>
          <w:sz w:val="30"/>
          <w:szCs w:val="30"/>
        </w:rPr>
        <w:t>123047.74</w:t>
      </w:r>
      <w:r>
        <w:rPr>
          <w:rFonts w:hint="eastAsia"/>
          <w:sz w:val="30"/>
          <w:szCs w:val="30"/>
        </w:rPr>
        <w:t>元及质保金</w:t>
      </w:r>
      <w:r>
        <w:rPr>
          <w:rFonts w:hint="eastAsia"/>
          <w:sz w:val="30"/>
          <w:szCs w:val="30"/>
        </w:rPr>
        <w:t>30000</w:t>
      </w:r>
      <w:r>
        <w:rPr>
          <w:rFonts w:hint="eastAsia"/>
          <w:sz w:val="30"/>
          <w:szCs w:val="30"/>
        </w:rPr>
        <w:t>元。在该案中，一审法院对并账协议（复印件）的真实性予以认可，但以优能火公司的诉请不符合不当得利的构成要件为由，于</w:t>
      </w: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14</w:t>
      </w:r>
      <w:r>
        <w:rPr>
          <w:rFonts w:hint="eastAsia"/>
          <w:sz w:val="30"/>
          <w:szCs w:val="30"/>
        </w:rPr>
        <w:t>日判决驳回了优能火公司的请求。</w:t>
      </w:r>
    </w:p>
    <w:p w:rsidR="00000000" w:rsidRDefault="00A20BA2">
      <w:pPr>
        <w:spacing w:line="500" w:lineRule="atLeast"/>
        <w:ind w:firstLine="600"/>
        <w:divId w:val="1548955475"/>
        <w:rPr>
          <w:rFonts w:hint="eastAsia"/>
          <w:sz w:val="30"/>
          <w:szCs w:val="30"/>
        </w:rPr>
      </w:pPr>
      <w:r>
        <w:rPr>
          <w:rFonts w:hint="eastAsia"/>
          <w:sz w:val="30"/>
          <w:szCs w:val="30"/>
        </w:rPr>
        <w:t>另，</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19</w:t>
      </w:r>
      <w:r>
        <w:rPr>
          <w:rFonts w:hint="eastAsia"/>
          <w:sz w:val="30"/>
          <w:szCs w:val="30"/>
        </w:rPr>
        <w:t>日，重庆海格气体有限公司更名为重庆金宏海格气体有限公司，法定代表人变更为张丽娟。一审审理中，原告优能火公司向一审法院申请调取第三人海格公司自设立以来对外开具的全部增值税发票。经一审法院向重庆市九龙坡区国家税务局核查，显示自</w:t>
      </w:r>
      <w:r>
        <w:rPr>
          <w:rFonts w:hint="eastAsia"/>
          <w:sz w:val="30"/>
          <w:szCs w:val="30"/>
        </w:rPr>
        <w:t>2013</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17</w:t>
      </w:r>
      <w:r>
        <w:rPr>
          <w:rFonts w:hint="eastAsia"/>
          <w:sz w:val="30"/>
          <w:szCs w:val="30"/>
        </w:rPr>
        <w:t>日，海格公司对外开具增值税专用发票</w:t>
      </w:r>
      <w:r>
        <w:rPr>
          <w:rFonts w:hint="eastAsia"/>
          <w:sz w:val="30"/>
          <w:szCs w:val="30"/>
        </w:rPr>
        <w:t>502</w:t>
      </w:r>
      <w:r>
        <w:rPr>
          <w:rFonts w:hint="eastAsia"/>
          <w:sz w:val="30"/>
          <w:szCs w:val="30"/>
        </w:rPr>
        <w:t>份，涉及金额</w:t>
      </w:r>
      <w:r>
        <w:rPr>
          <w:rFonts w:hint="eastAsia"/>
          <w:sz w:val="30"/>
          <w:szCs w:val="30"/>
        </w:rPr>
        <w:t>7547419.45</w:t>
      </w:r>
      <w:r>
        <w:rPr>
          <w:rFonts w:hint="eastAsia"/>
          <w:sz w:val="30"/>
          <w:szCs w:val="30"/>
        </w:rPr>
        <w:t>元，税额</w:t>
      </w:r>
      <w:r>
        <w:rPr>
          <w:rFonts w:hint="eastAsia"/>
          <w:sz w:val="30"/>
          <w:szCs w:val="30"/>
        </w:rPr>
        <w:t>1283061.35</w:t>
      </w:r>
      <w:r>
        <w:rPr>
          <w:rFonts w:hint="eastAsia"/>
          <w:sz w:val="30"/>
          <w:szCs w:val="30"/>
        </w:rPr>
        <w:t>元。经整理确认，其中，海格公司向潍柴动力股份有限公司重庆分公司开具增值税专用发票金额</w:t>
      </w:r>
      <w:r>
        <w:rPr>
          <w:rFonts w:hint="eastAsia"/>
          <w:sz w:val="30"/>
          <w:szCs w:val="30"/>
        </w:rPr>
        <w:t>290957.26</w:t>
      </w:r>
      <w:r>
        <w:rPr>
          <w:rFonts w:hint="eastAsia"/>
          <w:sz w:val="30"/>
          <w:szCs w:val="30"/>
        </w:rPr>
        <w:t>元，向重庆齿轮箱有限责任公司开具增值税专用发票金额</w:t>
      </w:r>
      <w:r>
        <w:rPr>
          <w:rFonts w:hint="eastAsia"/>
          <w:sz w:val="30"/>
          <w:szCs w:val="30"/>
        </w:rPr>
        <w:t>62</w:t>
      </w:r>
      <w:r>
        <w:rPr>
          <w:rFonts w:hint="eastAsia"/>
          <w:sz w:val="30"/>
          <w:szCs w:val="30"/>
        </w:rPr>
        <w:t>5397.66</w:t>
      </w:r>
      <w:r>
        <w:rPr>
          <w:rFonts w:hint="eastAsia"/>
          <w:sz w:val="30"/>
          <w:szCs w:val="30"/>
        </w:rPr>
        <w:t>元，向重庆隆鑫机车有限公司开具增值税专用发票金额</w:t>
      </w:r>
      <w:r>
        <w:rPr>
          <w:rFonts w:hint="eastAsia"/>
          <w:sz w:val="30"/>
          <w:szCs w:val="30"/>
        </w:rPr>
        <w:t>1664142.56</w:t>
      </w:r>
      <w:r>
        <w:rPr>
          <w:rFonts w:hint="eastAsia"/>
          <w:sz w:val="30"/>
          <w:szCs w:val="30"/>
        </w:rPr>
        <w:t>元，向重庆重齿风力发电齿轮箱有限责任公司开具增值税专用发票金额</w:t>
      </w:r>
      <w:r>
        <w:rPr>
          <w:rFonts w:hint="eastAsia"/>
          <w:sz w:val="30"/>
          <w:szCs w:val="30"/>
        </w:rPr>
        <w:t>719185.47</w:t>
      </w:r>
      <w:r>
        <w:rPr>
          <w:rFonts w:hint="eastAsia"/>
          <w:sz w:val="30"/>
          <w:szCs w:val="30"/>
        </w:rPr>
        <w:t>元，以上合计</w:t>
      </w:r>
      <w:r>
        <w:rPr>
          <w:rFonts w:hint="eastAsia"/>
          <w:sz w:val="30"/>
          <w:szCs w:val="30"/>
        </w:rPr>
        <w:t>3299682.95</w:t>
      </w:r>
      <w:r>
        <w:rPr>
          <w:rFonts w:hint="eastAsia"/>
          <w:sz w:val="30"/>
          <w:szCs w:val="30"/>
        </w:rPr>
        <w:t>元。优能火公司认为游江等以违法手段导致优能火公司流失重庆隆鑫机车有限公司等重要客户，根据以上交易金额，按照与上述公司交易每年</w:t>
      </w:r>
      <w:r>
        <w:rPr>
          <w:rFonts w:hint="eastAsia"/>
          <w:sz w:val="30"/>
          <w:szCs w:val="30"/>
        </w:rPr>
        <w:t>80</w:t>
      </w:r>
      <w:r>
        <w:rPr>
          <w:rFonts w:hint="eastAsia"/>
          <w:sz w:val="30"/>
          <w:szCs w:val="30"/>
        </w:rPr>
        <w:t>万元利润计算，要求游江、张丽娟、董若舟、许天府赔偿损失</w:t>
      </w:r>
      <w:r>
        <w:rPr>
          <w:rFonts w:hint="eastAsia"/>
          <w:sz w:val="30"/>
          <w:szCs w:val="30"/>
        </w:rPr>
        <w:t>160</w:t>
      </w:r>
      <w:r>
        <w:rPr>
          <w:rFonts w:hint="eastAsia"/>
          <w:sz w:val="30"/>
          <w:szCs w:val="30"/>
        </w:rPr>
        <w:t>万元及海格公司承担连带赔偿责任。</w:t>
      </w:r>
    </w:p>
    <w:p w:rsidR="00000000" w:rsidRDefault="00A20BA2">
      <w:pPr>
        <w:spacing w:line="500" w:lineRule="atLeast"/>
        <w:ind w:firstLine="600"/>
        <w:divId w:val="170146485"/>
        <w:rPr>
          <w:rFonts w:hint="eastAsia"/>
          <w:sz w:val="30"/>
          <w:szCs w:val="30"/>
        </w:rPr>
      </w:pPr>
      <w:r>
        <w:rPr>
          <w:rFonts w:hint="eastAsia"/>
          <w:sz w:val="30"/>
          <w:szCs w:val="30"/>
        </w:rPr>
        <w:t>一审法院认为，从诉讼主体、诉讼理由、讼争法律关系分析，本案与（</w:t>
      </w:r>
      <w:r>
        <w:rPr>
          <w:rFonts w:hint="eastAsia"/>
          <w:sz w:val="30"/>
          <w:szCs w:val="30"/>
        </w:rPr>
        <w:t>2015</w:t>
      </w:r>
      <w:r>
        <w:rPr>
          <w:rFonts w:hint="eastAsia"/>
          <w:sz w:val="30"/>
          <w:szCs w:val="30"/>
        </w:rPr>
        <w:t>）沙法民初字第</w:t>
      </w:r>
      <w:r>
        <w:rPr>
          <w:rFonts w:hint="eastAsia"/>
          <w:sz w:val="30"/>
          <w:szCs w:val="30"/>
        </w:rPr>
        <w:t>07807</w:t>
      </w:r>
      <w:r>
        <w:rPr>
          <w:rFonts w:hint="eastAsia"/>
          <w:sz w:val="30"/>
          <w:szCs w:val="30"/>
        </w:rPr>
        <w:t>号</w:t>
      </w:r>
      <w:r>
        <w:rPr>
          <w:rFonts w:hint="eastAsia"/>
          <w:sz w:val="30"/>
          <w:szCs w:val="30"/>
        </w:rPr>
        <w:t>民事诉讼大相径庭，因此并非一事二诉，游江等关于重复诉讼的抗辩与诉讼法规定不符。我国公司法第二十一条规定，公司的控股股东、实际控制人、董事、监事、高级管理人员不得利用其关联关系损害公司利益。违反前款规定，给公司造成损失的，应当承担赔偿责任。公司法第一百四十八条第一款规定，董事、高级管理人员不得有下列行为……第（五）项：未经股东会或者股东大会同意，利用职务便利为自己或者他人谋取属于公司的商业机会，自营或者为他人经营与所任职公司同类的业务。董事、高级管理人员违反前款规定所得的收入应当归公司所有。本案中，游江作为优</w:t>
      </w:r>
      <w:r>
        <w:rPr>
          <w:rFonts w:hint="eastAsia"/>
          <w:sz w:val="30"/>
          <w:szCs w:val="30"/>
        </w:rPr>
        <w:t>能火公司实际控制人，在</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22</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期间，违反竞业禁止规定，违背其对于优能火公司的忠实义务，参与设立海格公司从事与优能火公司类似业务，损害了优能火公司的利益，应当就优能火公司的损失承担赔偿责任。我国公司法禁止的是高管人员经营与其所任职公司具有竞争性的业务。</w:t>
      </w:r>
      <w:r>
        <w:rPr>
          <w:rFonts w:hint="eastAsia"/>
          <w:sz w:val="30"/>
          <w:szCs w:val="30"/>
        </w:rPr>
        <w:t>2011</w:t>
      </w:r>
      <w:r>
        <w:rPr>
          <w:rFonts w:hint="eastAsia"/>
          <w:sz w:val="30"/>
          <w:szCs w:val="30"/>
        </w:rPr>
        <w:t>年</w:t>
      </w:r>
      <w:r>
        <w:rPr>
          <w:rFonts w:hint="eastAsia"/>
          <w:sz w:val="30"/>
          <w:szCs w:val="30"/>
        </w:rPr>
        <w:t>3</w:t>
      </w:r>
      <w:r>
        <w:rPr>
          <w:rFonts w:hint="eastAsia"/>
          <w:sz w:val="30"/>
          <w:szCs w:val="30"/>
        </w:rPr>
        <w:t>月以来，张丽娟、董若舟、许天府并非优能火公司高级管理人员，并无接受竞业禁止的义务，优能火公司将该三人列为被告属认识错误。此外，优能火公司要求海格公司承担连带赔偿责任没有法律依据，一审法院不予支持。</w:t>
      </w:r>
    </w:p>
    <w:p w:rsidR="00000000" w:rsidRDefault="00A20BA2">
      <w:pPr>
        <w:spacing w:line="500" w:lineRule="atLeast"/>
        <w:ind w:firstLine="600"/>
        <w:divId w:val="1509906640"/>
        <w:rPr>
          <w:rFonts w:hint="eastAsia"/>
          <w:sz w:val="30"/>
          <w:szCs w:val="30"/>
        </w:rPr>
      </w:pPr>
      <w:r>
        <w:rPr>
          <w:rFonts w:hint="eastAsia"/>
          <w:sz w:val="30"/>
          <w:szCs w:val="30"/>
        </w:rPr>
        <w:t>关于具体损失的构成</w:t>
      </w:r>
      <w:r>
        <w:rPr>
          <w:rFonts w:hint="eastAsia"/>
          <w:sz w:val="30"/>
          <w:szCs w:val="30"/>
        </w:rPr>
        <w:t>，优能火公司举示的证据比较薄弱，其中关于收款账户等内容变更的函系复印件，缺乏相关公司的佐证，难以产生证明力。</w:t>
      </w:r>
      <w:r>
        <w:rPr>
          <w:rFonts w:hint="eastAsia"/>
          <w:sz w:val="30"/>
          <w:szCs w:val="30"/>
        </w:rPr>
        <w:t>3</w:t>
      </w:r>
      <w:r>
        <w:rPr>
          <w:rFonts w:hint="eastAsia"/>
          <w:sz w:val="30"/>
          <w:szCs w:val="30"/>
        </w:rPr>
        <w:t>份企业对账函虽系原件，但书证中的手写体部分未确证书写人的身份，对账函的内容也不能证明应收账款的主体发生了变更或者变更原因为何。优能火公司的举证思路为，通过优能火公司银行账户明细的变化情况及海格公司对外所开增值税专用发票，用以证明</w:t>
      </w:r>
      <w:r>
        <w:rPr>
          <w:rFonts w:hint="eastAsia"/>
          <w:sz w:val="30"/>
          <w:szCs w:val="30"/>
        </w:rPr>
        <w:t>2014</w:t>
      </w:r>
      <w:r>
        <w:rPr>
          <w:rFonts w:hint="eastAsia"/>
          <w:sz w:val="30"/>
          <w:szCs w:val="30"/>
        </w:rPr>
        <w:t>年</w:t>
      </w:r>
      <w:r>
        <w:rPr>
          <w:rFonts w:hint="eastAsia"/>
          <w:sz w:val="30"/>
          <w:szCs w:val="30"/>
        </w:rPr>
        <w:t>4</w:t>
      </w:r>
      <w:r>
        <w:rPr>
          <w:rFonts w:hint="eastAsia"/>
          <w:sz w:val="30"/>
          <w:szCs w:val="30"/>
        </w:rPr>
        <w:t>月以后优能火公司突然丧失重庆齿轮箱有限责任公司、潍柴动力股份有限公司重庆分公司、重庆重齿风力发电齿轮箱有限责任公司等重要客户系游江等所为。但是，指控游江等篡夺公司</w:t>
      </w:r>
      <w:r>
        <w:rPr>
          <w:rFonts w:hint="eastAsia"/>
          <w:sz w:val="30"/>
          <w:szCs w:val="30"/>
        </w:rPr>
        <w:t>机会需要达到较高的证明要求，优能火公司的证明及分析具有浓厚的推测成分，有欠严谨。海格公司成立后，当然可以与优能火公司产生正常竞争，所谓重要交易客户并不专属于优能火公司。简言之，优能火公司目前的证明只能令法庭认为游江具有某种嫌疑，利用其作为公司控制人的便利，故意使优能火流失重要客户，但仅仅止于嫌疑，并不能达到高度确信的程度，故而优能火公司关于游江篡夺公司商业机会的一般性指称，未达到证明标准，一审法院不予采纳。本案唯独关于并账协议，尽管双方仍存争议，因有公证书及电话录音可以补强证明，本庭与（</w:t>
      </w:r>
      <w:r>
        <w:rPr>
          <w:rFonts w:hint="eastAsia"/>
          <w:sz w:val="30"/>
          <w:szCs w:val="30"/>
        </w:rPr>
        <w:t>2015</w:t>
      </w:r>
      <w:r>
        <w:rPr>
          <w:rFonts w:hint="eastAsia"/>
          <w:sz w:val="30"/>
          <w:szCs w:val="30"/>
        </w:rPr>
        <w:t>）沙法民初字</w:t>
      </w:r>
      <w:r>
        <w:rPr>
          <w:rFonts w:hint="eastAsia"/>
          <w:sz w:val="30"/>
          <w:szCs w:val="30"/>
        </w:rPr>
        <w:t>第</w:t>
      </w:r>
      <w:r>
        <w:rPr>
          <w:rFonts w:hint="eastAsia"/>
          <w:sz w:val="30"/>
          <w:szCs w:val="30"/>
        </w:rPr>
        <w:t>07807</w:t>
      </w:r>
      <w:r>
        <w:rPr>
          <w:rFonts w:hint="eastAsia"/>
          <w:sz w:val="30"/>
          <w:szCs w:val="30"/>
        </w:rPr>
        <w:t>号案件的判断一致，对并账协议的真实性予以确认，并且确信该协议系游江控制优能火公司期间所为。协议以不恰当手段促使重庆隆鑫机车有限公司将本属优能火公司的应收账款</w:t>
      </w:r>
      <w:r>
        <w:rPr>
          <w:rFonts w:hint="eastAsia"/>
          <w:sz w:val="30"/>
          <w:szCs w:val="30"/>
        </w:rPr>
        <w:t>153047.74</w:t>
      </w:r>
      <w:r>
        <w:rPr>
          <w:rFonts w:hint="eastAsia"/>
          <w:sz w:val="30"/>
          <w:szCs w:val="30"/>
        </w:rPr>
        <w:t>元支付给海格公司，损害了优能火公司利益，该损失应由游江予以赔偿。综止，依照《中华人民共和国公司法》第二十一条、第一百四十七条、第一百四十八条第一款第（五）项、第二款，《最高人民法院关于适用〈中华人民共和国民事诉讼法〉的解释》第九十一条的规定，判决如下：一、游江于判决发生法律效力后立即向优能火公司赔偿经济损失</w:t>
      </w:r>
      <w:r>
        <w:rPr>
          <w:rFonts w:hint="eastAsia"/>
          <w:sz w:val="30"/>
          <w:szCs w:val="30"/>
        </w:rPr>
        <w:t>153047.74</w:t>
      </w:r>
      <w:r>
        <w:rPr>
          <w:rFonts w:hint="eastAsia"/>
          <w:sz w:val="30"/>
          <w:szCs w:val="30"/>
        </w:rPr>
        <w:t>元；二、驳回优能火公司的其他诉讼请求。</w:t>
      </w:r>
    </w:p>
    <w:p w:rsidR="00000000" w:rsidRDefault="00A20BA2">
      <w:pPr>
        <w:spacing w:line="500" w:lineRule="atLeast"/>
        <w:ind w:firstLine="600"/>
        <w:divId w:val="1402168377"/>
        <w:rPr>
          <w:rFonts w:hint="eastAsia"/>
          <w:sz w:val="30"/>
          <w:szCs w:val="30"/>
        </w:rPr>
      </w:pPr>
      <w:r>
        <w:rPr>
          <w:rFonts w:hint="eastAsia"/>
          <w:sz w:val="30"/>
          <w:szCs w:val="30"/>
        </w:rPr>
        <w:t>本院二审期间，游江举示</w:t>
      </w:r>
      <w:r>
        <w:rPr>
          <w:rFonts w:hint="eastAsia"/>
          <w:sz w:val="30"/>
          <w:szCs w:val="30"/>
        </w:rPr>
        <w:t>2015</w:t>
      </w:r>
      <w:r>
        <w:rPr>
          <w:rFonts w:hint="eastAsia"/>
          <w:sz w:val="30"/>
          <w:szCs w:val="30"/>
        </w:rPr>
        <w:t>沙法民初字</w:t>
      </w:r>
      <w:r>
        <w:rPr>
          <w:rFonts w:hint="eastAsia"/>
          <w:sz w:val="30"/>
          <w:szCs w:val="30"/>
        </w:rPr>
        <w:t>07807</w:t>
      </w:r>
      <w:r>
        <w:rPr>
          <w:rFonts w:hint="eastAsia"/>
          <w:sz w:val="30"/>
          <w:szCs w:val="30"/>
        </w:rPr>
        <w:t>号案件的庭审笔录，拟证明优能火公司没有向重庆隆鑫机车有限公司提供过货物，重庆隆鑫机车有限公司也不存在向优能火公司支付货款和保证金的义务，因此，优能火公司无权享有一审判决金额的权利及金额所含指的权利。优能火公司对真实性无异议，但通过优能火公司与隆鑫机车有限公司、游江签订的对账函，以及电话录音，公证书等予以证明，认定游江向优能火公司承担赔偿经济损失</w:t>
      </w:r>
      <w:r>
        <w:rPr>
          <w:rFonts w:hint="eastAsia"/>
          <w:sz w:val="30"/>
          <w:szCs w:val="30"/>
        </w:rPr>
        <w:t>153047.74</w:t>
      </w:r>
      <w:r>
        <w:rPr>
          <w:rFonts w:hint="eastAsia"/>
          <w:sz w:val="30"/>
          <w:szCs w:val="30"/>
        </w:rPr>
        <w:t>元是正确的，不能达到证明目的。</w:t>
      </w:r>
    </w:p>
    <w:p w:rsidR="00000000" w:rsidRDefault="00A20BA2">
      <w:pPr>
        <w:spacing w:line="500" w:lineRule="atLeast"/>
        <w:ind w:firstLine="600"/>
        <w:divId w:val="115758278"/>
        <w:rPr>
          <w:rFonts w:hint="eastAsia"/>
          <w:sz w:val="30"/>
          <w:szCs w:val="30"/>
        </w:rPr>
      </w:pPr>
      <w:r>
        <w:rPr>
          <w:rFonts w:hint="eastAsia"/>
          <w:sz w:val="30"/>
          <w:szCs w:val="30"/>
        </w:rPr>
        <w:t>本院认为，</w:t>
      </w:r>
      <w:r>
        <w:rPr>
          <w:rFonts w:hint="eastAsia"/>
          <w:sz w:val="30"/>
          <w:szCs w:val="30"/>
        </w:rPr>
        <w:t>2015</w:t>
      </w:r>
      <w:r>
        <w:rPr>
          <w:rFonts w:hint="eastAsia"/>
          <w:sz w:val="30"/>
          <w:szCs w:val="30"/>
        </w:rPr>
        <w:t>沙法民初</w:t>
      </w:r>
      <w:r>
        <w:rPr>
          <w:rFonts w:hint="eastAsia"/>
          <w:sz w:val="30"/>
          <w:szCs w:val="30"/>
        </w:rPr>
        <w:t>字</w:t>
      </w:r>
      <w:r>
        <w:rPr>
          <w:rFonts w:hint="eastAsia"/>
          <w:sz w:val="30"/>
          <w:szCs w:val="30"/>
        </w:rPr>
        <w:t>07807</w:t>
      </w:r>
      <w:r>
        <w:rPr>
          <w:rFonts w:hint="eastAsia"/>
          <w:sz w:val="30"/>
          <w:szCs w:val="30"/>
        </w:rPr>
        <w:t>号案件的庭审笔录系重庆隆鑫机车有限公司单方陈述，并非经确认的客观事实，不能到达证明目的，结合该证据未在法律规定期限内举示，故本院不予采纳其作为二审中的新证据。</w:t>
      </w:r>
    </w:p>
    <w:p w:rsidR="00000000" w:rsidRDefault="00A20BA2">
      <w:pPr>
        <w:spacing w:line="500" w:lineRule="atLeast"/>
        <w:ind w:firstLine="600"/>
        <w:divId w:val="1149979982"/>
        <w:rPr>
          <w:rFonts w:hint="eastAsia"/>
          <w:sz w:val="30"/>
          <w:szCs w:val="30"/>
        </w:rPr>
      </w:pPr>
      <w:r>
        <w:rPr>
          <w:rFonts w:hint="eastAsia"/>
          <w:sz w:val="30"/>
          <w:szCs w:val="30"/>
        </w:rPr>
        <w:t>本院二审查明事实与一审法院查明事实一致。</w:t>
      </w:r>
    </w:p>
    <w:p w:rsidR="00000000" w:rsidRDefault="00A20BA2">
      <w:pPr>
        <w:spacing w:line="500" w:lineRule="atLeast"/>
        <w:ind w:firstLine="600"/>
        <w:divId w:val="1339968144"/>
        <w:rPr>
          <w:rFonts w:hint="eastAsia"/>
          <w:sz w:val="30"/>
          <w:szCs w:val="30"/>
        </w:rPr>
      </w:pPr>
      <w:r>
        <w:rPr>
          <w:rFonts w:hint="eastAsia"/>
          <w:sz w:val="30"/>
          <w:szCs w:val="30"/>
        </w:rPr>
        <w:t>本院认为，二审争议焦点为：</w:t>
      </w:r>
      <w:r>
        <w:rPr>
          <w:rFonts w:hint="eastAsia"/>
          <w:sz w:val="30"/>
          <w:szCs w:val="30"/>
        </w:rPr>
        <w:t>1.</w:t>
      </w:r>
      <w:r>
        <w:rPr>
          <w:rFonts w:hint="eastAsia"/>
          <w:sz w:val="30"/>
          <w:szCs w:val="30"/>
        </w:rPr>
        <w:t>并账协议中的</w:t>
      </w:r>
      <w:r>
        <w:rPr>
          <w:rFonts w:hint="eastAsia"/>
          <w:sz w:val="30"/>
          <w:szCs w:val="30"/>
        </w:rPr>
        <w:t>153047.74</w:t>
      </w:r>
      <w:r>
        <w:rPr>
          <w:rFonts w:hint="eastAsia"/>
          <w:sz w:val="30"/>
          <w:szCs w:val="30"/>
        </w:rPr>
        <w:t>元是否应由游江向优能火公司赔偿；</w:t>
      </w:r>
      <w:r>
        <w:rPr>
          <w:rFonts w:hint="eastAsia"/>
          <w:sz w:val="30"/>
          <w:szCs w:val="30"/>
        </w:rPr>
        <w:t>2.</w:t>
      </w:r>
      <w:r>
        <w:rPr>
          <w:rFonts w:hint="eastAsia"/>
          <w:sz w:val="30"/>
          <w:szCs w:val="30"/>
        </w:rPr>
        <w:t>游江、张丽娟、董若舟、许天府、海格公司应否向优能火公司赔偿利润损失</w:t>
      </w:r>
      <w:r>
        <w:rPr>
          <w:rFonts w:hint="eastAsia"/>
          <w:sz w:val="30"/>
          <w:szCs w:val="30"/>
        </w:rPr>
        <w:t>160</w:t>
      </w:r>
      <w:r>
        <w:rPr>
          <w:rFonts w:hint="eastAsia"/>
          <w:sz w:val="30"/>
          <w:szCs w:val="30"/>
        </w:rPr>
        <w:t>万元。</w:t>
      </w:r>
    </w:p>
    <w:p w:rsidR="00000000" w:rsidRDefault="00A20BA2">
      <w:pPr>
        <w:spacing w:line="500" w:lineRule="atLeast"/>
        <w:ind w:firstLine="600"/>
        <w:divId w:val="467821122"/>
        <w:rPr>
          <w:rFonts w:hint="eastAsia"/>
          <w:sz w:val="30"/>
          <w:szCs w:val="30"/>
        </w:rPr>
      </w:pPr>
      <w:r>
        <w:rPr>
          <w:rFonts w:hint="eastAsia"/>
          <w:sz w:val="30"/>
          <w:szCs w:val="30"/>
        </w:rPr>
        <w:t>针对第一项争议焦点，根据本案在案证据，并账协议的签订时间为</w:t>
      </w:r>
      <w:r>
        <w:rPr>
          <w:rFonts w:hint="eastAsia"/>
          <w:sz w:val="30"/>
          <w:szCs w:val="30"/>
        </w:rPr>
        <w:t>2014</w:t>
      </w:r>
      <w:r>
        <w:rPr>
          <w:rFonts w:hint="eastAsia"/>
          <w:sz w:val="30"/>
          <w:szCs w:val="30"/>
        </w:rPr>
        <w:t>年，但不能确定具体日期。第一，如签订时间在</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2</w:t>
      </w:r>
      <w:r>
        <w:rPr>
          <w:rFonts w:hint="eastAsia"/>
          <w:sz w:val="30"/>
          <w:szCs w:val="30"/>
        </w:rPr>
        <w:t>日之前，处于游江承包经营优能火公司期间，该期间内游江有完全独立的人、财、物支配权，仅在未能完成责任目标时，按照承包经营协议约定承担现金补足差额或抵扣其股份的违约责任即可，故并账协议的签订系游江在承包权限范围内对优能火公司财产的支配行为，不能认定为股东损害公司利益。第二，如并账协议签订时间在</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2</w:t>
      </w:r>
      <w:r>
        <w:rPr>
          <w:rFonts w:hint="eastAsia"/>
          <w:sz w:val="30"/>
          <w:szCs w:val="30"/>
        </w:rPr>
        <w:t>日之后，游江承包经营期满，不再对优能火公司享有控制权，即使游江仍系高级管理人员，亦不当然享有印章的管理权，故并无证据证明并账协议中加盖的优能火公司印章系游江所为，要求游江对并账协议中的</w:t>
      </w:r>
      <w:r>
        <w:rPr>
          <w:rFonts w:hint="eastAsia"/>
          <w:sz w:val="30"/>
          <w:szCs w:val="30"/>
        </w:rPr>
        <w:t>153047.74</w:t>
      </w:r>
      <w:r>
        <w:rPr>
          <w:rFonts w:hint="eastAsia"/>
          <w:sz w:val="30"/>
          <w:szCs w:val="30"/>
        </w:rPr>
        <w:t>元</w:t>
      </w:r>
      <w:r>
        <w:rPr>
          <w:rFonts w:hint="eastAsia"/>
          <w:sz w:val="30"/>
          <w:szCs w:val="30"/>
        </w:rPr>
        <w:t>向优能火公司承担赔偿责任无事实依据。第三，优能火公司称，并账协议中的</w:t>
      </w:r>
      <w:r>
        <w:rPr>
          <w:rFonts w:hint="eastAsia"/>
          <w:sz w:val="30"/>
          <w:szCs w:val="30"/>
        </w:rPr>
        <w:t>153047.74</w:t>
      </w:r>
      <w:r>
        <w:rPr>
          <w:rFonts w:hint="eastAsia"/>
          <w:sz w:val="30"/>
          <w:szCs w:val="30"/>
        </w:rPr>
        <w:t>元不包含在其诉讼请求的利润损失</w:t>
      </w:r>
      <w:r>
        <w:rPr>
          <w:rFonts w:hint="eastAsia"/>
          <w:sz w:val="30"/>
          <w:szCs w:val="30"/>
        </w:rPr>
        <w:t>160</w:t>
      </w:r>
      <w:r>
        <w:rPr>
          <w:rFonts w:hint="eastAsia"/>
          <w:sz w:val="30"/>
          <w:szCs w:val="30"/>
        </w:rPr>
        <w:t>万元之中，故该金额独立于优能火公司诉请的部分。故，一审法院判决游江向优能火公司赔偿并账协议中的</w:t>
      </w:r>
      <w:r>
        <w:rPr>
          <w:rFonts w:hint="eastAsia"/>
          <w:sz w:val="30"/>
          <w:szCs w:val="30"/>
        </w:rPr>
        <w:t>153047.74</w:t>
      </w:r>
      <w:r>
        <w:rPr>
          <w:rFonts w:hint="eastAsia"/>
          <w:sz w:val="30"/>
          <w:szCs w:val="30"/>
        </w:rPr>
        <w:t>元无事实和法律依据。</w:t>
      </w:r>
    </w:p>
    <w:p w:rsidR="00000000" w:rsidRDefault="00A20BA2">
      <w:pPr>
        <w:spacing w:line="500" w:lineRule="atLeast"/>
        <w:ind w:firstLine="600"/>
        <w:divId w:val="392851432"/>
        <w:rPr>
          <w:rFonts w:hint="eastAsia"/>
          <w:sz w:val="30"/>
          <w:szCs w:val="30"/>
        </w:rPr>
      </w:pPr>
      <w:r>
        <w:rPr>
          <w:rFonts w:hint="eastAsia"/>
          <w:sz w:val="30"/>
          <w:szCs w:val="30"/>
        </w:rPr>
        <w:t>针对第二项争议焦点，优能火公司请求的利润损失</w:t>
      </w:r>
      <w:r>
        <w:rPr>
          <w:rFonts w:hint="eastAsia"/>
          <w:sz w:val="30"/>
          <w:szCs w:val="30"/>
        </w:rPr>
        <w:t>160</w:t>
      </w:r>
      <w:r>
        <w:rPr>
          <w:rFonts w:hint="eastAsia"/>
          <w:sz w:val="30"/>
          <w:szCs w:val="30"/>
        </w:rPr>
        <w:t>万元，系自行估算的预期可得利润损失，优能火公司既无充分证据证明损失的实际发生和具体金额，也无证据证据该损失与游江、张丽娟、董若舟、许天府具有因果关系。海格公司开具的增值税发票系公司正常经营活动，不能当然得出</w:t>
      </w:r>
      <w:r>
        <w:rPr>
          <w:rFonts w:hint="eastAsia"/>
          <w:sz w:val="30"/>
          <w:szCs w:val="30"/>
        </w:rPr>
        <w:t>系因篡夺优能火公司商业机会，使优能火公司丧失应有客户的结论，依照《中华人民共和国民事诉讼法》第六十四条规定，应当承担不利后果。一审法院对优能火公司该项诉讼请求未予支持并无不当。</w:t>
      </w:r>
    </w:p>
    <w:p w:rsidR="00000000" w:rsidRDefault="00A20BA2">
      <w:pPr>
        <w:spacing w:line="500" w:lineRule="atLeast"/>
        <w:ind w:firstLine="600"/>
        <w:divId w:val="1342127715"/>
        <w:rPr>
          <w:rFonts w:hint="eastAsia"/>
          <w:sz w:val="30"/>
          <w:szCs w:val="30"/>
        </w:rPr>
      </w:pPr>
      <w:r>
        <w:rPr>
          <w:rFonts w:hint="eastAsia"/>
          <w:sz w:val="30"/>
          <w:szCs w:val="30"/>
        </w:rPr>
        <w:t>综上所述，游江的上诉请求成立，予以支持。依据《中华人民共和国民事诉讼法》第六十四条、第一百六十八条、第一百七十条第一款第二项规定，判决如下：</w:t>
      </w:r>
    </w:p>
    <w:p w:rsidR="00000000" w:rsidRDefault="00A20BA2">
      <w:pPr>
        <w:spacing w:line="500" w:lineRule="atLeast"/>
        <w:ind w:firstLine="600"/>
        <w:divId w:val="1954315358"/>
        <w:rPr>
          <w:rFonts w:hint="eastAsia"/>
          <w:sz w:val="30"/>
          <w:szCs w:val="30"/>
        </w:rPr>
      </w:pPr>
      <w:r>
        <w:rPr>
          <w:rFonts w:hint="eastAsia"/>
          <w:sz w:val="30"/>
          <w:szCs w:val="30"/>
        </w:rPr>
        <w:t>一、撤销重庆市沙坪坝区人民法院</w:t>
      </w:r>
      <w:r>
        <w:rPr>
          <w:rFonts w:hint="eastAsia"/>
          <w:sz w:val="30"/>
          <w:szCs w:val="30"/>
        </w:rPr>
        <w:t>(2015)</w:t>
      </w:r>
      <w:r>
        <w:rPr>
          <w:rFonts w:hint="eastAsia"/>
          <w:sz w:val="30"/>
          <w:szCs w:val="30"/>
        </w:rPr>
        <w:t>沙法民初字第</w:t>
      </w:r>
      <w:r>
        <w:rPr>
          <w:rFonts w:hint="eastAsia"/>
          <w:sz w:val="30"/>
          <w:szCs w:val="30"/>
        </w:rPr>
        <w:t>14026</w:t>
      </w:r>
      <w:r>
        <w:rPr>
          <w:rFonts w:hint="eastAsia"/>
          <w:sz w:val="30"/>
          <w:szCs w:val="30"/>
        </w:rPr>
        <w:t>号民事判决；</w:t>
      </w:r>
    </w:p>
    <w:p w:rsidR="00000000" w:rsidRDefault="00A20BA2">
      <w:pPr>
        <w:spacing w:line="500" w:lineRule="atLeast"/>
        <w:ind w:firstLine="600"/>
        <w:divId w:val="1587230656"/>
        <w:rPr>
          <w:rFonts w:hint="eastAsia"/>
          <w:sz w:val="30"/>
          <w:szCs w:val="30"/>
        </w:rPr>
      </w:pPr>
      <w:r>
        <w:rPr>
          <w:rFonts w:hint="eastAsia"/>
          <w:sz w:val="30"/>
          <w:szCs w:val="30"/>
        </w:rPr>
        <w:t>二、驳回重庆优能火工业气体有限公司的诉讼请求。</w:t>
      </w:r>
    </w:p>
    <w:p w:rsidR="00000000" w:rsidRDefault="00A20BA2">
      <w:pPr>
        <w:spacing w:line="500" w:lineRule="atLeast"/>
        <w:ind w:firstLine="600"/>
        <w:divId w:val="1819497739"/>
        <w:rPr>
          <w:rFonts w:hint="eastAsia"/>
          <w:sz w:val="30"/>
          <w:szCs w:val="30"/>
        </w:rPr>
      </w:pPr>
      <w:r>
        <w:rPr>
          <w:rFonts w:hint="eastAsia"/>
          <w:sz w:val="30"/>
          <w:szCs w:val="30"/>
        </w:rPr>
        <w:t>一审案件受理费</w:t>
      </w:r>
      <w:r>
        <w:rPr>
          <w:rFonts w:hint="eastAsia"/>
          <w:sz w:val="30"/>
          <w:szCs w:val="30"/>
        </w:rPr>
        <w:t>19200</w:t>
      </w:r>
      <w:r>
        <w:rPr>
          <w:rFonts w:hint="eastAsia"/>
          <w:sz w:val="30"/>
          <w:szCs w:val="30"/>
        </w:rPr>
        <w:t>元，由重庆优能火工业气体有限公司负担；二审</w:t>
      </w:r>
      <w:r>
        <w:rPr>
          <w:rFonts w:hint="eastAsia"/>
          <w:sz w:val="30"/>
          <w:szCs w:val="30"/>
        </w:rPr>
        <w:t>案件受理费</w:t>
      </w:r>
      <w:r>
        <w:rPr>
          <w:rFonts w:hint="eastAsia"/>
          <w:sz w:val="30"/>
          <w:szCs w:val="30"/>
        </w:rPr>
        <w:t>22561</w:t>
      </w:r>
      <w:r>
        <w:rPr>
          <w:rFonts w:hint="eastAsia"/>
          <w:sz w:val="30"/>
          <w:szCs w:val="30"/>
        </w:rPr>
        <w:t>元，由重庆优能火工业气体有限公司负担。</w:t>
      </w:r>
    </w:p>
    <w:p w:rsidR="00000000" w:rsidRDefault="00A20BA2">
      <w:pPr>
        <w:spacing w:line="500" w:lineRule="atLeast"/>
        <w:ind w:firstLine="600"/>
        <w:divId w:val="453258507"/>
        <w:rPr>
          <w:rFonts w:hint="eastAsia"/>
          <w:sz w:val="30"/>
          <w:szCs w:val="30"/>
        </w:rPr>
      </w:pPr>
      <w:r>
        <w:rPr>
          <w:rFonts w:hint="eastAsia"/>
          <w:sz w:val="30"/>
          <w:szCs w:val="30"/>
        </w:rPr>
        <w:t>本判决为终审判决。</w:t>
      </w:r>
    </w:p>
    <w:p w:rsidR="00000000" w:rsidRDefault="00A20BA2">
      <w:pPr>
        <w:spacing w:line="500" w:lineRule="atLeast"/>
        <w:jc w:val="right"/>
        <w:divId w:val="138115423"/>
        <w:rPr>
          <w:rFonts w:hint="eastAsia"/>
          <w:sz w:val="30"/>
          <w:szCs w:val="30"/>
        </w:rPr>
      </w:pPr>
      <w:r>
        <w:rPr>
          <w:rFonts w:hint="eastAsia"/>
          <w:sz w:val="30"/>
          <w:szCs w:val="30"/>
        </w:rPr>
        <w:t>审　判　长　　张　毅</w:t>
      </w:r>
    </w:p>
    <w:p w:rsidR="00000000" w:rsidRDefault="00A20BA2">
      <w:pPr>
        <w:spacing w:line="500" w:lineRule="atLeast"/>
        <w:jc w:val="right"/>
        <w:divId w:val="1437557009"/>
        <w:rPr>
          <w:rFonts w:hint="eastAsia"/>
          <w:sz w:val="30"/>
          <w:szCs w:val="30"/>
        </w:rPr>
      </w:pPr>
      <w:r>
        <w:rPr>
          <w:rFonts w:hint="eastAsia"/>
          <w:sz w:val="30"/>
          <w:szCs w:val="30"/>
        </w:rPr>
        <w:t>审　判　员　　颜　菲</w:t>
      </w:r>
    </w:p>
    <w:p w:rsidR="00000000" w:rsidRDefault="00A20BA2">
      <w:pPr>
        <w:spacing w:line="500" w:lineRule="atLeast"/>
        <w:jc w:val="right"/>
        <w:divId w:val="1655522301"/>
        <w:rPr>
          <w:rFonts w:hint="eastAsia"/>
          <w:sz w:val="30"/>
          <w:szCs w:val="30"/>
        </w:rPr>
      </w:pPr>
      <w:r>
        <w:rPr>
          <w:rFonts w:hint="eastAsia"/>
          <w:sz w:val="30"/>
          <w:szCs w:val="30"/>
        </w:rPr>
        <w:t>代理审判员　　黄春燕</w:t>
      </w:r>
    </w:p>
    <w:p w:rsidR="00000000" w:rsidRDefault="00A20BA2">
      <w:pPr>
        <w:spacing w:line="500" w:lineRule="atLeast"/>
        <w:jc w:val="right"/>
        <w:divId w:val="1494099260"/>
        <w:rPr>
          <w:rFonts w:hint="eastAsia"/>
          <w:sz w:val="30"/>
          <w:szCs w:val="30"/>
        </w:rPr>
      </w:pPr>
      <w:r>
        <w:rPr>
          <w:rFonts w:hint="eastAsia"/>
          <w:sz w:val="30"/>
          <w:szCs w:val="30"/>
        </w:rPr>
        <w:t>二〇一六年十一月三十日</w:t>
      </w:r>
    </w:p>
    <w:p w:rsidR="00000000" w:rsidRDefault="00A20BA2">
      <w:pPr>
        <w:spacing w:line="500" w:lineRule="atLeast"/>
        <w:jc w:val="right"/>
        <w:divId w:val="77868214"/>
        <w:rPr>
          <w:rFonts w:hint="eastAsia"/>
          <w:sz w:val="30"/>
          <w:szCs w:val="30"/>
        </w:rPr>
      </w:pPr>
      <w:r>
        <w:rPr>
          <w:rFonts w:hint="eastAsia"/>
          <w:sz w:val="30"/>
          <w:szCs w:val="30"/>
        </w:rPr>
        <w:t>书　记　员　　刘德亮</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0BA2" w:rsidRDefault="00A20BA2" w:rsidP="00A20BA2">
      <w:r>
        <w:separator/>
      </w:r>
    </w:p>
  </w:endnote>
  <w:endnote w:type="continuationSeparator" w:id="0">
    <w:p w:rsidR="00A20BA2" w:rsidRDefault="00A20BA2" w:rsidP="00A20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0BA2" w:rsidRDefault="00A20BA2" w:rsidP="00A20BA2">
      <w:r>
        <w:separator/>
      </w:r>
    </w:p>
  </w:footnote>
  <w:footnote w:type="continuationSeparator" w:id="0">
    <w:p w:rsidR="00A20BA2" w:rsidRDefault="00A20BA2" w:rsidP="00A20B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20BA2"/>
    <w:rsid w:val="00A20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A20BA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20BA2"/>
    <w:rPr>
      <w:rFonts w:ascii="宋体" w:eastAsia="宋体" w:hAnsi="宋体" w:cs="宋体"/>
      <w:sz w:val="18"/>
      <w:szCs w:val="18"/>
    </w:rPr>
  </w:style>
  <w:style w:type="paragraph" w:styleId="a5">
    <w:name w:val="footer"/>
    <w:basedOn w:val="a"/>
    <w:link w:val="a6"/>
    <w:uiPriority w:val="99"/>
    <w:unhideWhenUsed/>
    <w:rsid w:val="00A20BA2"/>
    <w:pPr>
      <w:tabs>
        <w:tab w:val="center" w:pos="4153"/>
        <w:tab w:val="right" w:pos="8306"/>
      </w:tabs>
      <w:snapToGrid w:val="0"/>
    </w:pPr>
    <w:rPr>
      <w:sz w:val="18"/>
      <w:szCs w:val="18"/>
    </w:rPr>
  </w:style>
  <w:style w:type="character" w:customStyle="1" w:styleId="a6">
    <w:name w:val="页脚 字符"/>
    <w:basedOn w:val="a0"/>
    <w:link w:val="a5"/>
    <w:uiPriority w:val="99"/>
    <w:rsid w:val="00A20BA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68214">
      <w:marLeft w:val="0"/>
      <w:marRight w:val="720"/>
      <w:marTop w:val="10"/>
      <w:marBottom w:val="10"/>
      <w:divBdr>
        <w:top w:val="none" w:sz="0" w:space="0" w:color="auto"/>
        <w:left w:val="none" w:sz="0" w:space="0" w:color="auto"/>
        <w:bottom w:val="none" w:sz="0" w:space="0" w:color="auto"/>
        <w:right w:val="none" w:sz="0" w:space="0" w:color="auto"/>
      </w:divBdr>
    </w:div>
    <w:div w:id="99227782">
      <w:marLeft w:val="0"/>
      <w:marRight w:val="0"/>
      <w:marTop w:val="10"/>
      <w:marBottom w:val="10"/>
      <w:divBdr>
        <w:top w:val="none" w:sz="0" w:space="0" w:color="auto"/>
        <w:left w:val="none" w:sz="0" w:space="0" w:color="auto"/>
        <w:bottom w:val="none" w:sz="0" w:space="0" w:color="auto"/>
        <w:right w:val="none" w:sz="0" w:space="0" w:color="auto"/>
      </w:divBdr>
    </w:div>
    <w:div w:id="115758278">
      <w:marLeft w:val="0"/>
      <w:marRight w:val="0"/>
      <w:marTop w:val="10"/>
      <w:marBottom w:val="10"/>
      <w:divBdr>
        <w:top w:val="none" w:sz="0" w:space="0" w:color="auto"/>
        <w:left w:val="none" w:sz="0" w:space="0" w:color="auto"/>
        <w:bottom w:val="none" w:sz="0" w:space="0" w:color="auto"/>
        <w:right w:val="none" w:sz="0" w:space="0" w:color="auto"/>
      </w:divBdr>
    </w:div>
    <w:div w:id="116489246">
      <w:marLeft w:val="0"/>
      <w:marRight w:val="0"/>
      <w:marTop w:val="10"/>
      <w:marBottom w:val="10"/>
      <w:divBdr>
        <w:top w:val="none" w:sz="0" w:space="0" w:color="auto"/>
        <w:left w:val="none" w:sz="0" w:space="0" w:color="auto"/>
        <w:bottom w:val="none" w:sz="0" w:space="0" w:color="auto"/>
        <w:right w:val="none" w:sz="0" w:space="0" w:color="auto"/>
      </w:divBdr>
    </w:div>
    <w:div w:id="138115423">
      <w:marLeft w:val="0"/>
      <w:marRight w:val="720"/>
      <w:marTop w:val="10"/>
      <w:marBottom w:val="10"/>
      <w:divBdr>
        <w:top w:val="none" w:sz="0" w:space="0" w:color="auto"/>
        <w:left w:val="none" w:sz="0" w:space="0" w:color="auto"/>
        <w:bottom w:val="none" w:sz="0" w:space="0" w:color="auto"/>
        <w:right w:val="none" w:sz="0" w:space="0" w:color="auto"/>
      </w:divBdr>
    </w:div>
    <w:div w:id="170146485">
      <w:marLeft w:val="0"/>
      <w:marRight w:val="0"/>
      <w:marTop w:val="10"/>
      <w:marBottom w:val="10"/>
      <w:divBdr>
        <w:top w:val="none" w:sz="0" w:space="0" w:color="auto"/>
        <w:left w:val="none" w:sz="0" w:space="0" w:color="auto"/>
        <w:bottom w:val="none" w:sz="0" w:space="0" w:color="auto"/>
        <w:right w:val="none" w:sz="0" w:space="0" w:color="auto"/>
      </w:divBdr>
    </w:div>
    <w:div w:id="182063460">
      <w:marLeft w:val="0"/>
      <w:marRight w:val="0"/>
      <w:marTop w:val="10"/>
      <w:marBottom w:val="10"/>
      <w:divBdr>
        <w:top w:val="none" w:sz="0" w:space="0" w:color="auto"/>
        <w:left w:val="none" w:sz="0" w:space="0" w:color="auto"/>
        <w:bottom w:val="none" w:sz="0" w:space="0" w:color="auto"/>
        <w:right w:val="none" w:sz="0" w:space="0" w:color="auto"/>
      </w:divBdr>
    </w:div>
    <w:div w:id="268048628">
      <w:marLeft w:val="0"/>
      <w:marRight w:val="0"/>
      <w:marTop w:val="10"/>
      <w:marBottom w:val="10"/>
      <w:divBdr>
        <w:top w:val="none" w:sz="0" w:space="0" w:color="auto"/>
        <w:left w:val="none" w:sz="0" w:space="0" w:color="auto"/>
        <w:bottom w:val="none" w:sz="0" w:space="0" w:color="auto"/>
        <w:right w:val="none" w:sz="0" w:space="0" w:color="auto"/>
      </w:divBdr>
    </w:div>
    <w:div w:id="295140132">
      <w:marLeft w:val="0"/>
      <w:marRight w:val="0"/>
      <w:marTop w:val="10"/>
      <w:marBottom w:val="10"/>
      <w:divBdr>
        <w:top w:val="none" w:sz="0" w:space="0" w:color="auto"/>
        <w:left w:val="none" w:sz="0" w:space="0" w:color="auto"/>
        <w:bottom w:val="none" w:sz="0" w:space="0" w:color="auto"/>
        <w:right w:val="none" w:sz="0" w:space="0" w:color="auto"/>
      </w:divBdr>
    </w:div>
    <w:div w:id="330837983">
      <w:marLeft w:val="0"/>
      <w:marRight w:val="0"/>
      <w:marTop w:val="10"/>
      <w:marBottom w:val="10"/>
      <w:divBdr>
        <w:top w:val="none" w:sz="0" w:space="0" w:color="auto"/>
        <w:left w:val="none" w:sz="0" w:space="0" w:color="auto"/>
        <w:bottom w:val="none" w:sz="0" w:space="0" w:color="auto"/>
        <w:right w:val="none" w:sz="0" w:space="0" w:color="auto"/>
      </w:divBdr>
    </w:div>
    <w:div w:id="373626548">
      <w:marLeft w:val="0"/>
      <w:marRight w:val="0"/>
      <w:marTop w:val="10"/>
      <w:marBottom w:val="10"/>
      <w:divBdr>
        <w:top w:val="none" w:sz="0" w:space="0" w:color="auto"/>
        <w:left w:val="none" w:sz="0" w:space="0" w:color="auto"/>
        <w:bottom w:val="none" w:sz="0" w:space="0" w:color="auto"/>
        <w:right w:val="none" w:sz="0" w:space="0" w:color="auto"/>
      </w:divBdr>
    </w:div>
    <w:div w:id="392851432">
      <w:marLeft w:val="0"/>
      <w:marRight w:val="0"/>
      <w:marTop w:val="10"/>
      <w:marBottom w:val="10"/>
      <w:divBdr>
        <w:top w:val="none" w:sz="0" w:space="0" w:color="auto"/>
        <w:left w:val="none" w:sz="0" w:space="0" w:color="auto"/>
        <w:bottom w:val="none" w:sz="0" w:space="0" w:color="auto"/>
        <w:right w:val="none" w:sz="0" w:space="0" w:color="auto"/>
      </w:divBdr>
    </w:div>
    <w:div w:id="453258507">
      <w:marLeft w:val="0"/>
      <w:marRight w:val="0"/>
      <w:marTop w:val="10"/>
      <w:marBottom w:val="10"/>
      <w:divBdr>
        <w:top w:val="none" w:sz="0" w:space="0" w:color="auto"/>
        <w:left w:val="none" w:sz="0" w:space="0" w:color="auto"/>
        <w:bottom w:val="none" w:sz="0" w:space="0" w:color="auto"/>
        <w:right w:val="none" w:sz="0" w:space="0" w:color="auto"/>
      </w:divBdr>
    </w:div>
    <w:div w:id="467821122">
      <w:marLeft w:val="0"/>
      <w:marRight w:val="0"/>
      <w:marTop w:val="10"/>
      <w:marBottom w:val="10"/>
      <w:divBdr>
        <w:top w:val="none" w:sz="0" w:space="0" w:color="auto"/>
        <w:left w:val="none" w:sz="0" w:space="0" w:color="auto"/>
        <w:bottom w:val="none" w:sz="0" w:space="0" w:color="auto"/>
        <w:right w:val="none" w:sz="0" w:space="0" w:color="auto"/>
      </w:divBdr>
    </w:div>
    <w:div w:id="478379232">
      <w:marLeft w:val="0"/>
      <w:marRight w:val="0"/>
      <w:marTop w:val="10"/>
      <w:marBottom w:val="10"/>
      <w:divBdr>
        <w:top w:val="none" w:sz="0" w:space="0" w:color="auto"/>
        <w:left w:val="none" w:sz="0" w:space="0" w:color="auto"/>
        <w:bottom w:val="none" w:sz="0" w:space="0" w:color="auto"/>
        <w:right w:val="none" w:sz="0" w:space="0" w:color="auto"/>
      </w:divBdr>
    </w:div>
    <w:div w:id="581991761">
      <w:marLeft w:val="0"/>
      <w:marRight w:val="0"/>
      <w:marTop w:val="10"/>
      <w:marBottom w:val="10"/>
      <w:divBdr>
        <w:top w:val="none" w:sz="0" w:space="0" w:color="auto"/>
        <w:left w:val="none" w:sz="0" w:space="0" w:color="auto"/>
        <w:bottom w:val="none" w:sz="0" w:space="0" w:color="auto"/>
        <w:right w:val="none" w:sz="0" w:space="0" w:color="auto"/>
      </w:divBdr>
    </w:div>
    <w:div w:id="775902991">
      <w:marLeft w:val="0"/>
      <w:marRight w:val="0"/>
      <w:marTop w:val="10"/>
      <w:marBottom w:val="10"/>
      <w:divBdr>
        <w:top w:val="none" w:sz="0" w:space="0" w:color="auto"/>
        <w:left w:val="none" w:sz="0" w:space="0" w:color="auto"/>
        <w:bottom w:val="none" w:sz="0" w:space="0" w:color="auto"/>
        <w:right w:val="none" w:sz="0" w:space="0" w:color="auto"/>
      </w:divBdr>
    </w:div>
    <w:div w:id="795371324">
      <w:marLeft w:val="0"/>
      <w:marRight w:val="0"/>
      <w:marTop w:val="10"/>
      <w:marBottom w:val="10"/>
      <w:divBdr>
        <w:top w:val="none" w:sz="0" w:space="0" w:color="auto"/>
        <w:left w:val="none" w:sz="0" w:space="0" w:color="auto"/>
        <w:bottom w:val="none" w:sz="0" w:space="0" w:color="auto"/>
        <w:right w:val="none" w:sz="0" w:space="0" w:color="auto"/>
      </w:divBdr>
    </w:div>
    <w:div w:id="798378943">
      <w:marLeft w:val="0"/>
      <w:marRight w:val="0"/>
      <w:marTop w:val="10"/>
      <w:marBottom w:val="10"/>
      <w:divBdr>
        <w:top w:val="none" w:sz="0" w:space="0" w:color="auto"/>
        <w:left w:val="none" w:sz="0" w:space="0" w:color="auto"/>
        <w:bottom w:val="none" w:sz="0" w:space="0" w:color="auto"/>
        <w:right w:val="none" w:sz="0" w:space="0" w:color="auto"/>
      </w:divBdr>
    </w:div>
    <w:div w:id="822622871">
      <w:marLeft w:val="0"/>
      <w:marRight w:val="0"/>
      <w:marTop w:val="10"/>
      <w:marBottom w:val="10"/>
      <w:divBdr>
        <w:top w:val="none" w:sz="0" w:space="0" w:color="auto"/>
        <w:left w:val="none" w:sz="0" w:space="0" w:color="auto"/>
        <w:bottom w:val="none" w:sz="0" w:space="0" w:color="auto"/>
        <w:right w:val="none" w:sz="0" w:space="0" w:color="auto"/>
      </w:divBdr>
    </w:div>
    <w:div w:id="861630234">
      <w:marLeft w:val="0"/>
      <w:marRight w:val="0"/>
      <w:marTop w:val="10"/>
      <w:marBottom w:val="10"/>
      <w:divBdr>
        <w:top w:val="none" w:sz="0" w:space="0" w:color="auto"/>
        <w:left w:val="none" w:sz="0" w:space="0" w:color="auto"/>
        <w:bottom w:val="none" w:sz="0" w:space="0" w:color="auto"/>
        <w:right w:val="none" w:sz="0" w:space="0" w:color="auto"/>
      </w:divBdr>
    </w:div>
    <w:div w:id="872888867">
      <w:marLeft w:val="0"/>
      <w:marRight w:val="0"/>
      <w:marTop w:val="10"/>
      <w:marBottom w:val="10"/>
      <w:divBdr>
        <w:top w:val="none" w:sz="0" w:space="0" w:color="auto"/>
        <w:left w:val="none" w:sz="0" w:space="0" w:color="auto"/>
        <w:bottom w:val="none" w:sz="0" w:space="0" w:color="auto"/>
        <w:right w:val="none" w:sz="0" w:space="0" w:color="auto"/>
      </w:divBdr>
    </w:div>
    <w:div w:id="888802291">
      <w:marLeft w:val="0"/>
      <w:marRight w:val="0"/>
      <w:marTop w:val="10"/>
      <w:marBottom w:val="10"/>
      <w:divBdr>
        <w:top w:val="none" w:sz="0" w:space="0" w:color="auto"/>
        <w:left w:val="none" w:sz="0" w:space="0" w:color="auto"/>
        <w:bottom w:val="none" w:sz="0" w:space="0" w:color="auto"/>
        <w:right w:val="none" w:sz="0" w:space="0" w:color="auto"/>
      </w:divBdr>
    </w:div>
    <w:div w:id="968320861">
      <w:marLeft w:val="0"/>
      <w:marRight w:val="0"/>
      <w:marTop w:val="10"/>
      <w:marBottom w:val="10"/>
      <w:divBdr>
        <w:top w:val="none" w:sz="0" w:space="0" w:color="auto"/>
        <w:left w:val="none" w:sz="0" w:space="0" w:color="auto"/>
        <w:bottom w:val="none" w:sz="0" w:space="0" w:color="auto"/>
        <w:right w:val="none" w:sz="0" w:space="0" w:color="auto"/>
      </w:divBdr>
    </w:div>
    <w:div w:id="974412245">
      <w:marLeft w:val="0"/>
      <w:marRight w:val="0"/>
      <w:marTop w:val="10"/>
      <w:marBottom w:val="10"/>
      <w:divBdr>
        <w:top w:val="none" w:sz="0" w:space="0" w:color="auto"/>
        <w:left w:val="none" w:sz="0" w:space="0" w:color="auto"/>
        <w:bottom w:val="none" w:sz="0" w:space="0" w:color="auto"/>
        <w:right w:val="none" w:sz="0" w:space="0" w:color="auto"/>
      </w:divBdr>
    </w:div>
    <w:div w:id="1100956631">
      <w:marLeft w:val="0"/>
      <w:marRight w:val="0"/>
      <w:marTop w:val="10"/>
      <w:marBottom w:val="10"/>
      <w:divBdr>
        <w:top w:val="none" w:sz="0" w:space="0" w:color="auto"/>
        <w:left w:val="none" w:sz="0" w:space="0" w:color="auto"/>
        <w:bottom w:val="none" w:sz="0" w:space="0" w:color="auto"/>
        <w:right w:val="none" w:sz="0" w:space="0" w:color="auto"/>
      </w:divBdr>
    </w:div>
    <w:div w:id="1110199323">
      <w:marLeft w:val="0"/>
      <w:marRight w:val="0"/>
      <w:marTop w:val="10"/>
      <w:marBottom w:val="10"/>
      <w:divBdr>
        <w:top w:val="none" w:sz="0" w:space="0" w:color="auto"/>
        <w:left w:val="none" w:sz="0" w:space="0" w:color="auto"/>
        <w:bottom w:val="none" w:sz="0" w:space="0" w:color="auto"/>
        <w:right w:val="none" w:sz="0" w:space="0" w:color="auto"/>
      </w:divBdr>
    </w:div>
    <w:div w:id="1128742562">
      <w:marLeft w:val="0"/>
      <w:marRight w:val="0"/>
      <w:marTop w:val="10"/>
      <w:marBottom w:val="10"/>
      <w:divBdr>
        <w:top w:val="none" w:sz="0" w:space="0" w:color="auto"/>
        <w:left w:val="none" w:sz="0" w:space="0" w:color="auto"/>
        <w:bottom w:val="none" w:sz="0" w:space="0" w:color="auto"/>
        <w:right w:val="none" w:sz="0" w:space="0" w:color="auto"/>
      </w:divBdr>
    </w:div>
    <w:div w:id="1149979982">
      <w:marLeft w:val="0"/>
      <w:marRight w:val="0"/>
      <w:marTop w:val="10"/>
      <w:marBottom w:val="10"/>
      <w:divBdr>
        <w:top w:val="none" w:sz="0" w:space="0" w:color="auto"/>
        <w:left w:val="none" w:sz="0" w:space="0" w:color="auto"/>
        <w:bottom w:val="none" w:sz="0" w:space="0" w:color="auto"/>
        <w:right w:val="none" w:sz="0" w:space="0" w:color="auto"/>
      </w:divBdr>
    </w:div>
    <w:div w:id="1170675225">
      <w:marLeft w:val="0"/>
      <w:marRight w:val="0"/>
      <w:marTop w:val="10"/>
      <w:marBottom w:val="10"/>
      <w:divBdr>
        <w:top w:val="none" w:sz="0" w:space="0" w:color="auto"/>
        <w:left w:val="none" w:sz="0" w:space="0" w:color="auto"/>
        <w:bottom w:val="none" w:sz="0" w:space="0" w:color="auto"/>
        <w:right w:val="none" w:sz="0" w:space="0" w:color="auto"/>
      </w:divBdr>
    </w:div>
    <w:div w:id="1224213612">
      <w:marLeft w:val="0"/>
      <w:marRight w:val="0"/>
      <w:marTop w:val="10"/>
      <w:marBottom w:val="10"/>
      <w:divBdr>
        <w:top w:val="none" w:sz="0" w:space="0" w:color="auto"/>
        <w:left w:val="none" w:sz="0" w:space="0" w:color="auto"/>
        <w:bottom w:val="none" w:sz="0" w:space="0" w:color="auto"/>
        <w:right w:val="none" w:sz="0" w:space="0" w:color="auto"/>
      </w:divBdr>
    </w:div>
    <w:div w:id="1255237528">
      <w:marLeft w:val="0"/>
      <w:marRight w:val="0"/>
      <w:marTop w:val="10"/>
      <w:marBottom w:val="10"/>
      <w:divBdr>
        <w:top w:val="none" w:sz="0" w:space="0" w:color="auto"/>
        <w:left w:val="none" w:sz="0" w:space="0" w:color="auto"/>
        <w:bottom w:val="none" w:sz="0" w:space="0" w:color="auto"/>
        <w:right w:val="none" w:sz="0" w:space="0" w:color="auto"/>
      </w:divBdr>
    </w:div>
    <w:div w:id="1292246800">
      <w:marLeft w:val="0"/>
      <w:marRight w:val="0"/>
      <w:marTop w:val="10"/>
      <w:marBottom w:val="10"/>
      <w:divBdr>
        <w:top w:val="none" w:sz="0" w:space="0" w:color="auto"/>
        <w:left w:val="none" w:sz="0" w:space="0" w:color="auto"/>
        <w:bottom w:val="none" w:sz="0" w:space="0" w:color="auto"/>
        <w:right w:val="none" w:sz="0" w:space="0" w:color="auto"/>
      </w:divBdr>
    </w:div>
    <w:div w:id="1319383796">
      <w:marLeft w:val="0"/>
      <w:marRight w:val="0"/>
      <w:marTop w:val="10"/>
      <w:marBottom w:val="10"/>
      <w:divBdr>
        <w:top w:val="none" w:sz="0" w:space="0" w:color="auto"/>
        <w:left w:val="none" w:sz="0" w:space="0" w:color="auto"/>
        <w:bottom w:val="none" w:sz="0" w:space="0" w:color="auto"/>
        <w:right w:val="none" w:sz="0" w:space="0" w:color="auto"/>
      </w:divBdr>
    </w:div>
    <w:div w:id="1339968144">
      <w:marLeft w:val="0"/>
      <w:marRight w:val="0"/>
      <w:marTop w:val="10"/>
      <w:marBottom w:val="10"/>
      <w:divBdr>
        <w:top w:val="none" w:sz="0" w:space="0" w:color="auto"/>
        <w:left w:val="none" w:sz="0" w:space="0" w:color="auto"/>
        <w:bottom w:val="none" w:sz="0" w:space="0" w:color="auto"/>
        <w:right w:val="none" w:sz="0" w:space="0" w:color="auto"/>
      </w:divBdr>
    </w:div>
    <w:div w:id="1342127715">
      <w:marLeft w:val="0"/>
      <w:marRight w:val="0"/>
      <w:marTop w:val="10"/>
      <w:marBottom w:val="10"/>
      <w:divBdr>
        <w:top w:val="none" w:sz="0" w:space="0" w:color="auto"/>
        <w:left w:val="none" w:sz="0" w:space="0" w:color="auto"/>
        <w:bottom w:val="none" w:sz="0" w:space="0" w:color="auto"/>
        <w:right w:val="none" w:sz="0" w:space="0" w:color="auto"/>
      </w:divBdr>
    </w:div>
    <w:div w:id="1360466741">
      <w:marLeft w:val="0"/>
      <w:marRight w:val="0"/>
      <w:marTop w:val="10"/>
      <w:marBottom w:val="10"/>
      <w:divBdr>
        <w:top w:val="none" w:sz="0" w:space="0" w:color="auto"/>
        <w:left w:val="none" w:sz="0" w:space="0" w:color="auto"/>
        <w:bottom w:val="none" w:sz="0" w:space="0" w:color="auto"/>
        <w:right w:val="none" w:sz="0" w:space="0" w:color="auto"/>
      </w:divBdr>
    </w:div>
    <w:div w:id="1375156302">
      <w:marLeft w:val="0"/>
      <w:marRight w:val="0"/>
      <w:marTop w:val="10"/>
      <w:marBottom w:val="10"/>
      <w:divBdr>
        <w:top w:val="none" w:sz="0" w:space="0" w:color="auto"/>
        <w:left w:val="none" w:sz="0" w:space="0" w:color="auto"/>
        <w:bottom w:val="none" w:sz="0" w:space="0" w:color="auto"/>
        <w:right w:val="none" w:sz="0" w:space="0" w:color="auto"/>
      </w:divBdr>
    </w:div>
    <w:div w:id="1402168377">
      <w:marLeft w:val="0"/>
      <w:marRight w:val="0"/>
      <w:marTop w:val="10"/>
      <w:marBottom w:val="10"/>
      <w:divBdr>
        <w:top w:val="none" w:sz="0" w:space="0" w:color="auto"/>
        <w:left w:val="none" w:sz="0" w:space="0" w:color="auto"/>
        <w:bottom w:val="none" w:sz="0" w:space="0" w:color="auto"/>
        <w:right w:val="none" w:sz="0" w:space="0" w:color="auto"/>
      </w:divBdr>
    </w:div>
    <w:div w:id="1426347028">
      <w:marLeft w:val="0"/>
      <w:marRight w:val="0"/>
      <w:marTop w:val="10"/>
      <w:marBottom w:val="10"/>
      <w:divBdr>
        <w:top w:val="none" w:sz="0" w:space="0" w:color="auto"/>
        <w:left w:val="none" w:sz="0" w:space="0" w:color="auto"/>
        <w:bottom w:val="none" w:sz="0" w:space="0" w:color="auto"/>
        <w:right w:val="none" w:sz="0" w:space="0" w:color="auto"/>
      </w:divBdr>
    </w:div>
    <w:div w:id="1437557009">
      <w:marLeft w:val="0"/>
      <w:marRight w:val="720"/>
      <w:marTop w:val="10"/>
      <w:marBottom w:val="10"/>
      <w:divBdr>
        <w:top w:val="none" w:sz="0" w:space="0" w:color="auto"/>
        <w:left w:val="none" w:sz="0" w:space="0" w:color="auto"/>
        <w:bottom w:val="none" w:sz="0" w:space="0" w:color="auto"/>
        <w:right w:val="none" w:sz="0" w:space="0" w:color="auto"/>
      </w:divBdr>
    </w:div>
    <w:div w:id="1494099260">
      <w:marLeft w:val="0"/>
      <w:marRight w:val="720"/>
      <w:marTop w:val="10"/>
      <w:marBottom w:val="10"/>
      <w:divBdr>
        <w:top w:val="none" w:sz="0" w:space="0" w:color="auto"/>
        <w:left w:val="none" w:sz="0" w:space="0" w:color="auto"/>
        <w:bottom w:val="none" w:sz="0" w:space="0" w:color="auto"/>
        <w:right w:val="none" w:sz="0" w:space="0" w:color="auto"/>
      </w:divBdr>
    </w:div>
    <w:div w:id="1509906640">
      <w:marLeft w:val="0"/>
      <w:marRight w:val="0"/>
      <w:marTop w:val="10"/>
      <w:marBottom w:val="10"/>
      <w:divBdr>
        <w:top w:val="none" w:sz="0" w:space="0" w:color="auto"/>
        <w:left w:val="none" w:sz="0" w:space="0" w:color="auto"/>
        <w:bottom w:val="none" w:sz="0" w:space="0" w:color="auto"/>
        <w:right w:val="none" w:sz="0" w:space="0" w:color="auto"/>
      </w:divBdr>
    </w:div>
    <w:div w:id="1548955475">
      <w:marLeft w:val="0"/>
      <w:marRight w:val="0"/>
      <w:marTop w:val="10"/>
      <w:marBottom w:val="10"/>
      <w:divBdr>
        <w:top w:val="none" w:sz="0" w:space="0" w:color="auto"/>
        <w:left w:val="none" w:sz="0" w:space="0" w:color="auto"/>
        <w:bottom w:val="none" w:sz="0" w:space="0" w:color="auto"/>
        <w:right w:val="none" w:sz="0" w:space="0" w:color="auto"/>
      </w:divBdr>
    </w:div>
    <w:div w:id="1578200283">
      <w:marLeft w:val="0"/>
      <w:marRight w:val="0"/>
      <w:marTop w:val="10"/>
      <w:marBottom w:val="10"/>
      <w:divBdr>
        <w:top w:val="none" w:sz="0" w:space="0" w:color="auto"/>
        <w:left w:val="none" w:sz="0" w:space="0" w:color="auto"/>
        <w:bottom w:val="none" w:sz="0" w:space="0" w:color="auto"/>
        <w:right w:val="none" w:sz="0" w:space="0" w:color="auto"/>
      </w:divBdr>
    </w:div>
    <w:div w:id="1579943771">
      <w:marLeft w:val="0"/>
      <w:marRight w:val="0"/>
      <w:marTop w:val="10"/>
      <w:marBottom w:val="10"/>
      <w:divBdr>
        <w:top w:val="none" w:sz="0" w:space="0" w:color="auto"/>
        <w:left w:val="none" w:sz="0" w:space="0" w:color="auto"/>
        <w:bottom w:val="none" w:sz="0" w:space="0" w:color="auto"/>
        <w:right w:val="none" w:sz="0" w:space="0" w:color="auto"/>
      </w:divBdr>
    </w:div>
    <w:div w:id="1587230656">
      <w:marLeft w:val="0"/>
      <w:marRight w:val="0"/>
      <w:marTop w:val="10"/>
      <w:marBottom w:val="10"/>
      <w:divBdr>
        <w:top w:val="none" w:sz="0" w:space="0" w:color="auto"/>
        <w:left w:val="none" w:sz="0" w:space="0" w:color="auto"/>
        <w:bottom w:val="none" w:sz="0" w:space="0" w:color="auto"/>
        <w:right w:val="none" w:sz="0" w:space="0" w:color="auto"/>
      </w:divBdr>
    </w:div>
    <w:div w:id="1655522301">
      <w:marLeft w:val="0"/>
      <w:marRight w:val="720"/>
      <w:marTop w:val="10"/>
      <w:marBottom w:val="10"/>
      <w:divBdr>
        <w:top w:val="none" w:sz="0" w:space="0" w:color="auto"/>
        <w:left w:val="none" w:sz="0" w:space="0" w:color="auto"/>
        <w:bottom w:val="none" w:sz="0" w:space="0" w:color="auto"/>
        <w:right w:val="none" w:sz="0" w:space="0" w:color="auto"/>
      </w:divBdr>
    </w:div>
    <w:div w:id="1745447518">
      <w:marLeft w:val="0"/>
      <w:marRight w:val="0"/>
      <w:marTop w:val="10"/>
      <w:marBottom w:val="10"/>
      <w:divBdr>
        <w:top w:val="none" w:sz="0" w:space="0" w:color="auto"/>
        <w:left w:val="none" w:sz="0" w:space="0" w:color="auto"/>
        <w:bottom w:val="none" w:sz="0" w:space="0" w:color="auto"/>
        <w:right w:val="none" w:sz="0" w:space="0" w:color="auto"/>
      </w:divBdr>
    </w:div>
    <w:div w:id="1819497739">
      <w:marLeft w:val="0"/>
      <w:marRight w:val="0"/>
      <w:marTop w:val="10"/>
      <w:marBottom w:val="10"/>
      <w:divBdr>
        <w:top w:val="none" w:sz="0" w:space="0" w:color="auto"/>
        <w:left w:val="none" w:sz="0" w:space="0" w:color="auto"/>
        <w:bottom w:val="none" w:sz="0" w:space="0" w:color="auto"/>
        <w:right w:val="none" w:sz="0" w:space="0" w:color="auto"/>
      </w:divBdr>
    </w:div>
    <w:div w:id="1855880056">
      <w:marLeft w:val="0"/>
      <w:marRight w:val="0"/>
      <w:marTop w:val="10"/>
      <w:marBottom w:val="10"/>
      <w:divBdr>
        <w:top w:val="none" w:sz="0" w:space="0" w:color="auto"/>
        <w:left w:val="none" w:sz="0" w:space="0" w:color="auto"/>
        <w:bottom w:val="none" w:sz="0" w:space="0" w:color="auto"/>
        <w:right w:val="none" w:sz="0" w:space="0" w:color="auto"/>
      </w:divBdr>
    </w:div>
    <w:div w:id="1900676404">
      <w:marLeft w:val="0"/>
      <w:marRight w:val="0"/>
      <w:marTop w:val="10"/>
      <w:marBottom w:val="10"/>
      <w:divBdr>
        <w:top w:val="none" w:sz="0" w:space="0" w:color="auto"/>
        <w:left w:val="none" w:sz="0" w:space="0" w:color="auto"/>
        <w:bottom w:val="none" w:sz="0" w:space="0" w:color="auto"/>
        <w:right w:val="none" w:sz="0" w:space="0" w:color="auto"/>
      </w:divBdr>
    </w:div>
    <w:div w:id="1954315358">
      <w:marLeft w:val="0"/>
      <w:marRight w:val="0"/>
      <w:marTop w:val="10"/>
      <w:marBottom w:val="10"/>
      <w:divBdr>
        <w:top w:val="none" w:sz="0" w:space="0" w:color="auto"/>
        <w:left w:val="none" w:sz="0" w:space="0" w:color="auto"/>
        <w:bottom w:val="none" w:sz="0" w:space="0" w:color="auto"/>
        <w:right w:val="none" w:sz="0" w:space="0" w:color="auto"/>
      </w:divBdr>
    </w:div>
    <w:div w:id="1967615462">
      <w:marLeft w:val="0"/>
      <w:marRight w:val="0"/>
      <w:marTop w:val="10"/>
      <w:marBottom w:val="10"/>
      <w:divBdr>
        <w:top w:val="none" w:sz="0" w:space="0" w:color="auto"/>
        <w:left w:val="none" w:sz="0" w:space="0" w:color="auto"/>
        <w:bottom w:val="none" w:sz="0" w:space="0" w:color="auto"/>
        <w:right w:val="none" w:sz="0" w:space="0" w:color="auto"/>
      </w:divBdr>
    </w:div>
    <w:div w:id="2050565163">
      <w:marLeft w:val="0"/>
      <w:marRight w:val="0"/>
      <w:marTop w:val="10"/>
      <w:marBottom w:val="10"/>
      <w:divBdr>
        <w:top w:val="none" w:sz="0" w:space="0" w:color="auto"/>
        <w:left w:val="none" w:sz="0" w:space="0" w:color="auto"/>
        <w:bottom w:val="none" w:sz="0" w:space="0" w:color="auto"/>
        <w:right w:val="none" w:sz="0" w:space="0" w:color="auto"/>
      </w:divBdr>
    </w:div>
    <w:div w:id="206649149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1102</Words>
  <Characters>6284</Characters>
  <Application>Microsoft Office Word</Application>
  <DocSecurity>0</DocSecurity>
  <Lines>52</Lines>
  <Paragraphs>14</Paragraphs>
  <ScaleCrop>false</ScaleCrop>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