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B1998">
      <w:pPr>
        <w:spacing w:line="500" w:lineRule="atLeast"/>
        <w:jc w:val="center"/>
        <w:divId w:val="1083255162"/>
        <w:rPr>
          <w:rFonts w:ascii="黑体" w:eastAsia="黑体" w:hAnsi="黑体"/>
          <w:sz w:val="36"/>
          <w:szCs w:val="36"/>
        </w:rPr>
      </w:pPr>
      <w:bookmarkStart w:id="0" w:name="_GoBack"/>
      <w:bookmarkEnd w:id="0"/>
      <w:r>
        <w:rPr>
          <w:rFonts w:ascii="黑体" w:eastAsia="黑体" w:hAnsi="黑体" w:hint="eastAsia"/>
          <w:sz w:val="36"/>
          <w:szCs w:val="36"/>
        </w:rPr>
        <w:t>江苏省南京市中级人民法院</w:t>
      </w:r>
    </w:p>
    <w:p w:rsidR="00000000" w:rsidRDefault="00AB1998">
      <w:pPr>
        <w:spacing w:line="500" w:lineRule="atLeast"/>
        <w:jc w:val="center"/>
        <w:divId w:val="83384193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B1998">
      <w:pPr>
        <w:spacing w:line="500" w:lineRule="atLeast"/>
        <w:jc w:val="right"/>
        <w:divId w:val="1185442557"/>
        <w:rPr>
          <w:rFonts w:hint="eastAsia"/>
          <w:sz w:val="30"/>
          <w:szCs w:val="30"/>
        </w:rPr>
      </w:pPr>
      <w:r>
        <w:rPr>
          <w:rFonts w:hint="eastAsia"/>
          <w:sz w:val="30"/>
          <w:szCs w:val="30"/>
        </w:rPr>
        <w:t>（</w:t>
      </w:r>
      <w:r>
        <w:rPr>
          <w:rFonts w:hint="eastAsia"/>
          <w:sz w:val="30"/>
          <w:szCs w:val="30"/>
        </w:rPr>
        <w:t>2018</w:t>
      </w:r>
      <w:r>
        <w:rPr>
          <w:rFonts w:hint="eastAsia"/>
          <w:sz w:val="30"/>
          <w:szCs w:val="30"/>
        </w:rPr>
        <w:t>）苏</w:t>
      </w:r>
      <w:r>
        <w:rPr>
          <w:rFonts w:hint="eastAsia"/>
          <w:sz w:val="30"/>
          <w:szCs w:val="30"/>
        </w:rPr>
        <w:t>01</w:t>
      </w:r>
      <w:r>
        <w:rPr>
          <w:rFonts w:hint="eastAsia"/>
          <w:sz w:val="30"/>
          <w:szCs w:val="30"/>
        </w:rPr>
        <w:t>民终</w:t>
      </w:r>
      <w:r>
        <w:rPr>
          <w:rFonts w:hint="eastAsia"/>
          <w:sz w:val="30"/>
          <w:szCs w:val="30"/>
        </w:rPr>
        <w:t>11143</w:t>
      </w:r>
      <w:r>
        <w:rPr>
          <w:rFonts w:hint="eastAsia"/>
          <w:sz w:val="30"/>
          <w:szCs w:val="30"/>
        </w:rPr>
        <w:t>号</w:t>
      </w:r>
    </w:p>
    <w:p w:rsidR="00000000" w:rsidRDefault="00AB1998">
      <w:pPr>
        <w:spacing w:line="500" w:lineRule="atLeast"/>
        <w:ind w:firstLine="600"/>
        <w:divId w:val="194277149"/>
        <w:rPr>
          <w:rFonts w:hint="eastAsia"/>
          <w:sz w:val="30"/>
          <w:szCs w:val="30"/>
        </w:rPr>
      </w:pPr>
      <w:r>
        <w:rPr>
          <w:rFonts w:hint="eastAsia"/>
          <w:sz w:val="30"/>
          <w:szCs w:val="30"/>
        </w:rPr>
        <w:t>上诉人（原审被告）：南京笔墨建筑科技有限公司，住所地在江苏省南京市雨花台区软件大道</w:t>
      </w:r>
      <w:r>
        <w:rPr>
          <w:rFonts w:hint="eastAsia"/>
          <w:sz w:val="30"/>
          <w:szCs w:val="30"/>
        </w:rPr>
        <w:t>66</w:t>
      </w:r>
      <w:r>
        <w:rPr>
          <w:rFonts w:hint="eastAsia"/>
          <w:sz w:val="30"/>
          <w:szCs w:val="30"/>
        </w:rPr>
        <w:t>号华通科技园一楼</w:t>
      </w:r>
      <w:r>
        <w:rPr>
          <w:rFonts w:hint="eastAsia"/>
          <w:sz w:val="30"/>
          <w:szCs w:val="30"/>
        </w:rPr>
        <w:t>102</w:t>
      </w:r>
      <w:r>
        <w:rPr>
          <w:rFonts w:hint="eastAsia"/>
          <w:sz w:val="30"/>
          <w:szCs w:val="30"/>
        </w:rPr>
        <w:t>室。</w:t>
      </w:r>
    </w:p>
    <w:p w:rsidR="00000000" w:rsidRDefault="00AB1998">
      <w:pPr>
        <w:spacing w:line="500" w:lineRule="atLeast"/>
        <w:ind w:firstLine="600"/>
        <w:divId w:val="1727297725"/>
        <w:rPr>
          <w:rFonts w:hint="eastAsia"/>
          <w:sz w:val="30"/>
          <w:szCs w:val="30"/>
        </w:rPr>
      </w:pPr>
      <w:r>
        <w:rPr>
          <w:rFonts w:hint="eastAsia"/>
          <w:sz w:val="30"/>
          <w:szCs w:val="30"/>
        </w:rPr>
        <w:t>法定代表人：陈界鹏，该公司执行董事。</w:t>
      </w:r>
    </w:p>
    <w:p w:rsidR="00000000" w:rsidRDefault="00AB1998">
      <w:pPr>
        <w:spacing w:line="500" w:lineRule="atLeast"/>
        <w:ind w:firstLine="600"/>
        <w:divId w:val="613638897"/>
        <w:rPr>
          <w:rFonts w:hint="eastAsia"/>
          <w:sz w:val="30"/>
          <w:szCs w:val="30"/>
        </w:rPr>
      </w:pPr>
      <w:r>
        <w:rPr>
          <w:rFonts w:hint="eastAsia"/>
          <w:sz w:val="30"/>
          <w:szCs w:val="30"/>
        </w:rPr>
        <w:t>委托诉讼代理人：朱网祥，江苏致邦（泰州）律师事务所律师。</w:t>
      </w:r>
    </w:p>
    <w:p w:rsidR="00000000" w:rsidRDefault="00AB1998">
      <w:pPr>
        <w:spacing w:line="500" w:lineRule="atLeast"/>
        <w:ind w:firstLine="600"/>
        <w:divId w:val="1802723670"/>
        <w:rPr>
          <w:rFonts w:hint="eastAsia"/>
          <w:sz w:val="30"/>
          <w:szCs w:val="30"/>
        </w:rPr>
      </w:pPr>
      <w:r>
        <w:rPr>
          <w:rFonts w:hint="eastAsia"/>
          <w:sz w:val="30"/>
          <w:szCs w:val="30"/>
        </w:rPr>
        <w:t>委托诉讼代理人：蔡云，江苏致邦律师事务所律师。</w:t>
      </w:r>
    </w:p>
    <w:p w:rsidR="00000000" w:rsidRDefault="00AB1998">
      <w:pPr>
        <w:spacing w:line="500" w:lineRule="atLeast"/>
        <w:ind w:firstLine="600"/>
        <w:divId w:val="1139031327"/>
        <w:rPr>
          <w:rFonts w:hint="eastAsia"/>
          <w:sz w:val="30"/>
          <w:szCs w:val="30"/>
        </w:rPr>
      </w:pPr>
      <w:r>
        <w:rPr>
          <w:rFonts w:hint="eastAsia"/>
          <w:sz w:val="30"/>
          <w:szCs w:val="30"/>
        </w:rPr>
        <w:t>被上诉人（原审原告）：邵鑫华，男，</w:t>
      </w:r>
      <w:r>
        <w:rPr>
          <w:rFonts w:hint="eastAsia"/>
          <w:sz w:val="30"/>
          <w:szCs w:val="30"/>
        </w:rPr>
        <w:t>1986</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日出生，汉族，住江苏省如皋市。</w:t>
      </w:r>
    </w:p>
    <w:p w:rsidR="00000000" w:rsidRDefault="00AB1998">
      <w:pPr>
        <w:spacing w:line="500" w:lineRule="atLeast"/>
        <w:ind w:firstLine="600"/>
        <w:divId w:val="1442873108"/>
        <w:rPr>
          <w:rFonts w:hint="eastAsia"/>
          <w:sz w:val="30"/>
          <w:szCs w:val="30"/>
        </w:rPr>
      </w:pPr>
      <w:r>
        <w:rPr>
          <w:rFonts w:hint="eastAsia"/>
          <w:sz w:val="30"/>
          <w:szCs w:val="30"/>
        </w:rPr>
        <w:t>委托诉讼代理人：马小希，上海市海华永泰（南京）律师事务所律师。</w:t>
      </w:r>
    </w:p>
    <w:p w:rsidR="00000000" w:rsidRDefault="00AB1998">
      <w:pPr>
        <w:spacing w:line="500" w:lineRule="atLeast"/>
        <w:ind w:firstLine="600"/>
        <w:divId w:val="1172067691"/>
        <w:rPr>
          <w:rFonts w:hint="eastAsia"/>
          <w:sz w:val="30"/>
          <w:szCs w:val="30"/>
        </w:rPr>
      </w:pPr>
      <w:r>
        <w:rPr>
          <w:rFonts w:hint="eastAsia"/>
          <w:sz w:val="30"/>
          <w:szCs w:val="30"/>
        </w:rPr>
        <w:t>委托诉讼代理人：常涛，上海市海华永泰（南京）律师事务所实习律师。</w:t>
      </w:r>
    </w:p>
    <w:p w:rsidR="00000000" w:rsidRDefault="00AB1998">
      <w:pPr>
        <w:spacing w:line="500" w:lineRule="atLeast"/>
        <w:ind w:firstLine="600"/>
        <w:divId w:val="331491711"/>
        <w:rPr>
          <w:rFonts w:hint="eastAsia"/>
          <w:sz w:val="30"/>
          <w:szCs w:val="30"/>
        </w:rPr>
      </w:pPr>
      <w:r>
        <w:rPr>
          <w:rFonts w:hint="eastAsia"/>
          <w:sz w:val="30"/>
          <w:szCs w:val="30"/>
        </w:rPr>
        <w:t>上诉人南京笔墨建筑科技有限公司（以下简称笔墨公司）因与被上诉人邵鑫华股东知情权纠纷一案，不服江苏省南京市雨花台区人民法院（</w:t>
      </w:r>
      <w:r>
        <w:rPr>
          <w:rFonts w:hint="eastAsia"/>
          <w:sz w:val="30"/>
          <w:szCs w:val="30"/>
        </w:rPr>
        <w:t>2018</w:t>
      </w:r>
      <w:r>
        <w:rPr>
          <w:rFonts w:hint="eastAsia"/>
          <w:sz w:val="30"/>
          <w:szCs w:val="30"/>
        </w:rPr>
        <w:t>）苏</w:t>
      </w:r>
      <w:r>
        <w:rPr>
          <w:rFonts w:hint="eastAsia"/>
          <w:sz w:val="30"/>
          <w:szCs w:val="30"/>
        </w:rPr>
        <w:t>0114</w:t>
      </w:r>
      <w:r>
        <w:rPr>
          <w:rFonts w:hint="eastAsia"/>
          <w:sz w:val="30"/>
          <w:szCs w:val="30"/>
        </w:rPr>
        <w:t>民初</w:t>
      </w:r>
      <w:r>
        <w:rPr>
          <w:rFonts w:hint="eastAsia"/>
          <w:sz w:val="30"/>
          <w:szCs w:val="30"/>
        </w:rPr>
        <w:t>4053</w:t>
      </w:r>
      <w:r>
        <w:rPr>
          <w:rFonts w:hint="eastAsia"/>
          <w:sz w:val="30"/>
          <w:szCs w:val="30"/>
        </w:rPr>
        <w:t>号民事判决，向本院提起上诉。本院于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日立案后，依法组成合议庭，于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日公开开庭进行了审理。上诉人笔墨公司的委托诉讼代理人朱网祥、蔡云，被上诉人邵鑫华的委托诉讼代理人马小希到庭参加诉讼。本案现已审理终结。</w:t>
      </w:r>
    </w:p>
    <w:p w:rsidR="00000000" w:rsidRDefault="00AB1998">
      <w:pPr>
        <w:spacing w:line="500" w:lineRule="atLeast"/>
        <w:ind w:firstLine="600"/>
        <w:divId w:val="275186862"/>
        <w:rPr>
          <w:rFonts w:hint="eastAsia"/>
          <w:sz w:val="30"/>
          <w:szCs w:val="30"/>
        </w:rPr>
      </w:pPr>
      <w:r>
        <w:rPr>
          <w:rFonts w:hint="eastAsia"/>
          <w:sz w:val="30"/>
          <w:szCs w:val="30"/>
        </w:rPr>
        <w:t>笔墨公司上诉请求：撤销一审判决，发回重审或依法改判驳回邵</w:t>
      </w:r>
      <w:r>
        <w:rPr>
          <w:rFonts w:hint="eastAsia"/>
          <w:sz w:val="30"/>
          <w:szCs w:val="30"/>
        </w:rPr>
        <w:t>鑫华的全部诉讼请求，并由其负担一、二审诉讼费用。二审庭审中，因笔墨公司称该公司没有现金流量表，邵鑫华亦同意放弃要求查阅现金流量表的主张，故笔墨公司明确其上诉</w:t>
      </w:r>
      <w:r>
        <w:rPr>
          <w:rFonts w:hint="eastAsia"/>
          <w:sz w:val="30"/>
          <w:szCs w:val="30"/>
        </w:rPr>
        <w:lastRenderedPageBreak/>
        <w:t>请求为：改判驳回邵鑫华要求查阅笔墨公司的会计账簿及相应原始凭证的诉讼请求。事实和理由：一审判决认定事实、法律适用错误。</w:t>
      </w:r>
      <w:r>
        <w:rPr>
          <w:rFonts w:hint="eastAsia"/>
          <w:sz w:val="30"/>
          <w:szCs w:val="30"/>
        </w:rPr>
        <w:t>1.</w:t>
      </w:r>
      <w:r>
        <w:rPr>
          <w:rFonts w:hint="eastAsia"/>
          <w:sz w:val="30"/>
          <w:szCs w:val="30"/>
        </w:rPr>
        <w:t>李正荣与邵鑫华作为笔墨公司的股东和高级管理人员，在笔墨公司任职期间成立与笔墨公司存在同业竞争的南京煜筑建筑科技有限公司（以下简称煜筑公司），该公司上下游客户与笔墨公司完全一致，经营的地域亦在江苏区域，从事的多数业务系笔墨公司原客户软件</w:t>
      </w:r>
      <w:r>
        <w:rPr>
          <w:rFonts w:hint="eastAsia"/>
          <w:sz w:val="30"/>
          <w:szCs w:val="30"/>
        </w:rPr>
        <w:t>服务的升级业务，煜筑公司是笔墨公司在江苏区域的唯一竞争对手。同时，李正荣、邵鑫华带走笔墨公司绝大部分员工，并公然通过煜筑公司转移、篡夺笔墨公司的核心业务和客户，在短短一个月不到的时间内就篡夺了多个原属于笔墨公司的客户订单，给笔墨公司造成了巨大经济损失。上述行为违反了《中华人民共和国公司法》（以下简称公司法）和公司章程约定的股东义务，也违反了公司高级管理人员的忠实义务。在此前提之下，邵鑫华要求查阅笔墨公司的全部财务资料，则必然直接损害笔墨公司的经营利益及其他股东的权益。笔墨公司已经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月向南京市玄武</w:t>
      </w:r>
      <w:r>
        <w:rPr>
          <w:rFonts w:hint="eastAsia"/>
          <w:sz w:val="30"/>
          <w:szCs w:val="30"/>
        </w:rPr>
        <w:t>区人民法院对李正荣、邵鑫华提起损害公司利益诉讼。</w:t>
      </w:r>
      <w:r>
        <w:rPr>
          <w:rFonts w:hint="eastAsia"/>
          <w:sz w:val="30"/>
          <w:szCs w:val="30"/>
        </w:rPr>
        <w:t>2.</w:t>
      </w:r>
      <w:r>
        <w:rPr>
          <w:rFonts w:hint="eastAsia"/>
          <w:sz w:val="30"/>
          <w:szCs w:val="30"/>
        </w:rPr>
        <w:t>李正荣、邵鑫华虽然在该案起诉后，转让了煜筑公司的股权，但系其恶意串通、规避法律责任的行为。邵鑫华在转让股权后，仍实际经营控制煜筑公司并继续篡夺笔墨公司的商业机会，不能排除其查账行为会损害笔墨公司利益、造成损害的可能性，笔墨公司有合理理由拒绝其查阅公司财务账薄及原始凭证。首先，从转让时点看，李正荣、邵鑫华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日将所持煜筑公司的全部股权转让给刘某，是在笔墨公司提起损害公司利益诉讼之后，目的是规避该案项下其应承担的法律责任。其次，从转让的对价来看</w:t>
      </w:r>
      <w:r>
        <w:rPr>
          <w:rFonts w:hint="eastAsia"/>
          <w:sz w:val="30"/>
          <w:szCs w:val="30"/>
        </w:rPr>
        <w:t>，李正荣、邵鑫华未提供任何关于真实支付股权转让款的证据。再次，从受让对象来看，受让人刘</w:t>
      </w:r>
      <w:r>
        <w:rPr>
          <w:rFonts w:hint="eastAsia"/>
          <w:sz w:val="30"/>
          <w:szCs w:val="30"/>
        </w:rPr>
        <w:lastRenderedPageBreak/>
        <w:t>某是煜筑公司员工，其受让该股权时系刚刚入职二十天不到的应届大学毕业生，所学专业为财务管理，与公司的业务没有任何关系，同时表明在股权转让时对煜筑公司的业务不清楚。刘某称购买股权的目的是为了创业，并声称李正荣、邵鑫华已经完全离开公司，在公司业务来源人已离开公司的情况下，其创业成功的速度令人匪夷所思，其在受让李正荣、邵鑫华的股权之后短短十来天的时间里就发展了二十多个客户，明显不符合常理及商业规则。一审中除邵鑫华的口头陈述以外，没</w:t>
      </w:r>
      <w:r>
        <w:rPr>
          <w:rFonts w:hint="eastAsia"/>
          <w:sz w:val="30"/>
          <w:szCs w:val="30"/>
        </w:rPr>
        <w:t>有证据证明其二人不再参与煜筑公司的经营，不能排除其查阅行为对笔墨公司利益造成损害的可能性。</w:t>
      </w:r>
      <w:r>
        <w:rPr>
          <w:rFonts w:hint="eastAsia"/>
          <w:sz w:val="30"/>
          <w:szCs w:val="30"/>
        </w:rPr>
        <w:t>3.</w:t>
      </w:r>
      <w:r>
        <w:rPr>
          <w:rFonts w:hint="eastAsia"/>
          <w:sz w:val="30"/>
          <w:szCs w:val="30"/>
        </w:rPr>
        <w:t>笔墨公司拒绝邵鑫华行使知情权的法律依据为公司法第三十三条及《最高人民法院关于适用〈中华人民共和国公司法〉若干问题的规定（四）》（以下简称公司法司法解释四）第八条“有限责任公司有证据证明股东存在下列情形之一的，人民法院应当认定股东有公司法第三十三条第二款规定的‘不正当目的’：（一）股东自营或者为他人经营与公司主营业务有实质性竞争关系业务的，但公司章程另有规定或者全体股东另有约定的除外。”首先，笔墨公司一审提交的证据可</w:t>
      </w:r>
      <w:r>
        <w:rPr>
          <w:rFonts w:hint="eastAsia"/>
          <w:sz w:val="30"/>
          <w:szCs w:val="30"/>
        </w:rPr>
        <w:t>以证实，邵鑫华、李正荣共同设立的煜筑公司与笔墨公司不仅经营同类竞争业务，而且还将原本属于笔墨公司的核心业务及客户转移至自身名下，该行为属于上述法律及司法解释规定的“不正当目的”情形之一。邵鑫华虽然在笔墨公司提起损害公司利益责任纠纷一案之后转让了股权，但其目的在于规避该案的赔偿责任，其本人仍实际控制煜筑公司或至少可以认定为刘某持股的煜筑公司经营同类竞争业务。其次，从本案举证责任和证明标准来看，根据公司法第三十三条规定，公司有合理根据认为股东查阅会计账薄有不正当目的，可能损害公司合法利益的，可以拒绝提供查阅。“</w:t>
      </w:r>
      <w:r>
        <w:rPr>
          <w:rFonts w:hint="eastAsia"/>
          <w:sz w:val="30"/>
          <w:szCs w:val="30"/>
        </w:rPr>
        <w:t>合理依据”和“有可能”的标准并非排除合理的标准，仍是高度盖然性和公司自主判断标准，具体是指公司只要有合理理由认为股东查阅会计账簿具有不正当目的，可能侵害公司利益即可以拒绝提供查阅。笔墨公司一审提交的证据足以证实邵鑫华行使知情权并非善意，具有不正当目的，不能排除其查阅行为对笔墨公司利益造成损害的可能性。再次，从法律后果而言，目前煜筑公司是笔墨公司在江苏区域内唯一竞争对手，笔墨公司的会计账薄及原始凭证会显示客户信息、销售定价等商业信息，允许其查阅有可能使笔墨公司在与煜筑公司的业务竞争中处于不利地位。任何人不得因</w:t>
      </w:r>
      <w:r>
        <w:rPr>
          <w:rFonts w:hint="eastAsia"/>
          <w:sz w:val="30"/>
          <w:szCs w:val="30"/>
        </w:rPr>
        <w:t>不法行为而获益，如果在此种情形下仍支持邵鑫华主张，不仅可能对笔墨公司的正常市场经营构成严重影响，而且可能为李正荣、邵鑫华进一步损害公司和其他股东利益提供条件和方便。</w:t>
      </w:r>
    </w:p>
    <w:p w:rsidR="00000000" w:rsidRDefault="00AB1998">
      <w:pPr>
        <w:spacing w:line="500" w:lineRule="atLeast"/>
        <w:ind w:firstLine="600"/>
        <w:divId w:val="298464189"/>
        <w:rPr>
          <w:rFonts w:hint="eastAsia"/>
          <w:sz w:val="30"/>
          <w:szCs w:val="30"/>
        </w:rPr>
      </w:pPr>
      <w:r>
        <w:rPr>
          <w:rFonts w:hint="eastAsia"/>
          <w:sz w:val="30"/>
          <w:szCs w:val="30"/>
        </w:rPr>
        <w:t>邵鑫华辩称，一审判决认定事实清楚，适用法律正确，请求驳回上诉请求，维持原判。</w:t>
      </w:r>
    </w:p>
    <w:p w:rsidR="00000000" w:rsidRDefault="00AB1998">
      <w:pPr>
        <w:spacing w:line="500" w:lineRule="atLeast"/>
        <w:ind w:firstLine="600"/>
        <w:divId w:val="1820804782"/>
        <w:rPr>
          <w:rFonts w:hint="eastAsia"/>
          <w:sz w:val="30"/>
          <w:szCs w:val="30"/>
        </w:rPr>
      </w:pPr>
      <w:r>
        <w:rPr>
          <w:rFonts w:hint="eastAsia"/>
          <w:sz w:val="30"/>
          <w:szCs w:val="30"/>
        </w:rPr>
        <w:t>邵鑫华向一审法院提出诉讼请求：</w:t>
      </w:r>
      <w:r>
        <w:rPr>
          <w:rFonts w:hint="eastAsia"/>
          <w:sz w:val="30"/>
          <w:szCs w:val="30"/>
        </w:rPr>
        <w:t>1.</w:t>
      </w:r>
      <w:r>
        <w:rPr>
          <w:rFonts w:hint="eastAsia"/>
          <w:sz w:val="30"/>
          <w:szCs w:val="30"/>
        </w:rPr>
        <w:t>判令笔墨公司供邵鑫华查阅、复制</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日期间内的笔墨公司的资产负债表、利润表、现金流量表，查阅会计账册（包括总分类账册、多栏式分类账册、银行日记账、现金日记账）以</w:t>
      </w:r>
      <w:r>
        <w:rPr>
          <w:rFonts w:hint="eastAsia"/>
          <w:sz w:val="30"/>
          <w:szCs w:val="30"/>
        </w:rPr>
        <w:t>及相应的原始凭证；</w:t>
      </w:r>
      <w:r>
        <w:rPr>
          <w:rFonts w:hint="eastAsia"/>
          <w:sz w:val="30"/>
          <w:szCs w:val="30"/>
        </w:rPr>
        <w:t>2.</w:t>
      </w:r>
      <w:r>
        <w:rPr>
          <w:rFonts w:hint="eastAsia"/>
          <w:sz w:val="30"/>
          <w:szCs w:val="30"/>
        </w:rPr>
        <w:t>诉讼费用由笔墨公司负担。</w:t>
      </w:r>
    </w:p>
    <w:p w:rsidR="00000000" w:rsidRDefault="00AB1998">
      <w:pPr>
        <w:spacing w:line="500" w:lineRule="atLeast"/>
        <w:ind w:firstLine="600"/>
        <w:divId w:val="687875110"/>
        <w:rPr>
          <w:rFonts w:hint="eastAsia"/>
          <w:sz w:val="30"/>
          <w:szCs w:val="30"/>
        </w:rPr>
      </w:pPr>
      <w:r>
        <w:rPr>
          <w:rFonts w:hint="eastAsia"/>
          <w:sz w:val="30"/>
          <w:szCs w:val="30"/>
        </w:rPr>
        <w:t>一审法院认定事实：笔墨公司于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日设立，注册资本</w:t>
      </w:r>
      <w:r>
        <w:rPr>
          <w:rFonts w:hint="eastAsia"/>
          <w:sz w:val="30"/>
          <w:szCs w:val="30"/>
        </w:rPr>
        <w:t>100</w:t>
      </w:r>
      <w:r>
        <w:rPr>
          <w:rFonts w:hint="eastAsia"/>
          <w:sz w:val="30"/>
          <w:szCs w:val="30"/>
        </w:rPr>
        <w:t>万元，股东为李正荣（认缴出资</w:t>
      </w:r>
      <w:r>
        <w:rPr>
          <w:rFonts w:hint="eastAsia"/>
          <w:sz w:val="30"/>
          <w:szCs w:val="30"/>
        </w:rPr>
        <w:t>24.5</w:t>
      </w:r>
      <w:r>
        <w:rPr>
          <w:rFonts w:hint="eastAsia"/>
          <w:sz w:val="30"/>
          <w:szCs w:val="30"/>
        </w:rPr>
        <w:t>万元，持股比例</w:t>
      </w:r>
      <w:r>
        <w:rPr>
          <w:rFonts w:hint="eastAsia"/>
          <w:sz w:val="30"/>
          <w:szCs w:val="30"/>
        </w:rPr>
        <w:t>24.5%</w:t>
      </w:r>
      <w:r>
        <w:rPr>
          <w:rFonts w:hint="eastAsia"/>
          <w:sz w:val="30"/>
          <w:szCs w:val="30"/>
        </w:rPr>
        <w:t>）、正华公司（认缴出资</w:t>
      </w:r>
      <w:r>
        <w:rPr>
          <w:rFonts w:hint="eastAsia"/>
          <w:sz w:val="30"/>
          <w:szCs w:val="30"/>
        </w:rPr>
        <w:t>51</w:t>
      </w:r>
      <w:r>
        <w:rPr>
          <w:rFonts w:hint="eastAsia"/>
          <w:sz w:val="30"/>
          <w:szCs w:val="30"/>
        </w:rPr>
        <w:t>万元，持股比例</w:t>
      </w:r>
      <w:r>
        <w:rPr>
          <w:rFonts w:hint="eastAsia"/>
          <w:sz w:val="30"/>
          <w:szCs w:val="30"/>
        </w:rPr>
        <w:t>51%</w:t>
      </w:r>
      <w:r>
        <w:rPr>
          <w:rFonts w:hint="eastAsia"/>
          <w:sz w:val="30"/>
          <w:szCs w:val="30"/>
        </w:rPr>
        <w:t>）、邵鑫华（认缴出资</w:t>
      </w:r>
      <w:r>
        <w:rPr>
          <w:rFonts w:hint="eastAsia"/>
          <w:sz w:val="30"/>
          <w:szCs w:val="30"/>
        </w:rPr>
        <w:t>24.5</w:t>
      </w:r>
      <w:r>
        <w:rPr>
          <w:rFonts w:hint="eastAsia"/>
          <w:sz w:val="30"/>
          <w:szCs w:val="30"/>
        </w:rPr>
        <w:t>万元，持股比例</w:t>
      </w:r>
      <w:r>
        <w:rPr>
          <w:rFonts w:hint="eastAsia"/>
          <w:sz w:val="30"/>
          <w:szCs w:val="30"/>
        </w:rPr>
        <w:t>24.5%</w:t>
      </w:r>
      <w:r>
        <w:rPr>
          <w:rFonts w:hint="eastAsia"/>
          <w:sz w:val="30"/>
          <w:szCs w:val="30"/>
        </w:rPr>
        <w:t>）。</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日，邵鑫华向笔墨公司邮寄《要求查阅财务资料的函》，言明：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日，邵鑫华、李正荣已经以辞职的方式与公司解除劳动关系，但本人仍系公司登记在册股东，仍然享有股东权利；根据公司法的规定，现致函公司，要求查阅</w:t>
      </w:r>
      <w:r>
        <w:rPr>
          <w:rFonts w:hint="eastAsia"/>
          <w:sz w:val="30"/>
          <w:szCs w:val="30"/>
        </w:rPr>
        <w:t>201</w:t>
      </w:r>
      <w:r>
        <w:rPr>
          <w:rFonts w:hint="eastAsia"/>
          <w:sz w:val="30"/>
          <w:szCs w:val="30"/>
        </w:rPr>
        <w:t>8</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日间的财务资料，具体包括上述期间内公司内部交易的资产负债表、利润表、现金流量表、会计账册（包括总分类账册、多栏式分类账册、银行日记账、现金日记账）、原始凭证；请公司于收到函之日起</w:t>
      </w:r>
      <w:r>
        <w:rPr>
          <w:rFonts w:hint="eastAsia"/>
          <w:sz w:val="30"/>
          <w:szCs w:val="30"/>
        </w:rPr>
        <w:t>3</w:t>
      </w:r>
      <w:r>
        <w:rPr>
          <w:rFonts w:hint="eastAsia"/>
          <w:sz w:val="30"/>
          <w:szCs w:val="30"/>
        </w:rPr>
        <w:t>日内答复，请于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日（含）之前与邵鑫华、李正荣联系，并将文件通过电子、扫描件形式发送到</w:t>
      </w:r>
      <w:r>
        <w:rPr>
          <w:rFonts w:hint="eastAsia"/>
          <w:sz w:val="30"/>
          <w:szCs w:val="30"/>
        </w:rPr>
        <w:t>230</w:t>
      </w:r>
      <w:r>
        <w:rPr>
          <w:rFonts w:hint="eastAsia"/>
          <w:sz w:val="30"/>
          <w:szCs w:val="30"/>
        </w:rPr>
        <w:t>×××＠ｑｑ</w:t>
      </w:r>
      <w:r>
        <w:rPr>
          <w:rFonts w:hint="eastAsia"/>
          <w:sz w:val="30"/>
          <w:szCs w:val="30"/>
        </w:rPr>
        <w:t>.</w:t>
      </w:r>
      <w:r>
        <w:rPr>
          <w:rFonts w:hint="eastAsia"/>
          <w:sz w:val="30"/>
          <w:szCs w:val="30"/>
        </w:rPr>
        <w:t>ｃｏｍ邮箱，查阅上述要求的财务资料，原始凭证以备核查，否则视为公司拒绝为股东查阅资料。该邮件于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日妥投签收。笔墨公司当庭陈述，笔墨公司收到上述函件后，并没有书面答</w:t>
      </w:r>
      <w:r>
        <w:rPr>
          <w:rFonts w:hint="eastAsia"/>
          <w:sz w:val="30"/>
          <w:szCs w:val="30"/>
        </w:rPr>
        <w:t>复，在邵鑫华至笔墨公司要求查阅时，笔墨公司表示拒绝查阅。对上述事实，双方当事人均无异议，一审法院予以确认，相关证据亦在卷佐证。</w:t>
      </w:r>
    </w:p>
    <w:p w:rsidR="00000000" w:rsidRDefault="00AB1998">
      <w:pPr>
        <w:spacing w:line="500" w:lineRule="atLeast"/>
        <w:ind w:firstLine="600"/>
        <w:divId w:val="1797410785"/>
        <w:rPr>
          <w:rFonts w:hint="eastAsia"/>
          <w:sz w:val="30"/>
          <w:szCs w:val="30"/>
        </w:rPr>
      </w:pPr>
      <w:r>
        <w:rPr>
          <w:rFonts w:hint="eastAsia"/>
          <w:sz w:val="30"/>
          <w:szCs w:val="30"/>
        </w:rPr>
        <w:t>笔墨公司提交民事起诉状、开庭传票、煜筑公司的工商资料、股权转让协议、软件升级服务合同、节能设计合同、电子邮件等证据，证明邵鑫华与李正荣另行设立煜筑公司从事与笔墨公司有竞争关系的业务，据此认为邵鑫华行使股东知情权具有不正当性。邵鑫华对上述证据的真实性不持异议，但称该案并未审结，是否侵害公司利益不确定，且邵鑫华已经将煜筑公司的股权转让给刘某，并从该公司离职，邵鑫华的诉请中也主动避嫌，不</w:t>
      </w:r>
      <w:r>
        <w:rPr>
          <w:rFonts w:hint="eastAsia"/>
          <w:sz w:val="30"/>
          <w:szCs w:val="30"/>
        </w:rPr>
        <w:t>查阅其任煜筑公司股东期间的相关资料，故对笔墨公司的证明目的不予认可。一审法院对笔墨公司提交的上述证据的真实性、合法性均予以确认，认为即使邵鑫华曾经设立过煜筑公司从事与笔墨公司的同类型的业务，属于竞争关系，但结合邵鑫华提交的股权转让协议以及证人刘某的证人证言，邵鑫华已经转让其持有的煜筑公司的股权，笔墨公司亦未能提交证据证明邵鑫华仍系煜筑公司的实际控制人或与煜筑公司仍有经济往来，故不能据此推断邵鑫华查阅会计账簿有不正当目的。</w:t>
      </w:r>
    </w:p>
    <w:p w:rsidR="00000000" w:rsidRDefault="00AB1998">
      <w:pPr>
        <w:spacing w:line="500" w:lineRule="atLeast"/>
        <w:ind w:firstLine="600"/>
        <w:divId w:val="260143471"/>
        <w:rPr>
          <w:rFonts w:hint="eastAsia"/>
          <w:sz w:val="30"/>
          <w:szCs w:val="30"/>
        </w:rPr>
      </w:pPr>
      <w:r>
        <w:rPr>
          <w:rFonts w:hint="eastAsia"/>
          <w:sz w:val="30"/>
          <w:szCs w:val="30"/>
        </w:rPr>
        <w:t>一审法院认为，有限责任公司股东有权查阅、复制公司章程、股东会会议记录、董事会会议决议、</w:t>
      </w:r>
      <w:r>
        <w:rPr>
          <w:rFonts w:hint="eastAsia"/>
          <w:sz w:val="30"/>
          <w:szCs w:val="30"/>
        </w:rPr>
        <w:t>监事会会议决议和财务会计报告，股东可以要求查阅公司会计账簿。股东要求查阅公司会计账簿的，应当向公司提出书面请求，说明目的。邵鑫华要求笔墨公司提供公司自</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期间内的财务会计报告（包括资产负债表、利润表、现金流量表）供其查阅、复制，提供会计账册（包括总分类账册、多栏式分类账册、银行日记账、现金日记账）以及相应的原始凭证供其查阅。对此，一审法院认为，根据《企业财务会计报告条例》规定，财务会计报告分为年度、半年度、季度和月度财务会计报告，</w:t>
      </w:r>
      <w:r>
        <w:rPr>
          <w:rFonts w:hint="eastAsia"/>
          <w:sz w:val="30"/>
          <w:szCs w:val="30"/>
        </w:rPr>
        <w:t>年度、半年度财务会计报告应当包括：会计报表、会计报表附注、财务情况说明书。会计报表应当包括资产负债表、利润表、现金流量表及相关附表。季度、月度财务会计报告通常仅指会计报表，会计报表至少应当包括资产负债表和利润表。邵鑫华要求查阅、复制的笔墨公司的资产负债表、利润表、现金流量表，属于财务会计报告范畴，故邵鑫华的该项主张，符合法律规定，应予支持。关于笔墨公司的会计账册和相应的原始凭证，根据《中华人民共和国会计法》的规定，会计凭证包括原始凭证和记账凭证；会计账簿登记，必须以经过审核的会计凭证为依据，并符合有关法律、</w:t>
      </w:r>
      <w:r>
        <w:rPr>
          <w:rFonts w:hint="eastAsia"/>
          <w:sz w:val="30"/>
          <w:szCs w:val="30"/>
        </w:rPr>
        <w:t>行政法规和国家统一的会计制度的规定；会计账簿包括总账、明细账、日记账和其他辅助性账簿。原始凭证既是会计账簿形成的基础，又是验证会计账簿对公司财务状况的记录是否完整准确的依据，故邵鑫华要求查阅笔墨公司会计账簿及相应原始凭证的主张，有事实和法律依据，应予支持。</w:t>
      </w:r>
    </w:p>
    <w:p w:rsidR="00000000" w:rsidRDefault="00AB1998">
      <w:pPr>
        <w:spacing w:line="500" w:lineRule="atLeast"/>
        <w:ind w:firstLine="600"/>
        <w:divId w:val="876891661"/>
        <w:rPr>
          <w:rFonts w:hint="eastAsia"/>
          <w:sz w:val="30"/>
          <w:szCs w:val="30"/>
        </w:rPr>
      </w:pPr>
      <w:r>
        <w:rPr>
          <w:rFonts w:hint="eastAsia"/>
          <w:sz w:val="30"/>
          <w:szCs w:val="30"/>
        </w:rPr>
        <w:t>笔墨公司辩称，</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期间，笔墨公司由李正荣、邵鑫华实际经营和管理，故邵鑫华已全面掌握了公司的实际经营和财务状况，无需再行使知情权。对此，一审法院认为，股东知情权是法律赋予股东的法定权利，即使邵鑫华曾经管理过公司，亦不影响其</w:t>
      </w:r>
      <w:r>
        <w:rPr>
          <w:rFonts w:hint="eastAsia"/>
          <w:sz w:val="30"/>
          <w:szCs w:val="30"/>
        </w:rPr>
        <w:t>行使该权利，故对笔墨公司的该项抗辩，应不予采信。</w:t>
      </w:r>
    </w:p>
    <w:p w:rsidR="00000000" w:rsidRDefault="00AB1998">
      <w:pPr>
        <w:spacing w:line="500" w:lineRule="atLeast"/>
        <w:ind w:firstLine="600"/>
        <w:divId w:val="1428303699"/>
        <w:rPr>
          <w:rFonts w:hint="eastAsia"/>
          <w:sz w:val="30"/>
          <w:szCs w:val="30"/>
        </w:rPr>
      </w:pPr>
      <w:r>
        <w:rPr>
          <w:rFonts w:hint="eastAsia"/>
          <w:sz w:val="30"/>
          <w:szCs w:val="30"/>
        </w:rPr>
        <w:t>综上，根据《中华人民共和国公司法》第三十三条，《中华人民共和国民事诉讼法》第六十四条第一款、第一百四十二条之规定，判决：南京笔墨建筑科技有限公司于判决生效之日起五日内，提供该公司自</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日及自</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期间的财务会计报告（包括资产负债表、利润表、现金流量表）供邵鑫华查阅、复制，提供上述期间的会计账簿（包括总分类账册、多栏式分类账册、银行日记账、现金日记账）以及相应的原始凭证供邵鑫华查阅。一审案件受</w:t>
      </w:r>
      <w:r>
        <w:rPr>
          <w:rFonts w:hint="eastAsia"/>
          <w:sz w:val="30"/>
          <w:szCs w:val="30"/>
        </w:rPr>
        <w:t>理费</w:t>
      </w:r>
      <w:r>
        <w:rPr>
          <w:rFonts w:hint="eastAsia"/>
          <w:sz w:val="30"/>
          <w:szCs w:val="30"/>
        </w:rPr>
        <w:t>80</w:t>
      </w:r>
      <w:r>
        <w:rPr>
          <w:rFonts w:hint="eastAsia"/>
          <w:sz w:val="30"/>
          <w:szCs w:val="30"/>
        </w:rPr>
        <w:t>元，减半收取</w:t>
      </w:r>
      <w:r>
        <w:rPr>
          <w:rFonts w:hint="eastAsia"/>
          <w:sz w:val="30"/>
          <w:szCs w:val="30"/>
        </w:rPr>
        <w:t>40</w:t>
      </w:r>
      <w:r>
        <w:rPr>
          <w:rFonts w:hint="eastAsia"/>
          <w:sz w:val="30"/>
          <w:szCs w:val="30"/>
        </w:rPr>
        <w:t>元，由笔墨公司负担。</w:t>
      </w:r>
    </w:p>
    <w:p w:rsidR="00000000" w:rsidRDefault="00AB1998">
      <w:pPr>
        <w:spacing w:line="500" w:lineRule="atLeast"/>
        <w:ind w:firstLine="600"/>
        <w:divId w:val="704328015"/>
        <w:rPr>
          <w:rFonts w:hint="eastAsia"/>
          <w:sz w:val="30"/>
          <w:szCs w:val="30"/>
        </w:rPr>
      </w:pPr>
      <w:r>
        <w:rPr>
          <w:rFonts w:hint="eastAsia"/>
          <w:sz w:val="30"/>
          <w:szCs w:val="30"/>
        </w:rPr>
        <w:t>对一审查明的事实，双方均无异议，本院予以确认。</w:t>
      </w:r>
    </w:p>
    <w:p w:rsidR="00000000" w:rsidRDefault="00AB1998">
      <w:pPr>
        <w:spacing w:line="500" w:lineRule="atLeast"/>
        <w:ind w:firstLine="600"/>
        <w:divId w:val="704520174"/>
        <w:rPr>
          <w:rFonts w:hint="eastAsia"/>
          <w:sz w:val="30"/>
          <w:szCs w:val="30"/>
        </w:rPr>
      </w:pPr>
      <w:r>
        <w:rPr>
          <w:rFonts w:hint="eastAsia"/>
          <w:sz w:val="30"/>
          <w:szCs w:val="30"/>
        </w:rPr>
        <w:t>二审中，笔墨公司提交以下证据：</w:t>
      </w:r>
    </w:p>
    <w:p w:rsidR="00000000" w:rsidRDefault="00AB1998">
      <w:pPr>
        <w:spacing w:line="500" w:lineRule="atLeast"/>
        <w:ind w:firstLine="600"/>
        <w:divId w:val="287511832"/>
        <w:rPr>
          <w:rFonts w:hint="eastAsia"/>
          <w:sz w:val="30"/>
          <w:szCs w:val="30"/>
        </w:rPr>
      </w:pPr>
      <w:r>
        <w:rPr>
          <w:rFonts w:hint="eastAsia"/>
          <w:sz w:val="30"/>
          <w:szCs w:val="30"/>
        </w:rPr>
        <w:t>1.</w:t>
      </w:r>
      <w:r>
        <w:rPr>
          <w:rFonts w:hint="eastAsia"/>
          <w:sz w:val="30"/>
          <w:szCs w:val="30"/>
        </w:rPr>
        <w:t>南京市玄武区人民法院于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日作出的（</w:t>
      </w:r>
      <w:r>
        <w:rPr>
          <w:rFonts w:hint="eastAsia"/>
          <w:sz w:val="30"/>
          <w:szCs w:val="30"/>
        </w:rPr>
        <w:t>2018</w:t>
      </w:r>
      <w:r>
        <w:rPr>
          <w:rFonts w:hint="eastAsia"/>
          <w:sz w:val="30"/>
          <w:szCs w:val="30"/>
        </w:rPr>
        <w:t>）苏</w:t>
      </w:r>
      <w:r>
        <w:rPr>
          <w:rFonts w:hint="eastAsia"/>
          <w:sz w:val="30"/>
          <w:szCs w:val="30"/>
        </w:rPr>
        <w:t>0102</w:t>
      </w:r>
      <w:r>
        <w:rPr>
          <w:rFonts w:hint="eastAsia"/>
          <w:sz w:val="30"/>
          <w:szCs w:val="30"/>
        </w:rPr>
        <w:t>民初</w:t>
      </w:r>
      <w:r>
        <w:rPr>
          <w:rFonts w:hint="eastAsia"/>
          <w:sz w:val="30"/>
          <w:szCs w:val="30"/>
        </w:rPr>
        <w:t>5402</w:t>
      </w:r>
      <w:r>
        <w:rPr>
          <w:rFonts w:hint="eastAsia"/>
          <w:sz w:val="30"/>
          <w:szCs w:val="30"/>
        </w:rPr>
        <w:t>号民事判决书，主要证明邵鑫华、李正荣作为笔墨公司的高级管理人员，存在损害公司利益的行为，违反了公司法规定的忠实义务，其要求行使股东知情权存在不正当目的。</w:t>
      </w:r>
    </w:p>
    <w:p w:rsidR="00000000" w:rsidRDefault="00AB1998">
      <w:pPr>
        <w:spacing w:line="500" w:lineRule="atLeast"/>
        <w:ind w:firstLine="600"/>
        <w:divId w:val="1483690505"/>
        <w:rPr>
          <w:rFonts w:hint="eastAsia"/>
          <w:sz w:val="30"/>
          <w:szCs w:val="30"/>
        </w:rPr>
      </w:pPr>
      <w:r>
        <w:rPr>
          <w:rFonts w:hint="eastAsia"/>
          <w:sz w:val="30"/>
          <w:szCs w:val="30"/>
        </w:rPr>
        <w:t>2.</w:t>
      </w:r>
      <w:r>
        <w:rPr>
          <w:rFonts w:hint="eastAsia"/>
          <w:sz w:val="30"/>
          <w:szCs w:val="30"/>
        </w:rPr>
        <w:t>煜筑公司员工岳园的微信朋友圈截屏，可以看出，煜筑公司和北京绿建软件有限公司（以下简称绿建公司）作为共同协办单位举办了“</w:t>
      </w:r>
      <w:r>
        <w:rPr>
          <w:rFonts w:hint="eastAsia"/>
          <w:sz w:val="30"/>
          <w:szCs w:val="30"/>
        </w:rPr>
        <w:t>2018</w:t>
      </w:r>
      <w:r>
        <w:rPr>
          <w:rFonts w:hint="eastAsia"/>
          <w:sz w:val="30"/>
          <w:szCs w:val="30"/>
        </w:rPr>
        <w:t>建筑创作专委会</w:t>
      </w:r>
      <w:r>
        <w:rPr>
          <w:rFonts w:hint="eastAsia"/>
          <w:sz w:val="30"/>
          <w:szCs w:val="30"/>
        </w:rPr>
        <w:t>（建筑师学会）学术年会”，年会与绿建公司的主营业务有关，而一审中邵鑫华及其证人出庭时向法庭说明，煜筑公司已经不再从事与绿建公司有关的业务，只是从事原有的建筑方面的一些业务。该份证据可以证明，邵鑫华通过煜筑公司和笔墨公司进行同业竞争的行为持续性的存在，在其没有停止损害行为时，要求行使股东知情权将会严重损害笔墨公司的合法利益。</w:t>
      </w:r>
    </w:p>
    <w:p w:rsidR="00000000" w:rsidRDefault="00AB1998">
      <w:pPr>
        <w:spacing w:line="500" w:lineRule="atLeast"/>
        <w:ind w:firstLine="600"/>
        <w:divId w:val="1183780499"/>
        <w:rPr>
          <w:rFonts w:hint="eastAsia"/>
          <w:sz w:val="30"/>
          <w:szCs w:val="30"/>
        </w:rPr>
      </w:pPr>
      <w:r>
        <w:rPr>
          <w:rFonts w:hint="eastAsia"/>
          <w:sz w:val="30"/>
          <w:szCs w:val="30"/>
        </w:rPr>
        <w:t>邵鑫华质证意见：</w:t>
      </w:r>
      <w:r>
        <w:rPr>
          <w:rFonts w:hint="eastAsia"/>
          <w:sz w:val="30"/>
          <w:szCs w:val="30"/>
        </w:rPr>
        <w:t>1.</w:t>
      </w:r>
      <w:r>
        <w:rPr>
          <w:rFonts w:hint="eastAsia"/>
          <w:sz w:val="30"/>
          <w:szCs w:val="30"/>
        </w:rPr>
        <w:t>对民事判决书真实性、合法性无异议，但该判决书与本案没有关联性。该判决书认定李正荣、邵鑫华在</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日前违反了对笔墨公司的忠实义务，但本案中邵鑫华主张行使股东</w:t>
      </w:r>
      <w:r>
        <w:rPr>
          <w:rFonts w:hint="eastAsia"/>
          <w:sz w:val="30"/>
          <w:szCs w:val="30"/>
        </w:rPr>
        <w:t>知情权是在该时间节点之后。</w:t>
      </w:r>
      <w:r>
        <w:rPr>
          <w:rFonts w:hint="eastAsia"/>
          <w:sz w:val="30"/>
          <w:szCs w:val="30"/>
        </w:rPr>
        <w:t>2.</w:t>
      </w:r>
      <w:r>
        <w:rPr>
          <w:rFonts w:hint="eastAsia"/>
          <w:sz w:val="30"/>
          <w:szCs w:val="30"/>
        </w:rPr>
        <w:t>对于微信截图的真实性、合法性和关联性均无法确认。微信不是实名制，所以无法确认微信与岳园之间的关系。从微信朋友圈内容来看，无法看出煜筑公司从事与笔墨公司存在直接商业竞争关系的业务。李正荣、邵鑫华参加年会是被绿建公司邀请去的，因为李正荣、邵鑫华离开笔墨公司之前，笔墨公司主要销售业务和技术方面由李正荣和邵鑫华负责，在两人离职之后，绿建公司仍然邀请两人作为技术人员作为其代表出席相应的会议。</w:t>
      </w:r>
    </w:p>
    <w:p w:rsidR="00000000" w:rsidRDefault="00AB1998">
      <w:pPr>
        <w:spacing w:line="500" w:lineRule="atLeast"/>
        <w:ind w:firstLine="600"/>
        <w:divId w:val="981273238"/>
        <w:rPr>
          <w:rFonts w:hint="eastAsia"/>
          <w:sz w:val="30"/>
          <w:szCs w:val="30"/>
        </w:rPr>
      </w:pPr>
      <w:r>
        <w:rPr>
          <w:rFonts w:hint="eastAsia"/>
          <w:sz w:val="30"/>
          <w:szCs w:val="30"/>
        </w:rPr>
        <w:t>本院认证意见：笔墨公司提交的民事判决书真实性双方无异议，本院对此予以确认；关于煜筑公司员工岳园的</w:t>
      </w:r>
      <w:r>
        <w:rPr>
          <w:rFonts w:hint="eastAsia"/>
          <w:sz w:val="30"/>
          <w:szCs w:val="30"/>
        </w:rPr>
        <w:t>微信朋友圈截屏，虽可以看出邵鑫华参加相关专业学术年会，但不足以证明邵鑫华系代表煜筑公司参会，故其证明效力不予确认。</w:t>
      </w:r>
    </w:p>
    <w:p w:rsidR="00000000" w:rsidRDefault="00AB1998">
      <w:pPr>
        <w:spacing w:line="500" w:lineRule="atLeast"/>
        <w:ind w:firstLine="600"/>
        <w:divId w:val="422773237"/>
        <w:rPr>
          <w:rFonts w:hint="eastAsia"/>
          <w:sz w:val="30"/>
          <w:szCs w:val="30"/>
        </w:rPr>
      </w:pPr>
      <w:r>
        <w:rPr>
          <w:rFonts w:hint="eastAsia"/>
          <w:sz w:val="30"/>
          <w:szCs w:val="30"/>
        </w:rPr>
        <w:t>本院二审另查明：</w:t>
      </w:r>
    </w:p>
    <w:p w:rsidR="00000000" w:rsidRDefault="00AB1998">
      <w:pPr>
        <w:spacing w:line="500" w:lineRule="atLeast"/>
        <w:ind w:firstLine="600"/>
        <w:divId w:val="292560012"/>
        <w:rPr>
          <w:rFonts w:hint="eastAsia"/>
          <w:sz w:val="30"/>
          <w:szCs w:val="30"/>
        </w:rPr>
      </w:pPr>
      <w:r>
        <w:rPr>
          <w:rFonts w:hint="eastAsia"/>
          <w:sz w:val="30"/>
          <w:szCs w:val="30"/>
        </w:rPr>
        <w:t>邵鑫华一审中陈述：其要求查阅公司账簿的目的是了解公司经营现状。邵鑫华二审中明确，其可以在笔墨公司住所地查阅、复制相应材料，需要</w:t>
      </w:r>
      <w:r>
        <w:rPr>
          <w:rFonts w:hint="eastAsia"/>
          <w:sz w:val="30"/>
          <w:szCs w:val="30"/>
        </w:rPr>
        <w:t>5</w:t>
      </w:r>
      <w:r>
        <w:rPr>
          <w:rFonts w:hint="eastAsia"/>
          <w:sz w:val="30"/>
          <w:szCs w:val="30"/>
        </w:rPr>
        <w:t>个工作日的时间。</w:t>
      </w:r>
    </w:p>
    <w:p w:rsidR="00000000" w:rsidRDefault="00AB1998">
      <w:pPr>
        <w:spacing w:line="500" w:lineRule="atLeast"/>
        <w:ind w:firstLine="600"/>
        <w:divId w:val="753821297"/>
        <w:rPr>
          <w:rFonts w:hint="eastAsia"/>
          <w:sz w:val="30"/>
          <w:szCs w:val="30"/>
        </w:rPr>
      </w:pP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日，煜筑公司经核准成立，股东为邵鑫华、张普霞、李正荣，李正荣任执行董事、法定代表人，邵鑫华任监事。</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日，李正荣、邵鑫华向笔墨公司提出辞职，并填写了交接清单。</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日，邵鑫华、李正荣分别与刘某签订股权转让协议，将两人在煜筑公司的股权全部转让给刘某，并在工商部门予以登记备案。后刘某任煜筑公司监事，张普霞任煜筑公司执行董事。</w:t>
      </w:r>
    </w:p>
    <w:p w:rsidR="00000000" w:rsidRDefault="00AB1998">
      <w:pPr>
        <w:spacing w:line="500" w:lineRule="atLeast"/>
        <w:ind w:firstLine="600"/>
        <w:divId w:val="740372592"/>
        <w:rPr>
          <w:rFonts w:hint="eastAsia"/>
          <w:sz w:val="30"/>
          <w:szCs w:val="30"/>
        </w:rPr>
      </w:pP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日，笔墨公司向南京市玄武区人民起诉李正荣、邵鑫华，要求判令确认两人违反忠实义务，并赔偿经济损失</w:t>
      </w:r>
      <w:r>
        <w:rPr>
          <w:rFonts w:hint="eastAsia"/>
          <w:sz w:val="30"/>
          <w:szCs w:val="30"/>
        </w:rPr>
        <w:t>100</w:t>
      </w:r>
      <w:r>
        <w:rPr>
          <w:rFonts w:hint="eastAsia"/>
          <w:sz w:val="30"/>
          <w:szCs w:val="30"/>
        </w:rPr>
        <w:t>万元，向笔墨公司交付</w:t>
      </w:r>
      <w:r>
        <w:rPr>
          <w:rFonts w:hint="eastAsia"/>
          <w:sz w:val="30"/>
          <w:szCs w:val="30"/>
        </w:rPr>
        <w:t>2016</w:t>
      </w:r>
      <w:r>
        <w:rPr>
          <w:rFonts w:hint="eastAsia"/>
          <w:sz w:val="30"/>
          <w:szCs w:val="30"/>
        </w:rPr>
        <w:t>年至</w:t>
      </w:r>
      <w:r>
        <w:rPr>
          <w:rFonts w:hint="eastAsia"/>
          <w:sz w:val="30"/>
          <w:szCs w:val="30"/>
        </w:rPr>
        <w:t>2017</w:t>
      </w:r>
      <w:r>
        <w:rPr>
          <w:rFonts w:hint="eastAsia"/>
          <w:sz w:val="30"/>
          <w:szCs w:val="30"/>
        </w:rPr>
        <w:t>年的软件订货信息、客户软件的加密锁号、客户发货信息等。该院于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日作出（</w:t>
      </w:r>
      <w:r>
        <w:rPr>
          <w:rFonts w:hint="eastAsia"/>
          <w:sz w:val="30"/>
          <w:szCs w:val="30"/>
        </w:rPr>
        <w:t>2018</w:t>
      </w:r>
      <w:r>
        <w:rPr>
          <w:rFonts w:hint="eastAsia"/>
          <w:sz w:val="30"/>
          <w:szCs w:val="30"/>
        </w:rPr>
        <w:t>）苏</w:t>
      </w:r>
      <w:r>
        <w:rPr>
          <w:rFonts w:hint="eastAsia"/>
          <w:sz w:val="30"/>
          <w:szCs w:val="30"/>
        </w:rPr>
        <w:t>0102</w:t>
      </w:r>
      <w:r>
        <w:rPr>
          <w:rFonts w:hint="eastAsia"/>
          <w:sz w:val="30"/>
          <w:szCs w:val="30"/>
        </w:rPr>
        <w:t>民初</w:t>
      </w:r>
      <w:r>
        <w:rPr>
          <w:rFonts w:hint="eastAsia"/>
          <w:sz w:val="30"/>
          <w:szCs w:val="30"/>
        </w:rPr>
        <w:t>5402</w:t>
      </w:r>
      <w:r>
        <w:rPr>
          <w:rFonts w:hint="eastAsia"/>
          <w:sz w:val="30"/>
          <w:szCs w:val="30"/>
        </w:rPr>
        <w:t>号民事判决。该判决认为：邵鑫华系笔墨公司监事，其作为煜筑公司的发起人，同时担任煜筑公司监事，实际参与煜筑公司经营，而又无证据证明获得笔墨公司股东会的同意，应认定其在任职期间违反了公司法关于监事应负的忠实义务。该判决还认定：“首先，邵鑫华系笔墨公司监事，不属于原告行使归入权的主体范围；其次，原告提供的证据虽然可以证明两被告为煜筑公司与浩建设计公司及城建校设计院签订了总金额为</w:t>
      </w:r>
      <w:r>
        <w:rPr>
          <w:rFonts w:hint="eastAsia"/>
          <w:sz w:val="30"/>
          <w:szCs w:val="30"/>
        </w:rPr>
        <w:t>700</w:t>
      </w:r>
      <w:r>
        <w:rPr>
          <w:rFonts w:hint="eastAsia"/>
          <w:sz w:val="30"/>
          <w:szCs w:val="30"/>
        </w:rPr>
        <w:t>00</w:t>
      </w:r>
      <w:r>
        <w:rPr>
          <w:rFonts w:hint="eastAsia"/>
          <w:sz w:val="30"/>
          <w:szCs w:val="30"/>
        </w:rPr>
        <w:t>元的合同，但签订合同时两被告已经从笔墨公司离职，不再担任笔墨公司监事及高级管理人员，故即使两被告因两份合同获利，原告也无权再要求两被告将所得收入归于笔墨公司。对于超出</w:t>
      </w:r>
      <w:r>
        <w:rPr>
          <w:rFonts w:hint="eastAsia"/>
          <w:sz w:val="30"/>
          <w:szCs w:val="30"/>
        </w:rPr>
        <w:t>70000</w:t>
      </w:r>
      <w:r>
        <w:rPr>
          <w:rFonts w:hint="eastAsia"/>
          <w:sz w:val="30"/>
          <w:szCs w:val="30"/>
        </w:rPr>
        <w:t>元的部分，原告未提交证据证明损失的存在更未举证证明损失超过行使归入权的收入、损失产生于两被告任职期间，因此对笔墨公司要求李正荣、邵鑫华赔偿损失的诉请不予支持。”“笔墨公司</w:t>
      </w:r>
      <w:r>
        <w:rPr>
          <w:rFonts w:hint="eastAsia"/>
          <w:sz w:val="30"/>
          <w:szCs w:val="30"/>
        </w:rPr>
        <w:t>2016</w:t>
      </w:r>
      <w:r>
        <w:rPr>
          <w:rFonts w:hint="eastAsia"/>
          <w:sz w:val="30"/>
          <w:szCs w:val="30"/>
        </w:rPr>
        <w:t>年至</w:t>
      </w:r>
      <w:r>
        <w:rPr>
          <w:rFonts w:hint="eastAsia"/>
          <w:sz w:val="30"/>
          <w:szCs w:val="30"/>
        </w:rPr>
        <w:t>2017</w:t>
      </w:r>
      <w:r>
        <w:rPr>
          <w:rFonts w:hint="eastAsia"/>
          <w:sz w:val="30"/>
          <w:szCs w:val="30"/>
        </w:rPr>
        <w:t>年的软件订货信息、所有客户软件的加密锁号、所有客户的发货信息属于笔墨公司，董事、监事及高级管理人员不得侵占，故原告有权起诉要求两被告返还。但原</w:t>
      </w:r>
      <w:r>
        <w:rPr>
          <w:rFonts w:hint="eastAsia"/>
          <w:sz w:val="30"/>
          <w:szCs w:val="30"/>
        </w:rPr>
        <w:t>告所列客户多达</w:t>
      </w:r>
      <w:r>
        <w:rPr>
          <w:rFonts w:hint="eastAsia"/>
          <w:sz w:val="30"/>
          <w:szCs w:val="30"/>
        </w:rPr>
        <w:t>141</w:t>
      </w:r>
      <w:r>
        <w:rPr>
          <w:rFonts w:hint="eastAsia"/>
          <w:sz w:val="30"/>
          <w:szCs w:val="30"/>
        </w:rPr>
        <w:t>户，即使两被告系其中部分合同的经办人，仍然不能免除原告对于以上客户的物品、信息由两被告保管的证明责任。因原告未举证证明以上客户的物品、信息由两被告保管，故本院对于原告的该项诉请不予支持。”据此，该案判决：一、确认李正荣、邵鑫华在</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日前违反了对笔墨公司的忠实义务；二、驳回笔墨公司的其他诉讼请求。目前，该判决已经生效。</w:t>
      </w:r>
    </w:p>
    <w:p w:rsidR="00000000" w:rsidRDefault="00AB1998">
      <w:pPr>
        <w:spacing w:line="500" w:lineRule="atLeast"/>
        <w:ind w:firstLine="600"/>
        <w:divId w:val="1187526819"/>
        <w:rPr>
          <w:rFonts w:hint="eastAsia"/>
          <w:sz w:val="30"/>
          <w:szCs w:val="30"/>
        </w:rPr>
      </w:pPr>
      <w:r>
        <w:rPr>
          <w:rFonts w:hint="eastAsia"/>
          <w:sz w:val="30"/>
          <w:szCs w:val="30"/>
        </w:rPr>
        <w:t>上述事实，有当事人陈述、工商登记资料、股权转让协议、（</w:t>
      </w:r>
      <w:r>
        <w:rPr>
          <w:rFonts w:hint="eastAsia"/>
          <w:sz w:val="30"/>
          <w:szCs w:val="30"/>
        </w:rPr>
        <w:t>2018</w:t>
      </w:r>
      <w:r>
        <w:rPr>
          <w:rFonts w:hint="eastAsia"/>
          <w:sz w:val="30"/>
          <w:szCs w:val="30"/>
        </w:rPr>
        <w:t>）苏</w:t>
      </w:r>
      <w:r>
        <w:rPr>
          <w:rFonts w:hint="eastAsia"/>
          <w:sz w:val="30"/>
          <w:szCs w:val="30"/>
        </w:rPr>
        <w:t>0102</w:t>
      </w:r>
      <w:r>
        <w:rPr>
          <w:rFonts w:hint="eastAsia"/>
          <w:sz w:val="30"/>
          <w:szCs w:val="30"/>
        </w:rPr>
        <w:t>民初</w:t>
      </w:r>
      <w:r>
        <w:rPr>
          <w:rFonts w:hint="eastAsia"/>
          <w:sz w:val="30"/>
          <w:szCs w:val="30"/>
        </w:rPr>
        <w:t>5402</w:t>
      </w:r>
      <w:r>
        <w:rPr>
          <w:rFonts w:hint="eastAsia"/>
          <w:sz w:val="30"/>
          <w:szCs w:val="30"/>
        </w:rPr>
        <w:t>号民事判决书在卷为凭。</w:t>
      </w:r>
    </w:p>
    <w:p w:rsidR="00000000" w:rsidRDefault="00AB1998">
      <w:pPr>
        <w:spacing w:line="500" w:lineRule="atLeast"/>
        <w:ind w:firstLine="600"/>
        <w:divId w:val="1626616439"/>
        <w:rPr>
          <w:rFonts w:hint="eastAsia"/>
          <w:sz w:val="30"/>
          <w:szCs w:val="30"/>
        </w:rPr>
      </w:pPr>
      <w:r>
        <w:rPr>
          <w:rFonts w:hint="eastAsia"/>
          <w:sz w:val="30"/>
          <w:szCs w:val="30"/>
        </w:rPr>
        <w:t>经双方当事人确认，本案二审争议焦点为：邵鑫华要求</w:t>
      </w:r>
      <w:r>
        <w:rPr>
          <w:rFonts w:hint="eastAsia"/>
          <w:sz w:val="30"/>
          <w:szCs w:val="30"/>
        </w:rPr>
        <w:t>查阅笔墨公司的会计账簿及原始凭证的目的是否正当。</w:t>
      </w:r>
    </w:p>
    <w:p w:rsidR="00000000" w:rsidRDefault="00AB1998">
      <w:pPr>
        <w:spacing w:line="500" w:lineRule="atLeast"/>
        <w:ind w:firstLine="600"/>
        <w:divId w:val="179198036"/>
        <w:rPr>
          <w:rFonts w:hint="eastAsia"/>
          <w:sz w:val="30"/>
          <w:szCs w:val="30"/>
        </w:rPr>
      </w:pPr>
      <w:r>
        <w:rPr>
          <w:rFonts w:hint="eastAsia"/>
          <w:sz w:val="30"/>
          <w:szCs w:val="30"/>
        </w:rPr>
        <w:t>本院认为，公司法第三十三条第二款规定：“股东可以要求查阅公司会计账簿。股东要求查阅公司会计账簿的，应当向公司提出书面请求，说明目的。公司有合理根据认为股东查阅会计账簿有不正当目的，可能损害公司合法利益的，可以拒绝提供查阅，并应当自股东提出书面请求之日起十五日内书面答复股东并说明理由。公司拒绝提供查阅的，股东可以请求人民法院要求公司提供查阅。”《最高人民法院关于适用〈中华人民共和国公司法〉若干问题的规定（四）》第八条规定：“有限责任公司有证据证明股东存在下列情</w:t>
      </w:r>
      <w:r>
        <w:rPr>
          <w:rFonts w:hint="eastAsia"/>
          <w:sz w:val="30"/>
          <w:szCs w:val="30"/>
        </w:rPr>
        <w:t>形之一的，人民法院应当认定股东有公司法第三十三条第二款规定的“不正当目的”：</w:t>
      </w:r>
      <w:r>
        <w:rPr>
          <w:rFonts w:hint="eastAsia"/>
          <w:sz w:val="30"/>
          <w:szCs w:val="30"/>
        </w:rPr>
        <w:t>(</w:t>
      </w:r>
      <w:r>
        <w:rPr>
          <w:rFonts w:hint="eastAsia"/>
          <w:sz w:val="30"/>
          <w:szCs w:val="30"/>
        </w:rPr>
        <w:t>一</w:t>
      </w:r>
      <w:r>
        <w:rPr>
          <w:rFonts w:hint="eastAsia"/>
          <w:sz w:val="30"/>
          <w:szCs w:val="30"/>
        </w:rPr>
        <w:t>)</w:t>
      </w:r>
      <w:r>
        <w:rPr>
          <w:rFonts w:hint="eastAsia"/>
          <w:sz w:val="30"/>
          <w:szCs w:val="30"/>
        </w:rPr>
        <w:t>股东自营或者为他人经营与公司主营业务有实质性竞争关系业务的，但公司章程另有规定或者全体股东另有约定的除外；</w:t>
      </w:r>
      <w:r>
        <w:rPr>
          <w:rFonts w:hint="eastAsia"/>
          <w:sz w:val="30"/>
          <w:szCs w:val="30"/>
        </w:rPr>
        <w:t>(</w:t>
      </w:r>
      <w:r>
        <w:rPr>
          <w:rFonts w:hint="eastAsia"/>
          <w:sz w:val="30"/>
          <w:szCs w:val="30"/>
        </w:rPr>
        <w:t>二</w:t>
      </w:r>
      <w:r>
        <w:rPr>
          <w:rFonts w:hint="eastAsia"/>
          <w:sz w:val="30"/>
          <w:szCs w:val="30"/>
        </w:rPr>
        <w:t>)</w:t>
      </w:r>
      <w:r>
        <w:rPr>
          <w:rFonts w:hint="eastAsia"/>
          <w:sz w:val="30"/>
          <w:szCs w:val="30"/>
        </w:rPr>
        <w:t>股东为了向他人通报有关信息查阅公司会计账簿，可能损害公司合法利益的；</w:t>
      </w:r>
      <w:r>
        <w:rPr>
          <w:rFonts w:hint="eastAsia"/>
          <w:sz w:val="30"/>
          <w:szCs w:val="30"/>
        </w:rPr>
        <w:t>(</w:t>
      </w:r>
      <w:r>
        <w:rPr>
          <w:rFonts w:hint="eastAsia"/>
          <w:sz w:val="30"/>
          <w:szCs w:val="30"/>
        </w:rPr>
        <w:t>三</w:t>
      </w:r>
      <w:r>
        <w:rPr>
          <w:rFonts w:hint="eastAsia"/>
          <w:sz w:val="30"/>
          <w:szCs w:val="30"/>
        </w:rPr>
        <w:t>)</w:t>
      </w:r>
      <w:r>
        <w:rPr>
          <w:rFonts w:hint="eastAsia"/>
          <w:sz w:val="30"/>
          <w:szCs w:val="30"/>
        </w:rPr>
        <w:t>股东在向公司提出查阅请求之日前的三年内，曾通过查阅公司会计账簿，向他人通报有关信息损害公司合法利益的；</w:t>
      </w:r>
      <w:r>
        <w:rPr>
          <w:rFonts w:hint="eastAsia"/>
          <w:sz w:val="30"/>
          <w:szCs w:val="30"/>
        </w:rPr>
        <w:t>(</w:t>
      </w:r>
      <w:r>
        <w:rPr>
          <w:rFonts w:hint="eastAsia"/>
          <w:sz w:val="30"/>
          <w:szCs w:val="30"/>
        </w:rPr>
        <w:t>四</w:t>
      </w:r>
      <w:r>
        <w:rPr>
          <w:rFonts w:hint="eastAsia"/>
          <w:sz w:val="30"/>
          <w:szCs w:val="30"/>
        </w:rPr>
        <w:t>)</w:t>
      </w:r>
      <w:r>
        <w:rPr>
          <w:rFonts w:hint="eastAsia"/>
          <w:sz w:val="30"/>
          <w:szCs w:val="30"/>
        </w:rPr>
        <w:t>股东有不正当目的的其他情形。”据此，股东知情权的行使兼顾股东及公司利益的保护，这种利益衡平应通过举证责任的分配来实现，即对正当性目的的举</w:t>
      </w:r>
      <w:r>
        <w:rPr>
          <w:rFonts w:hint="eastAsia"/>
          <w:sz w:val="30"/>
          <w:szCs w:val="30"/>
        </w:rPr>
        <w:t>证由股东完成，对不正当性的举证则由公司完成。本案中，邵鑫华向笔墨公司提出书面请求，要求行使股东知情权，且其在本案一审中明确其行使知情权的目的是“了解公司经营现状”，该目的显然具有正当性。笔墨公司以邵鑫华具有不正当目的为由拒绝其查阅会计账簿及原始凭证，则应对邵鑫华具有不正当目的并可能损害其合法利益承担举证责任。笔墨公司在本案中主张邵鑫华符合上述司法解释第八条中“自营或者为他人经营与公司主营业务有实质性竞争关系业务的”的情形，应当对此承担举证责任。据本案查明的事实，煜筑公司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日设立，邵鑫华于</w:t>
      </w:r>
      <w:r>
        <w:rPr>
          <w:rFonts w:hint="eastAsia"/>
          <w:sz w:val="30"/>
          <w:szCs w:val="30"/>
        </w:rPr>
        <w:t>20</w:t>
      </w:r>
      <w:r>
        <w:rPr>
          <w:rFonts w:hint="eastAsia"/>
          <w:sz w:val="30"/>
          <w:szCs w:val="30"/>
        </w:rPr>
        <w:t>18</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日离职，后邵鑫华于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日将其持有的煜筑公司股权转让给他人，现邵鑫华主张查阅</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日及</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期间的会计账簿、原始凭证，上述时间段已经避开邵鑫华持有煜筑公司股权期间。邵鑫华为证明其不再持有煜筑公司股权，提交了股权转让协议、受让人刘某的证人证言等。上述证据足以证实邵鑫华已不再持有煜筑公司股权。笔墨公司称邵鑫华系与刘某恶意串通、虚假转让，邵鑫华仍实际持有煜筑公司股权，并未提交充分证据予以证实。其仅以受让人刘某系刚毕业的大学</w:t>
      </w:r>
      <w:r>
        <w:rPr>
          <w:rFonts w:hint="eastAsia"/>
          <w:sz w:val="30"/>
          <w:szCs w:val="30"/>
        </w:rPr>
        <w:t>生、专业不对口等否认上述股权转让事实，缺乏相应依据。关于邵鑫华作为笔墨公司监事是否损害了笔墨公司的利益，另案已作评价，本案中不再理涉。况且，监事损害公司利益纠纷与股东行使知情权纠纷两类案件的法律规定、构成要件、认定标准并不一致，即使邵鑫华存在损害公司利益的行为，亦不当然符合上述司法解释规定的“不正当目的”情形，故不能简单以此为由否定其依据股东身份行使知情权。另外，上述司法解释第十一条第一款规定：“股东行使知情权后泄露公司商业秘密导致公司合法利益受到损害，公司请求该股东赔偿相关损失的，人民法院应当予以支持。”</w:t>
      </w:r>
      <w:r>
        <w:rPr>
          <w:rFonts w:hint="eastAsia"/>
          <w:sz w:val="30"/>
          <w:szCs w:val="30"/>
        </w:rPr>
        <w:t>故如邵鑫华行使知情权后泄露笔墨公司商业秘密，导致该公司合法利益受损的，该公司可依法请求邵鑫华赔偿相关损失。</w:t>
      </w:r>
    </w:p>
    <w:p w:rsidR="00000000" w:rsidRDefault="00AB1998">
      <w:pPr>
        <w:spacing w:line="500" w:lineRule="atLeast"/>
        <w:ind w:firstLine="600"/>
        <w:divId w:val="777916690"/>
        <w:rPr>
          <w:rFonts w:hint="eastAsia"/>
          <w:sz w:val="30"/>
          <w:szCs w:val="30"/>
        </w:rPr>
      </w:pPr>
      <w:r>
        <w:rPr>
          <w:rFonts w:hint="eastAsia"/>
          <w:sz w:val="30"/>
          <w:szCs w:val="30"/>
        </w:rPr>
        <w:t>综上所述，笔墨公司的上诉请求不能成立，应予驳回；一审认定事实清楚，适用法律正确，因邵鑫华同意撤回关于查阅现金流量表的诉讼主张，故对一审判决内容予以调整。据此，依照《中华人民共和国公司法》第三十三条、《最高人民法院关于适用〈中华人民共和国公司法〉若干问题的规定（四）》第八条、第十条第一款，《中华人民共和国民事诉讼法》第一百七十条第一款第二项规定，判决如下：</w:t>
      </w:r>
    </w:p>
    <w:p w:rsidR="00000000" w:rsidRDefault="00AB1998">
      <w:pPr>
        <w:spacing w:line="500" w:lineRule="atLeast"/>
        <w:ind w:firstLine="600"/>
        <w:divId w:val="1722555696"/>
        <w:rPr>
          <w:rFonts w:hint="eastAsia"/>
          <w:sz w:val="30"/>
          <w:szCs w:val="30"/>
        </w:rPr>
      </w:pPr>
      <w:r>
        <w:rPr>
          <w:rFonts w:hint="eastAsia"/>
          <w:sz w:val="30"/>
          <w:szCs w:val="30"/>
        </w:rPr>
        <w:t>一、撤销江苏省南京市雨花台区人民法院（</w:t>
      </w:r>
      <w:r>
        <w:rPr>
          <w:rFonts w:hint="eastAsia"/>
          <w:sz w:val="30"/>
          <w:szCs w:val="30"/>
        </w:rPr>
        <w:t>2018</w:t>
      </w:r>
      <w:r>
        <w:rPr>
          <w:rFonts w:hint="eastAsia"/>
          <w:sz w:val="30"/>
          <w:szCs w:val="30"/>
        </w:rPr>
        <w:t>）苏</w:t>
      </w:r>
      <w:r>
        <w:rPr>
          <w:rFonts w:hint="eastAsia"/>
          <w:sz w:val="30"/>
          <w:szCs w:val="30"/>
        </w:rPr>
        <w:t>0114</w:t>
      </w:r>
      <w:r>
        <w:rPr>
          <w:rFonts w:hint="eastAsia"/>
          <w:sz w:val="30"/>
          <w:szCs w:val="30"/>
        </w:rPr>
        <w:t>民初</w:t>
      </w:r>
      <w:r>
        <w:rPr>
          <w:rFonts w:hint="eastAsia"/>
          <w:sz w:val="30"/>
          <w:szCs w:val="30"/>
        </w:rPr>
        <w:t>4053</w:t>
      </w:r>
      <w:r>
        <w:rPr>
          <w:rFonts w:hint="eastAsia"/>
          <w:sz w:val="30"/>
          <w:szCs w:val="30"/>
        </w:rPr>
        <w:t>号民事判决；</w:t>
      </w:r>
    </w:p>
    <w:p w:rsidR="00000000" w:rsidRDefault="00AB1998">
      <w:pPr>
        <w:spacing w:line="500" w:lineRule="atLeast"/>
        <w:ind w:firstLine="600"/>
        <w:divId w:val="1536576292"/>
        <w:rPr>
          <w:rFonts w:hint="eastAsia"/>
          <w:sz w:val="30"/>
          <w:szCs w:val="30"/>
        </w:rPr>
      </w:pPr>
      <w:r>
        <w:rPr>
          <w:rFonts w:hint="eastAsia"/>
          <w:sz w:val="30"/>
          <w:szCs w:val="30"/>
        </w:rPr>
        <w:t>二、南京笔墨建筑科技有限公司于本判决生效之日起十日内在其经营时间、经营地点，提供该公司自</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日及自</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日期间的资产负债表、利润表供邵鑫华查阅、复制，提供上述期间的会计账簿（包括总分类账册、多栏式分类账册、银行日记账、现金日记账）以及相应的原始凭证供邵鑫华查阅；查阅或复制的时间不超过</w:t>
      </w:r>
      <w:r>
        <w:rPr>
          <w:rFonts w:hint="eastAsia"/>
          <w:sz w:val="30"/>
          <w:szCs w:val="30"/>
        </w:rPr>
        <w:t>5</w:t>
      </w:r>
      <w:r>
        <w:rPr>
          <w:rFonts w:hint="eastAsia"/>
          <w:sz w:val="30"/>
          <w:szCs w:val="30"/>
        </w:rPr>
        <w:t>个工作日；</w:t>
      </w:r>
    </w:p>
    <w:p w:rsidR="00000000" w:rsidRDefault="00AB1998">
      <w:pPr>
        <w:spacing w:line="500" w:lineRule="atLeast"/>
        <w:ind w:firstLine="600"/>
        <w:divId w:val="1121920716"/>
        <w:rPr>
          <w:rFonts w:hint="eastAsia"/>
          <w:sz w:val="30"/>
          <w:szCs w:val="30"/>
        </w:rPr>
      </w:pPr>
      <w:r>
        <w:rPr>
          <w:rFonts w:hint="eastAsia"/>
          <w:sz w:val="30"/>
          <w:szCs w:val="30"/>
        </w:rPr>
        <w:t>三、驳回邵鑫华其他诉讼请求。</w:t>
      </w:r>
    </w:p>
    <w:p w:rsidR="00000000" w:rsidRDefault="00AB1998">
      <w:pPr>
        <w:spacing w:line="500" w:lineRule="atLeast"/>
        <w:ind w:firstLine="600"/>
        <w:divId w:val="1819567732"/>
        <w:rPr>
          <w:rFonts w:hint="eastAsia"/>
          <w:sz w:val="30"/>
          <w:szCs w:val="30"/>
        </w:rPr>
      </w:pPr>
      <w:r>
        <w:rPr>
          <w:rFonts w:hint="eastAsia"/>
          <w:sz w:val="30"/>
          <w:szCs w:val="30"/>
        </w:rPr>
        <w:t>一审案件受理费</w:t>
      </w:r>
      <w:r>
        <w:rPr>
          <w:rFonts w:hint="eastAsia"/>
          <w:sz w:val="30"/>
          <w:szCs w:val="30"/>
        </w:rPr>
        <w:t>80</w:t>
      </w:r>
      <w:r>
        <w:rPr>
          <w:rFonts w:hint="eastAsia"/>
          <w:sz w:val="30"/>
          <w:szCs w:val="30"/>
        </w:rPr>
        <w:t>元，减半收取</w:t>
      </w:r>
      <w:r>
        <w:rPr>
          <w:rFonts w:hint="eastAsia"/>
          <w:sz w:val="30"/>
          <w:szCs w:val="30"/>
        </w:rPr>
        <w:t>40</w:t>
      </w:r>
      <w:r>
        <w:rPr>
          <w:rFonts w:hint="eastAsia"/>
          <w:sz w:val="30"/>
          <w:szCs w:val="30"/>
        </w:rPr>
        <w:t>元，二审案件受理费</w:t>
      </w:r>
      <w:r>
        <w:rPr>
          <w:rFonts w:hint="eastAsia"/>
          <w:sz w:val="30"/>
          <w:szCs w:val="30"/>
        </w:rPr>
        <w:t>80</w:t>
      </w:r>
      <w:r>
        <w:rPr>
          <w:rFonts w:hint="eastAsia"/>
          <w:sz w:val="30"/>
          <w:szCs w:val="30"/>
        </w:rPr>
        <w:t>元，均由笔墨公司负担。</w:t>
      </w:r>
    </w:p>
    <w:p w:rsidR="00000000" w:rsidRDefault="00AB1998">
      <w:pPr>
        <w:spacing w:line="500" w:lineRule="atLeast"/>
        <w:ind w:firstLine="600"/>
        <w:divId w:val="154877922"/>
        <w:rPr>
          <w:rFonts w:hint="eastAsia"/>
          <w:sz w:val="30"/>
          <w:szCs w:val="30"/>
        </w:rPr>
      </w:pPr>
      <w:r>
        <w:rPr>
          <w:rFonts w:hint="eastAsia"/>
          <w:sz w:val="30"/>
          <w:szCs w:val="30"/>
        </w:rPr>
        <w:t>本判决为终审判决。</w:t>
      </w:r>
    </w:p>
    <w:p w:rsidR="00000000" w:rsidRDefault="00AB1998">
      <w:pPr>
        <w:spacing w:line="500" w:lineRule="atLeast"/>
        <w:jc w:val="right"/>
        <w:divId w:val="1664820263"/>
        <w:rPr>
          <w:rFonts w:hint="eastAsia"/>
          <w:sz w:val="30"/>
          <w:szCs w:val="30"/>
        </w:rPr>
      </w:pPr>
      <w:r>
        <w:rPr>
          <w:rFonts w:hint="eastAsia"/>
          <w:sz w:val="30"/>
          <w:szCs w:val="30"/>
        </w:rPr>
        <w:t>审判长　夏　雷</w:t>
      </w:r>
    </w:p>
    <w:p w:rsidR="00000000" w:rsidRDefault="00AB1998">
      <w:pPr>
        <w:spacing w:line="500" w:lineRule="atLeast"/>
        <w:jc w:val="right"/>
        <w:divId w:val="2088260226"/>
        <w:rPr>
          <w:rFonts w:hint="eastAsia"/>
          <w:sz w:val="30"/>
          <w:szCs w:val="30"/>
        </w:rPr>
      </w:pPr>
      <w:r>
        <w:rPr>
          <w:rFonts w:hint="eastAsia"/>
          <w:sz w:val="30"/>
          <w:szCs w:val="30"/>
        </w:rPr>
        <w:t>审判员　王方方</w:t>
      </w:r>
    </w:p>
    <w:p w:rsidR="00000000" w:rsidRDefault="00AB1998">
      <w:pPr>
        <w:spacing w:line="500" w:lineRule="atLeast"/>
        <w:jc w:val="right"/>
        <w:divId w:val="1871717899"/>
        <w:rPr>
          <w:rFonts w:hint="eastAsia"/>
          <w:sz w:val="30"/>
          <w:szCs w:val="30"/>
        </w:rPr>
      </w:pPr>
      <w:r>
        <w:rPr>
          <w:rFonts w:hint="eastAsia"/>
          <w:sz w:val="30"/>
          <w:szCs w:val="30"/>
        </w:rPr>
        <w:t>审判员　陈宏军</w:t>
      </w:r>
    </w:p>
    <w:p w:rsidR="00000000" w:rsidRDefault="00AB1998">
      <w:pPr>
        <w:spacing w:line="500" w:lineRule="atLeast"/>
        <w:jc w:val="right"/>
        <w:divId w:val="51655344"/>
        <w:rPr>
          <w:rFonts w:hint="eastAsia"/>
          <w:sz w:val="30"/>
          <w:szCs w:val="30"/>
        </w:rPr>
      </w:pPr>
      <w:r>
        <w:rPr>
          <w:rFonts w:hint="eastAsia"/>
          <w:sz w:val="30"/>
          <w:szCs w:val="30"/>
        </w:rPr>
        <w:t>二〇一九年二月二十七日</w:t>
      </w:r>
    </w:p>
    <w:p w:rsidR="00000000" w:rsidRDefault="00AB1998">
      <w:pPr>
        <w:spacing w:line="500" w:lineRule="atLeast"/>
        <w:jc w:val="right"/>
        <w:divId w:val="621108141"/>
        <w:rPr>
          <w:rFonts w:hint="eastAsia"/>
          <w:sz w:val="30"/>
          <w:szCs w:val="30"/>
        </w:rPr>
      </w:pPr>
      <w:r>
        <w:rPr>
          <w:rFonts w:hint="eastAsia"/>
          <w:sz w:val="30"/>
          <w:szCs w:val="30"/>
        </w:rPr>
        <w:t>书记员　唐姮鑫</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998" w:rsidRDefault="00AB1998" w:rsidP="00AB1998">
      <w:r>
        <w:separator/>
      </w:r>
    </w:p>
  </w:endnote>
  <w:endnote w:type="continuationSeparator" w:id="0">
    <w:p w:rsidR="00AB1998" w:rsidRDefault="00AB1998" w:rsidP="00AB1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998" w:rsidRDefault="00AB1998" w:rsidP="00AB1998">
      <w:r>
        <w:separator/>
      </w:r>
    </w:p>
  </w:footnote>
  <w:footnote w:type="continuationSeparator" w:id="0">
    <w:p w:rsidR="00AB1998" w:rsidRDefault="00AB1998" w:rsidP="00AB19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B1998"/>
    <w:rsid w:val="00AB1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B19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1998"/>
    <w:rPr>
      <w:rFonts w:ascii="宋体" w:eastAsia="宋体" w:hAnsi="宋体" w:cs="宋体"/>
      <w:sz w:val="18"/>
      <w:szCs w:val="18"/>
    </w:rPr>
  </w:style>
  <w:style w:type="paragraph" w:styleId="a5">
    <w:name w:val="footer"/>
    <w:basedOn w:val="a"/>
    <w:link w:val="a6"/>
    <w:uiPriority w:val="99"/>
    <w:unhideWhenUsed/>
    <w:rsid w:val="00AB1998"/>
    <w:pPr>
      <w:tabs>
        <w:tab w:val="center" w:pos="4153"/>
        <w:tab w:val="right" w:pos="8306"/>
      </w:tabs>
      <w:snapToGrid w:val="0"/>
    </w:pPr>
    <w:rPr>
      <w:sz w:val="18"/>
      <w:szCs w:val="18"/>
    </w:rPr>
  </w:style>
  <w:style w:type="character" w:customStyle="1" w:styleId="a6">
    <w:name w:val="页脚 字符"/>
    <w:basedOn w:val="a0"/>
    <w:link w:val="a5"/>
    <w:uiPriority w:val="99"/>
    <w:rsid w:val="00AB199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5344">
      <w:marLeft w:val="0"/>
      <w:marRight w:val="720"/>
      <w:marTop w:val="10"/>
      <w:marBottom w:val="10"/>
      <w:divBdr>
        <w:top w:val="none" w:sz="0" w:space="0" w:color="auto"/>
        <w:left w:val="none" w:sz="0" w:space="0" w:color="auto"/>
        <w:bottom w:val="none" w:sz="0" w:space="0" w:color="auto"/>
        <w:right w:val="none" w:sz="0" w:space="0" w:color="auto"/>
      </w:divBdr>
    </w:div>
    <w:div w:id="154877922">
      <w:marLeft w:val="0"/>
      <w:marRight w:val="0"/>
      <w:marTop w:val="10"/>
      <w:marBottom w:val="10"/>
      <w:divBdr>
        <w:top w:val="none" w:sz="0" w:space="0" w:color="auto"/>
        <w:left w:val="none" w:sz="0" w:space="0" w:color="auto"/>
        <w:bottom w:val="none" w:sz="0" w:space="0" w:color="auto"/>
        <w:right w:val="none" w:sz="0" w:space="0" w:color="auto"/>
      </w:divBdr>
    </w:div>
    <w:div w:id="179198036">
      <w:marLeft w:val="0"/>
      <w:marRight w:val="0"/>
      <w:marTop w:val="10"/>
      <w:marBottom w:val="10"/>
      <w:divBdr>
        <w:top w:val="none" w:sz="0" w:space="0" w:color="auto"/>
        <w:left w:val="none" w:sz="0" w:space="0" w:color="auto"/>
        <w:bottom w:val="none" w:sz="0" w:space="0" w:color="auto"/>
        <w:right w:val="none" w:sz="0" w:space="0" w:color="auto"/>
      </w:divBdr>
    </w:div>
    <w:div w:id="194277149">
      <w:marLeft w:val="0"/>
      <w:marRight w:val="0"/>
      <w:marTop w:val="10"/>
      <w:marBottom w:val="10"/>
      <w:divBdr>
        <w:top w:val="none" w:sz="0" w:space="0" w:color="auto"/>
        <w:left w:val="none" w:sz="0" w:space="0" w:color="auto"/>
        <w:bottom w:val="none" w:sz="0" w:space="0" w:color="auto"/>
        <w:right w:val="none" w:sz="0" w:space="0" w:color="auto"/>
      </w:divBdr>
    </w:div>
    <w:div w:id="260143471">
      <w:marLeft w:val="0"/>
      <w:marRight w:val="0"/>
      <w:marTop w:val="10"/>
      <w:marBottom w:val="10"/>
      <w:divBdr>
        <w:top w:val="none" w:sz="0" w:space="0" w:color="auto"/>
        <w:left w:val="none" w:sz="0" w:space="0" w:color="auto"/>
        <w:bottom w:val="none" w:sz="0" w:space="0" w:color="auto"/>
        <w:right w:val="none" w:sz="0" w:space="0" w:color="auto"/>
      </w:divBdr>
    </w:div>
    <w:div w:id="275186862">
      <w:marLeft w:val="0"/>
      <w:marRight w:val="0"/>
      <w:marTop w:val="10"/>
      <w:marBottom w:val="10"/>
      <w:divBdr>
        <w:top w:val="none" w:sz="0" w:space="0" w:color="auto"/>
        <w:left w:val="none" w:sz="0" w:space="0" w:color="auto"/>
        <w:bottom w:val="none" w:sz="0" w:space="0" w:color="auto"/>
        <w:right w:val="none" w:sz="0" w:space="0" w:color="auto"/>
      </w:divBdr>
    </w:div>
    <w:div w:id="287511832">
      <w:marLeft w:val="0"/>
      <w:marRight w:val="0"/>
      <w:marTop w:val="10"/>
      <w:marBottom w:val="10"/>
      <w:divBdr>
        <w:top w:val="none" w:sz="0" w:space="0" w:color="auto"/>
        <w:left w:val="none" w:sz="0" w:space="0" w:color="auto"/>
        <w:bottom w:val="none" w:sz="0" w:space="0" w:color="auto"/>
        <w:right w:val="none" w:sz="0" w:space="0" w:color="auto"/>
      </w:divBdr>
    </w:div>
    <w:div w:id="292560012">
      <w:marLeft w:val="0"/>
      <w:marRight w:val="0"/>
      <w:marTop w:val="10"/>
      <w:marBottom w:val="10"/>
      <w:divBdr>
        <w:top w:val="none" w:sz="0" w:space="0" w:color="auto"/>
        <w:left w:val="none" w:sz="0" w:space="0" w:color="auto"/>
        <w:bottom w:val="none" w:sz="0" w:space="0" w:color="auto"/>
        <w:right w:val="none" w:sz="0" w:space="0" w:color="auto"/>
      </w:divBdr>
    </w:div>
    <w:div w:id="298464189">
      <w:marLeft w:val="0"/>
      <w:marRight w:val="0"/>
      <w:marTop w:val="10"/>
      <w:marBottom w:val="10"/>
      <w:divBdr>
        <w:top w:val="none" w:sz="0" w:space="0" w:color="auto"/>
        <w:left w:val="none" w:sz="0" w:space="0" w:color="auto"/>
        <w:bottom w:val="none" w:sz="0" w:space="0" w:color="auto"/>
        <w:right w:val="none" w:sz="0" w:space="0" w:color="auto"/>
      </w:divBdr>
    </w:div>
    <w:div w:id="331491711">
      <w:marLeft w:val="0"/>
      <w:marRight w:val="0"/>
      <w:marTop w:val="10"/>
      <w:marBottom w:val="10"/>
      <w:divBdr>
        <w:top w:val="none" w:sz="0" w:space="0" w:color="auto"/>
        <w:left w:val="none" w:sz="0" w:space="0" w:color="auto"/>
        <w:bottom w:val="none" w:sz="0" w:space="0" w:color="auto"/>
        <w:right w:val="none" w:sz="0" w:space="0" w:color="auto"/>
      </w:divBdr>
    </w:div>
    <w:div w:id="422773237">
      <w:marLeft w:val="0"/>
      <w:marRight w:val="0"/>
      <w:marTop w:val="10"/>
      <w:marBottom w:val="10"/>
      <w:divBdr>
        <w:top w:val="none" w:sz="0" w:space="0" w:color="auto"/>
        <w:left w:val="none" w:sz="0" w:space="0" w:color="auto"/>
        <w:bottom w:val="none" w:sz="0" w:space="0" w:color="auto"/>
        <w:right w:val="none" w:sz="0" w:space="0" w:color="auto"/>
      </w:divBdr>
    </w:div>
    <w:div w:id="613638897">
      <w:marLeft w:val="0"/>
      <w:marRight w:val="0"/>
      <w:marTop w:val="10"/>
      <w:marBottom w:val="10"/>
      <w:divBdr>
        <w:top w:val="none" w:sz="0" w:space="0" w:color="auto"/>
        <w:left w:val="none" w:sz="0" w:space="0" w:color="auto"/>
        <w:bottom w:val="none" w:sz="0" w:space="0" w:color="auto"/>
        <w:right w:val="none" w:sz="0" w:space="0" w:color="auto"/>
      </w:divBdr>
    </w:div>
    <w:div w:id="621108141">
      <w:marLeft w:val="0"/>
      <w:marRight w:val="720"/>
      <w:marTop w:val="10"/>
      <w:marBottom w:val="10"/>
      <w:divBdr>
        <w:top w:val="none" w:sz="0" w:space="0" w:color="auto"/>
        <w:left w:val="none" w:sz="0" w:space="0" w:color="auto"/>
        <w:bottom w:val="none" w:sz="0" w:space="0" w:color="auto"/>
        <w:right w:val="none" w:sz="0" w:space="0" w:color="auto"/>
      </w:divBdr>
    </w:div>
    <w:div w:id="687875110">
      <w:marLeft w:val="0"/>
      <w:marRight w:val="0"/>
      <w:marTop w:val="10"/>
      <w:marBottom w:val="10"/>
      <w:divBdr>
        <w:top w:val="none" w:sz="0" w:space="0" w:color="auto"/>
        <w:left w:val="none" w:sz="0" w:space="0" w:color="auto"/>
        <w:bottom w:val="none" w:sz="0" w:space="0" w:color="auto"/>
        <w:right w:val="none" w:sz="0" w:space="0" w:color="auto"/>
      </w:divBdr>
    </w:div>
    <w:div w:id="704328015">
      <w:marLeft w:val="0"/>
      <w:marRight w:val="0"/>
      <w:marTop w:val="10"/>
      <w:marBottom w:val="10"/>
      <w:divBdr>
        <w:top w:val="none" w:sz="0" w:space="0" w:color="auto"/>
        <w:left w:val="none" w:sz="0" w:space="0" w:color="auto"/>
        <w:bottom w:val="none" w:sz="0" w:space="0" w:color="auto"/>
        <w:right w:val="none" w:sz="0" w:space="0" w:color="auto"/>
      </w:divBdr>
    </w:div>
    <w:div w:id="704520174">
      <w:marLeft w:val="0"/>
      <w:marRight w:val="0"/>
      <w:marTop w:val="10"/>
      <w:marBottom w:val="10"/>
      <w:divBdr>
        <w:top w:val="none" w:sz="0" w:space="0" w:color="auto"/>
        <w:left w:val="none" w:sz="0" w:space="0" w:color="auto"/>
        <w:bottom w:val="none" w:sz="0" w:space="0" w:color="auto"/>
        <w:right w:val="none" w:sz="0" w:space="0" w:color="auto"/>
      </w:divBdr>
    </w:div>
    <w:div w:id="740372592">
      <w:marLeft w:val="0"/>
      <w:marRight w:val="0"/>
      <w:marTop w:val="10"/>
      <w:marBottom w:val="10"/>
      <w:divBdr>
        <w:top w:val="none" w:sz="0" w:space="0" w:color="auto"/>
        <w:left w:val="none" w:sz="0" w:space="0" w:color="auto"/>
        <w:bottom w:val="none" w:sz="0" w:space="0" w:color="auto"/>
        <w:right w:val="none" w:sz="0" w:space="0" w:color="auto"/>
      </w:divBdr>
    </w:div>
    <w:div w:id="753821297">
      <w:marLeft w:val="0"/>
      <w:marRight w:val="0"/>
      <w:marTop w:val="10"/>
      <w:marBottom w:val="10"/>
      <w:divBdr>
        <w:top w:val="none" w:sz="0" w:space="0" w:color="auto"/>
        <w:left w:val="none" w:sz="0" w:space="0" w:color="auto"/>
        <w:bottom w:val="none" w:sz="0" w:space="0" w:color="auto"/>
        <w:right w:val="none" w:sz="0" w:space="0" w:color="auto"/>
      </w:divBdr>
    </w:div>
    <w:div w:id="777916690">
      <w:marLeft w:val="0"/>
      <w:marRight w:val="0"/>
      <w:marTop w:val="10"/>
      <w:marBottom w:val="10"/>
      <w:divBdr>
        <w:top w:val="none" w:sz="0" w:space="0" w:color="auto"/>
        <w:left w:val="none" w:sz="0" w:space="0" w:color="auto"/>
        <w:bottom w:val="none" w:sz="0" w:space="0" w:color="auto"/>
        <w:right w:val="none" w:sz="0" w:space="0" w:color="auto"/>
      </w:divBdr>
    </w:div>
    <w:div w:id="833841932">
      <w:marLeft w:val="0"/>
      <w:marRight w:val="0"/>
      <w:marTop w:val="10"/>
      <w:marBottom w:val="10"/>
      <w:divBdr>
        <w:top w:val="none" w:sz="0" w:space="0" w:color="auto"/>
        <w:left w:val="none" w:sz="0" w:space="0" w:color="auto"/>
        <w:bottom w:val="none" w:sz="0" w:space="0" w:color="auto"/>
        <w:right w:val="none" w:sz="0" w:space="0" w:color="auto"/>
      </w:divBdr>
    </w:div>
    <w:div w:id="876891661">
      <w:marLeft w:val="0"/>
      <w:marRight w:val="0"/>
      <w:marTop w:val="10"/>
      <w:marBottom w:val="10"/>
      <w:divBdr>
        <w:top w:val="none" w:sz="0" w:space="0" w:color="auto"/>
        <w:left w:val="none" w:sz="0" w:space="0" w:color="auto"/>
        <w:bottom w:val="none" w:sz="0" w:space="0" w:color="auto"/>
        <w:right w:val="none" w:sz="0" w:space="0" w:color="auto"/>
      </w:divBdr>
    </w:div>
    <w:div w:id="981273238">
      <w:marLeft w:val="0"/>
      <w:marRight w:val="0"/>
      <w:marTop w:val="10"/>
      <w:marBottom w:val="10"/>
      <w:divBdr>
        <w:top w:val="none" w:sz="0" w:space="0" w:color="auto"/>
        <w:left w:val="none" w:sz="0" w:space="0" w:color="auto"/>
        <w:bottom w:val="none" w:sz="0" w:space="0" w:color="auto"/>
        <w:right w:val="none" w:sz="0" w:space="0" w:color="auto"/>
      </w:divBdr>
    </w:div>
    <w:div w:id="1083255162">
      <w:marLeft w:val="0"/>
      <w:marRight w:val="0"/>
      <w:marTop w:val="10"/>
      <w:marBottom w:val="10"/>
      <w:divBdr>
        <w:top w:val="none" w:sz="0" w:space="0" w:color="auto"/>
        <w:left w:val="none" w:sz="0" w:space="0" w:color="auto"/>
        <w:bottom w:val="none" w:sz="0" w:space="0" w:color="auto"/>
        <w:right w:val="none" w:sz="0" w:space="0" w:color="auto"/>
      </w:divBdr>
    </w:div>
    <w:div w:id="1121920716">
      <w:marLeft w:val="0"/>
      <w:marRight w:val="0"/>
      <w:marTop w:val="10"/>
      <w:marBottom w:val="10"/>
      <w:divBdr>
        <w:top w:val="none" w:sz="0" w:space="0" w:color="auto"/>
        <w:left w:val="none" w:sz="0" w:space="0" w:color="auto"/>
        <w:bottom w:val="none" w:sz="0" w:space="0" w:color="auto"/>
        <w:right w:val="none" w:sz="0" w:space="0" w:color="auto"/>
      </w:divBdr>
    </w:div>
    <w:div w:id="1139031327">
      <w:marLeft w:val="0"/>
      <w:marRight w:val="0"/>
      <w:marTop w:val="10"/>
      <w:marBottom w:val="10"/>
      <w:divBdr>
        <w:top w:val="none" w:sz="0" w:space="0" w:color="auto"/>
        <w:left w:val="none" w:sz="0" w:space="0" w:color="auto"/>
        <w:bottom w:val="none" w:sz="0" w:space="0" w:color="auto"/>
        <w:right w:val="none" w:sz="0" w:space="0" w:color="auto"/>
      </w:divBdr>
    </w:div>
    <w:div w:id="1172067691">
      <w:marLeft w:val="0"/>
      <w:marRight w:val="0"/>
      <w:marTop w:val="10"/>
      <w:marBottom w:val="10"/>
      <w:divBdr>
        <w:top w:val="none" w:sz="0" w:space="0" w:color="auto"/>
        <w:left w:val="none" w:sz="0" w:space="0" w:color="auto"/>
        <w:bottom w:val="none" w:sz="0" w:space="0" w:color="auto"/>
        <w:right w:val="none" w:sz="0" w:space="0" w:color="auto"/>
      </w:divBdr>
    </w:div>
    <w:div w:id="1183780499">
      <w:marLeft w:val="0"/>
      <w:marRight w:val="0"/>
      <w:marTop w:val="10"/>
      <w:marBottom w:val="10"/>
      <w:divBdr>
        <w:top w:val="none" w:sz="0" w:space="0" w:color="auto"/>
        <w:left w:val="none" w:sz="0" w:space="0" w:color="auto"/>
        <w:bottom w:val="none" w:sz="0" w:space="0" w:color="auto"/>
        <w:right w:val="none" w:sz="0" w:space="0" w:color="auto"/>
      </w:divBdr>
    </w:div>
    <w:div w:id="1185442557">
      <w:marLeft w:val="0"/>
      <w:marRight w:val="0"/>
      <w:marTop w:val="10"/>
      <w:marBottom w:val="10"/>
      <w:divBdr>
        <w:top w:val="none" w:sz="0" w:space="0" w:color="auto"/>
        <w:left w:val="none" w:sz="0" w:space="0" w:color="auto"/>
        <w:bottom w:val="none" w:sz="0" w:space="0" w:color="auto"/>
        <w:right w:val="none" w:sz="0" w:space="0" w:color="auto"/>
      </w:divBdr>
    </w:div>
    <w:div w:id="1187526819">
      <w:marLeft w:val="0"/>
      <w:marRight w:val="0"/>
      <w:marTop w:val="10"/>
      <w:marBottom w:val="10"/>
      <w:divBdr>
        <w:top w:val="none" w:sz="0" w:space="0" w:color="auto"/>
        <w:left w:val="none" w:sz="0" w:space="0" w:color="auto"/>
        <w:bottom w:val="none" w:sz="0" w:space="0" w:color="auto"/>
        <w:right w:val="none" w:sz="0" w:space="0" w:color="auto"/>
      </w:divBdr>
    </w:div>
    <w:div w:id="1428303699">
      <w:marLeft w:val="0"/>
      <w:marRight w:val="0"/>
      <w:marTop w:val="10"/>
      <w:marBottom w:val="10"/>
      <w:divBdr>
        <w:top w:val="none" w:sz="0" w:space="0" w:color="auto"/>
        <w:left w:val="none" w:sz="0" w:space="0" w:color="auto"/>
        <w:bottom w:val="none" w:sz="0" w:space="0" w:color="auto"/>
        <w:right w:val="none" w:sz="0" w:space="0" w:color="auto"/>
      </w:divBdr>
    </w:div>
    <w:div w:id="1442873108">
      <w:marLeft w:val="0"/>
      <w:marRight w:val="0"/>
      <w:marTop w:val="10"/>
      <w:marBottom w:val="10"/>
      <w:divBdr>
        <w:top w:val="none" w:sz="0" w:space="0" w:color="auto"/>
        <w:left w:val="none" w:sz="0" w:space="0" w:color="auto"/>
        <w:bottom w:val="none" w:sz="0" w:space="0" w:color="auto"/>
        <w:right w:val="none" w:sz="0" w:space="0" w:color="auto"/>
      </w:divBdr>
    </w:div>
    <w:div w:id="1483690505">
      <w:marLeft w:val="0"/>
      <w:marRight w:val="0"/>
      <w:marTop w:val="10"/>
      <w:marBottom w:val="10"/>
      <w:divBdr>
        <w:top w:val="none" w:sz="0" w:space="0" w:color="auto"/>
        <w:left w:val="none" w:sz="0" w:space="0" w:color="auto"/>
        <w:bottom w:val="none" w:sz="0" w:space="0" w:color="auto"/>
        <w:right w:val="none" w:sz="0" w:space="0" w:color="auto"/>
      </w:divBdr>
    </w:div>
    <w:div w:id="1536576292">
      <w:marLeft w:val="0"/>
      <w:marRight w:val="0"/>
      <w:marTop w:val="10"/>
      <w:marBottom w:val="10"/>
      <w:divBdr>
        <w:top w:val="none" w:sz="0" w:space="0" w:color="auto"/>
        <w:left w:val="none" w:sz="0" w:space="0" w:color="auto"/>
        <w:bottom w:val="none" w:sz="0" w:space="0" w:color="auto"/>
        <w:right w:val="none" w:sz="0" w:space="0" w:color="auto"/>
      </w:divBdr>
    </w:div>
    <w:div w:id="1626616439">
      <w:marLeft w:val="0"/>
      <w:marRight w:val="0"/>
      <w:marTop w:val="10"/>
      <w:marBottom w:val="10"/>
      <w:divBdr>
        <w:top w:val="none" w:sz="0" w:space="0" w:color="auto"/>
        <w:left w:val="none" w:sz="0" w:space="0" w:color="auto"/>
        <w:bottom w:val="none" w:sz="0" w:space="0" w:color="auto"/>
        <w:right w:val="none" w:sz="0" w:space="0" w:color="auto"/>
      </w:divBdr>
    </w:div>
    <w:div w:id="1664820263">
      <w:marLeft w:val="0"/>
      <w:marRight w:val="720"/>
      <w:marTop w:val="10"/>
      <w:marBottom w:val="10"/>
      <w:divBdr>
        <w:top w:val="none" w:sz="0" w:space="0" w:color="auto"/>
        <w:left w:val="none" w:sz="0" w:space="0" w:color="auto"/>
        <w:bottom w:val="none" w:sz="0" w:space="0" w:color="auto"/>
        <w:right w:val="none" w:sz="0" w:space="0" w:color="auto"/>
      </w:divBdr>
    </w:div>
    <w:div w:id="1722555696">
      <w:marLeft w:val="0"/>
      <w:marRight w:val="0"/>
      <w:marTop w:val="10"/>
      <w:marBottom w:val="10"/>
      <w:divBdr>
        <w:top w:val="none" w:sz="0" w:space="0" w:color="auto"/>
        <w:left w:val="none" w:sz="0" w:space="0" w:color="auto"/>
        <w:bottom w:val="none" w:sz="0" w:space="0" w:color="auto"/>
        <w:right w:val="none" w:sz="0" w:space="0" w:color="auto"/>
      </w:divBdr>
    </w:div>
    <w:div w:id="1727297725">
      <w:marLeft w:val="0"/>
      <w:marRight w:val="0"/>
      <w:marTop w:val="10"/>
      <w:marBottom w:val="10"/>
      <w:divBdr>
        <w:top w:val="none" w:sz="0" w:space="0" w:color="auto"/>
        <w:left w:val="none" w:sz="0" w:space="0" w:color="auto"/>
        <w:bottom w:val="none" w:sz="0" w:space="0" w:color="auto"/>
        <w:right w:val="none" w:sz="0" w:space="0" w:color="auto"/>
      </w:divBdr>
    </w:div>
    <w:div w:id="1797410785">
      <w:marLeft w:val="0"/>
      <w:marRight w:val="0"/>
      <w:marTop w:val="10"/>
      <w:marBottom w:val="10"/>
      <w:divBdr>
        <w:top w:val="none" w:sz="0" w:space="0" w:color="auto"/>
        <w:left w:val="none" w:sz="0" w:space="0" w:color="auto"/>
        <w:bottom w:val="none" w:sz="0" w:space="0" w:color="auto"/>
        <w:right w:val="none" w:sz="0" w:space="0" w:color="auto"/>
      </w:divBdr>
    </w:div>
    <w:div w:id="1802723670">
      <w:marLeft w:val="0"/>
      <w:marRight w:val="0"/>
      <w:marTop w:val="10"/>
      <w:marBottom w:val="10"/>
      <w:divBdr>
        <w:top w:val="none" w:sz="0" w:space="0" w:color="auto"/>
        <w:left w:val="none" w:sz="0" w:space="0" w:color="auto"/>
        <w:bottom w:val="none" w:sz="0" w:space="0" w:color="auto"/>
        <w:right w:val="none" w:sz="0" w:space="0" w:color="auto"/>
      </w:divBdr>
    </w:div>
    <w:div w:id="1819567732">
      <w:marLeft w:val="0"/>
      <w:marRight w:val="0"/>
      <w:marTop w:val="10"/>
      <w:marBottom w:val="10"/>
      <w:divBdr>
        <w:top w:val="none" w:sz="0" w:space="0" w:color="auto"/>
        <w:left w:val="none" w:sz="0" w:space="0" w:color="auto"/>
        <w:bottom w:val="none" w:sz="0" w:space="0" w:color="auto"/>
        <w:right w:val="none" w:sz="0" w:space="0" w:color="auto"/>
      </w:divBdr>
    </w:div>
    <w:div w:id="1820804782">
      <w:marLeft w:val="0"/>
      <w:marRight w:val="0"/>
      <w:marTop w:val="10"/>
      <w:marBottom w:val="10"/>
      <w:divBdr>
        <w:top w:val="none" w:sz="0" w:space="0" w:color="auto"/>
        <w:left w:val="none" w:sz="0" w:space="0" w:color="auto"/>
        <w:bottom w:val="none" w:sz="0" w:space="0" w:color="auto"/>
        <w:right w:val="none" w:sz="0" w:space="0" w:color="auto"/>
      </w:divBdr>
    </w:div>
    <w:div w:id="1871717899">
      <w:marLeft w:val="0"/>
      <w:marRight w:val="720"/>
      <w:marTop w:val="10"/>
      <w:marBottom w:val="10"/>
      <w:divBdr>
        <w:top w:val="none" w:sz="0" w:space="0" w:color="auto"/>
        <w:left w:val="none" w:sz="0" w:space="0" w:color="auto"/>
        <w:bottom w:val="none" w:sz="0" w:space="0" w:color="auto"/>
        <w:right w:val="none" w:sz="0" w:space="0" w:color="auto"/>
      </w:divBdr>
    </w:div>
    <w:div w:id="2088260226">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