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76601">
      <w:pPr>
        <w:spacing w:line="500" w:lineRule="atLeast"/>
        <w:jc w:val="center"/>
        <w:divId w:val="364254855"/>
        <w:rPr>
          <w:rFonts w:ascii="黑体" w:eastAsia="黑体" w:hAnsi="黑体"/>
          <w:sz w:val="36"/>
          <w:szCs w:val="36"/>
        </w:rPr>
      </w:pPr>
      <w:bookmarkStart w:id="0" w:name="_GoBack"/>
      <w:bookmarkEnd w:id="0"/>
      <w:r>
        <w:rPr>
          <w:rFonts w:ascii="黑体" w:eastAsia="黑体" w:hAnsi="黑体" w:hint="eastAsia"/>
          <w:sz w:val="36"/>
          <w:szCs w:val="36"/>
        </w:rPr>
        <w:t>江苏省南通市中级人民法院</w:t>
      </w:r>
    </w:p>
    <w:p w:rsidR="00000000" w:rsidRDefault="00776601">
      <w:pPr>
        <w:spacing w:line="500" w:lineRule="atLeast"/>
        <w:jc w:val="center"/>
        <w:divId w:val="104814002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76601">
      <w:pPr>
        <w:spacing w:line="500" w:lineRule="atLeast"/>
        <w:jc w:val="right"/>
        <w:divId w:val="2101632249"/>
        <w:rPr>
          <w:rFonts w:hint="eastAsia"/>
          <w:sz w:val="30"/>
          <w:szCs w:val="30"/>
        </w:rPr>
      </w:pPr>
      <w:r>
        <w:rPr>
          <w:rFonts w:hint="eastAsia"/>
          <w:sz w:val="30"/>
          <w:szCs w:val="30"/>
        </w:rPr>
        <w:t>（</w:t>
      </w:r>
      <w:r>
        <w:rPr>
          <w:rFonts w:hint="eastAsia"/>
          <w:sz w:val="30"/>
          <w:szCs w:val="30"/>
        </w:rPr>
        <w:t>2019</w:t>
      </w:r>
      <w:r>
        <w:rPr>
          <w:rFonts w:hint="eastAsia"/>
          <w:sz w:val="30"/>
          <w:szCs w:val="30"/>
        </w:rPr>
        <w:t>）苏</w:t>
      </w:r>
      <w:r>
        <w:rPr>
          <w:rFonts w:hint="eastAsia"/>
          <w:sz w:val="30"/>
          <w:szCs w:val="30"/>
        </w:rPr>
        <w:t>06</w:t>
      </w:r>
      <w:r>
        <w:rPr>
          <w:rFonts w:hint="eastAsia"/>
          <w:sz w:val="30"/>
          <w:szCs w:val="30"/>
        </w:rPr>
        <w:t>民终</w:t>
      </w:r>
      <w:r>
        <w:rPr>
          <w:rFonts w:hint="eastAsia"/>
          <w:sz w:val="30"/>
          <w:szCs w:val="30"/>
        </w:rPr>
        <w:t>2486</w:t>
      </w:r>
      <w:r>
        <w:rPr>
          <w:rFonts w:hint="eastAsia"/>
          <w:sz w:val="30"/>
          <w:szCs w:val="30"/>
        </w:rPr>
        <w:t>号</w:t>
      </w:r>
    </w:p>
    <w:p w:rsidR="00000000" w:rsidRDefault="00776601">
      <w:pPr>
        <w:spacing w:line="500" w:lineRule="atLeast"/>
        <w:ind w:firstLine="600"/>
        <w:divId w:val="1420328123"/>
        <w:rPr>
          <w:rFonts w:hint="eastAsia"/>
          <w:sz w:val="30"/>
          <w:szCs w:val="30"/>
        </w:rPr>
      </w:pPr>
      <w:r>
        <w:rPr>
          <w:rFonts w:hint="eastAsia"/>
          <w:sz w:val="30"/>
          <w:szCs w:val="30"/>
        </w:rPr>
        <w:t>上诉人（原审原告）：博悦网络技术（上海）有限公司，住所地上海市嘉定区。</w:t>
      </w:r>
    </w:p>
    <w:p w:rsidR="00000000" w:rsidRDefault="00776601">
      <w:pPr>
        <w:spacing w:line="500" w:lineRule="atLeast"/>
        <w:ind w:firstLine="600"/>
        <w:divId w:val="1334331373"/>
        <w:rPr>
          <w:rFonts w:hint="eastAsia"/>
          <w:sz w:val="30"/>
          <w:szCs w:val="30"/>
        </w:rPr>
      </w:pPr>
      <w:r>
        <w:rPr>
          <w:rFonts w:hint="eastAsia"/>
          <w:sz w:val="30"/>
          <w:szCs w:val="30"/>
        </w:rPr>
        <w:t>法定代表人：王大庆。</w:t>
      </w:r>
    </w:p>
    <w:p w:rsidR="00000000" w:rsidRDefault="00776601">
      <w:pPr>
        <w:spacing w:line="500" w:lineRule="atLeast"/>
        <w:ind w:firstLine="600"/>
        <w:divId w:val="1819228089"/>
        <w:rPr>
          <w:rFonts w:hint="eastAsia"/>
          <w:sz w:val="30"/>
          <w:szCs w:val="30"/>
        </w:rPr>
      </w:pPr>
      <w:r>
        <w:rPr>
          <w:rFonts w:hint="eastAsia"/>
          <w:sz w:val="30"/>
          <w:szCs w:val="30"/>
        </w:rPr>
        <w:t>被上诉人（原审被告）：南通红禾创业投资中心（有限合伙），住所地江苏省南通市。</w:t>
      </w:r>
    </w:p>
    <w:p w:rsidR="00000000" w:rsidRDefault="00776601">
      <w:pPr>
        <w:spacing w:line="500" w:lineRule="atLeast"/>
        <w:ind w:firstLine="600"/>
        <w:divId w:val="992181949"/>
        <w:rPr>
          <w:rFonts w:hint="eastAsia"/>
          <w:sz w:val="30"/>
          <w:szCs w:val="30"/>
        </w:rPr>
      </w:pPr>
      <w:r>
        <w:rPr>
          <w:rFonts w:hint="eastAsia"/>
          <w:sz w:val="30"/>
          <w:szCs w:val="30"/>
        </w:rPr>
        <w:t>执行事务合伙人：陈小晔。</w:t>
      </w:r>
    </w:p>
    <w:p w:rsidR="00000000" w:rsidRDefault="00776601">
      <w:pPr>
        <w:spacing w:line="500" w:lineRule="atLeast"/>
        <w:ind w:firstLine="600"/>
        <w:divId w:val="1373648959"/>
        <w:rPr>
          <w:rFonts w:hint="eastAsia"/>
          <w:sz w:val="30"/>
          <w:szCs w:val="30"/>
        </w:rPr>
      </w:pPr>
      <w:r>
        <w:rPr>
          <w:rFonts w:hint="eastAsia"/>
          <w:sz w:val="30"/>
          <w:szCs w:val="30"/>
        </w:rPr>
        <w:t>上诉人博悦网络技术（上海）有限公司（以下简称上海博悦）因与被上诉人南通红禾创业投资中心（有限合伙）（以下简称红禾投资）损害公司利益责任纠纷一案，不服江苏省南通市通州区人民法院（</w:t>
      </w:r>
      <w:r>
        <w:rPr>
          <w:rFonts w:hint="eastAsia"/>
          <w:sz w:val="30"/>
          <w:szCs w:val="30"/>
        </w:rPr>
        <w:t>2019</w:t>
      </w:r>
      <w:r>
        <w:rPr>
          <w:rFonts w:hint="eastAsia"/>
          <w:sz w:val="30"/>
          <w:szCs w:val="30"/>
        </w:rPr>
        <w:t>）苏</w:t>
      </w:r>
      <w:r>
        <w:rPr>
          <w:rFonts w:hint="eastAsia"/>
          <w:sz w:val="30"/>
          <w:szCs w:val="30"/>
        </w:rPr>
        <w:t>0612</w:t>
      </w:r>
      <w:r>
        <w:rPr>
          <w:rFonts w:hint="eastAsia"/>
          <w:sz w:val="30"/>
          <w:szCs w:val="30"/>
        </w:rPr>
        <w:t>民初</w:t>
      </w:r>
      <w:r>
        <w:rPr>
          <w:rFonts w:hint="eastAsia"/>
          <w:sz w:val="30"/>
          <w:szCs w:val="30"/>
        </w:rPr>
        <w:t>377</w:t>
      </w:r>
      <w:r>
        <w:rPr>
          <w:rFonts w:hint="eastAsia"/>
          <w:sz w:val="30"/>
          <w:szCs w:val="30"/>
        </w:rPr>
        <w:t>号驳回起诉的民事裁定，向本院提起上诉。本院立案后，依法组成合议庭审理了本案。本案现已审理终结。</w:t>
      </w:r>
    </w:p>
    <w:p w:rsidR="00000000" w:rsidRDefault="00776601">
      <w:pPr>
        <w:spacing w:line="500" w:lineRule="atLeast"/>
        <w:ind w:firstLine="600"/>
        <w:divId w:val="1574120038"/>
        <w:rPr>
          <w:rFonts w:hint="eastAsia"/>
          <w:sz w:val="30"/>
          <w:szCs w:val="30"/>
        </w:rPr>
      </w:pPr>
      <w:r>
        <w:rPr>
          <w:rFonts w:hint="eastAsia"/>
          <w:sz w:val="30"/>
          <w:szCs w:val="30"/>
        </w:rPr>
        <w:t>上海博悦上诉请求：撤销一审裁定，指令一审法院继续审理本案；诉讼费用由红禾投资承担。事实和理由：</w:t>
      </w:r>
      <w:r>
        <w:rPr>
          <w:rFonts w:hint="eastAsia"/>
          <w:sz w:val="30"/>
          <w:szCs w:val="30"/>
        </w:rPr>
        <w:t>1</w:t>
      </w:r>
      <w:r>
        <w:rPr>
          <w:rFonts w:hint="eastAsia"/>
          <w:sz w:val="30"/>
          <w:szCs w:val="30"/>
        </w:rPr>
        <w:t>、我公司曾于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日通过快递提交变更诉讼请求申请书，一审认定我公司诉请金额有误。</w:t>
      </w:r>
      <w:r>
        <w:rPr>
          <w:rFonts w:hint="eastAsia"/>
          <w:sz w:val="30"/>
          <w:szCs w:val="30"/>
        </w:rPr>
        <w:t>2</w:t>
      </w:r>
      <w:r>
        <w:rPr>
          <w:rFonts w:hint="eastAsia"/>
          <w:sz w:val="30"/>
          <w:szCs w:val="30"/>
        </w:rPr>
        <w:t>、我公司提交的微信聊</w:t>
      </w:r>
      <w:r>
        <w:rPr>
          <w:rFonts w:hint="eastAsia"/>
          <w:sz w:val="30"/>
          <w:szCs w:val="30"/>
        </w:rPr>
        <w:t>天记录、网上银行电子回单等证据原件，一审未经过法庭调查即臆断不具真实性和证明力，程序有误，事实认定有误。且一审未依我公司申请开具调查令以便调取我公司无法取得的证据，导致我公司的程序和实体权利无法行使。</w:t>
      </w:r>
      <w:r>
        <w:rPr>
          <w:rFonts w:hint="eastAsia"/>
          <w:sz w:val="30"/>
          <w:szCs w:val="30"/>
        </w:rPr>
        <w:t>3</w:t>
      </w:r>
      <w:r>
        <w:rPr>
          <w:rFonts w:hint="eastAsia"/>
          <w:sz w:val="30"/>
          <w:szCs w:val="30"/>
        </w:rPr>
        <w:t>、一审法院认定红禾投资不存在利用关联公司江苏启睿物联科技有限公司（以下简称启睿公司）损害江苏博悦物联网技术有限公司（以下简称江苏博悦）利益的行为有误。</w:t>
      </w:r>
      <w:r>
        <w:rPr>
          <w:rFonts w:hint="eastAsia"/>
          <w:sz w:val="30"/>
          <w:szCs w:val="30"/>
        </w:rPr>
        <w:t>4</w:t>
      </w:r>
      <w:r>
        <w:rPr>
          <w:rFonts w:hint="eastAsia"/>
          <w:sz w:val="30"/>
          <w:szCs w:val="30"/>
        </w:rPr>
        <w:t>、红禾投资为江苏博悦的实际控制人，其损害公司利益的行为在持续中，我公司曾于起诉前征求王大庆起</w:t>
      </w:r>
      <w:r>
        <w:rPr>
          <w:rFonts w:hint="eastAsia"/>
          <w:sz w:val="30"/>
          <w:szCs w:val="30"/>
        </w:rPr>
        <w:lastRenderedPageBreak/>
        <w:t>诉意见，其拒绝起诉。我公司提交的王大庆的书面说明可证明我公司已履行</w:t>
      </w:r>
      <w:r>
        <w:rPr>
          <w:rFonts w:hint="eastAsia"/>
          <w:sz w:val="30"/>
          <w:szCs w:val="30"/>
        </w:rPr>
        <w:t>了前置程序。法院如对说明中王大庆的签名有疑问，应传唤王大庆到庭作证。同时，一审法院在审理过程中如认为应将江苏博悦追加为第三人，可决定追加，而不能以我公司起诉时未将江苏博悦列为第三人而驳回我公司的起诉。</w:t>
      </w:r>
      <w:r>
        <w:rPr>
          <w:rFonts w:hint="eastAsia"/>
          <w:sz w:val="30"/>
          <w:szCs w:val="30"/>
        </w:rPr>
        <w:t>5</w:t>
      </w:r>
      <w:r>
        <w:rPr>
          <w:rFonts w:hint="eastAsia"/>
          <w:sz w:val="30"/>
          <w:szCs w:val="30"/>
        </w:rPr>
        <w:t>、一审法院适用公司法第一百五十条第一款规定驳回起诉适用法律有误。因红禾投资的侵权行为仍在持续中，且红禾投资控制江苏博悦的日常管理和运行，我公司若不通过诉讼寻求权利救济，则股东权利无法行使。故不论从前置程序或是紧急程度，我公司均有权提起诉讼。</w:t>
      </w:r>
    </w:p>
    <w:p w:rsidR="00000000" w:rsidRDefault="00776601">
      <w:pPr>
        <w:spacing w:line="500" w:lineRule="atLeast"/>
        <w:ind w:firstLine="600"/>
        <w:divId w:val="564999362"/>
        <w:rPr>
          <w:rFonts w:hint="eastAsia"/>
          <w:sz w:val="30"/>
          <w:szCs w:val="30"/>
        </w:rPr>
      </w:pPr>
      <w:r>
        <w:rPr>
          <w:rFonts w:hint="eastAsia"/>
          <w:sz w:val="30"/>
          <w:szCs w:val="30"/>
        </w:rPr>
        <w:t>红禾投资未答辩。</w:t>
      </w:r>
    </w:p>
    <w:p w:rsidR="00000000" w:rsidRDefault="00776601">
      <w:pPr>
        <w:spacing w:line="500" w:lineRule="atLeast"/>
        <w:ind w:firstLine="600"/>
        <w:divId w:val="527838513"/>
        <w:rPr>
          <w:rFonts w:hint="eastAsia"/>
          <w:sz w:val="30"/>
          <w:szCs w:val="30"/>
        </w:rPr>
      </w:pPr>
      <w:r>
        <w:rPr>
          <w:rFonts w:hint="eastAsia"/>
          <w:sz w:val="30"/>
          <w:szCs w:val="30"/>
        </w:rPr>
        <w:t>上海博悦向一审法院起诉请求：</w:t>
      </w:r>
      <w:r>
        <w:rPr>
          <w:rFonts w:hint="eastAsia"/>
          <w:sz w:val="30"/>
          <w:szCs w:val="30"/>
        </w:rPr>
        <w:t>1</w:t>
      </w:r>
      <w:r>
        <w:rPr>
          <w:rFonts w:hint="eastAsia"/>
          <w:sz w:val="30"/>
          <w:szCs w:val="30"/>
        </w:rPr>
        <w:t>、判令红禾投资向江苏</w:t>
      </w:r>
      <w:r>
        <w:rPr>
          <w:rFonts w:hint="eastAsia"/>
          <w:sz w:val="30"/>
          <w:szCs w:val="30"/>
        </w:rPr>
        <w:t>博悦赔偿经济损失暂计</w:t>
      </w:r>
      <w:r>
        <w:rPr>
          <w:rFonts w:hint="eastAsia"/>
          <w:sz w:val="30"/>
          <w:szCs w:val="30"/>
        </w:rPr>
        <w:t>4356</w:t>
      </w:r>
      <w:r>
        <w:rPr>
          <w:rFonts w:hint="eastAsia"/>
          <w:sz w:val="30"/>
          <w:szCs w:val="30"/>
        </w:rPr>
        <w:t>元；</w:t>
      </w:r>
      <w:r>
        <w:rPr>
          <w:rFonts w:hint="eastAsia"/>
          <w:sz w:val="30"/>
          <w:szCs w:val="30"/>
        </w:rPr>
        <w:t>2</w:t>
      </w:r>
      <w:r>
        <w:rPr>
          <w:rFonts w:hint="eastAsia"/>
          <w:sz w:val="30"/>
          <w:szCs w:val="30"/>
        </w:rPr>
        <w:t>、判令红禾投资停止对江苏博悦及小股东的侵权行为。</w:t>
      </w:r>
    </w:p>
    <w:p w:rsidR="00000000" w:rsidRDefault="00776601">
      <w:pPr>
        <w:spacing w:line="500" w:lineRule="atLeast"/>
        <w:ind w:firstLine="600"/>
        <w:divId w:val="1215002083"/>
        <w:rPr>
          <w:rFonts w:hint="eastAsia"/>
          <w:sz w:val="30"/>
          <w:szCs w:val="30"/>
        </w:rPr>
      </w:pPr>
      <w:r>
        <w:rPr>
          <w:rFonts w:hint="eastAsia"/>
          <w:sz w:val="30"/>
          <w:szCs w:val="30"/>
        </w:rPr>
        <w:t>一审法院认定事实：江苏博悦于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经南通市通州区市场监督管理局登记设立，登记住所地为南通高新区江海圆梦谷，主要人员为白建兵（董事）、王大庆（董事长兼总经理），张华（监事）、范蕊（董事），初始股东为王大庆、范蕊，经营范围为物联网技术、云计算技术研发、物联网芯片、集成电路研发销售等。江苏博悦登记设立后注册资本、股东几经变更。现公司股东为上海博悦（占股比例为</w:t>
      </w:r>
      <w:r>
        <w:rPr>
          <w:rFonts w:hint="eastAsia"/>
          <w:sz w:val="30"/>
          <w:szCs w:val="30"/>
        </w:rPr>
        <w:t>33.42%</w:t>
      </w:r>
      <w:r>
        <w:rPr>
          <w:rFonts w:hint="eastAsia"/>
          <w:sz w:val="30"/>
          <w:szCs w:val="30"/>
        </w:rPr>
        <w:t>），红禾投资（占股比例为</w:t>
      </w:r>
      <w:r>
        <w:rPr>
          <w:rFonts w:hint="eastAsia"/>
          <w:sz w:val="30"/>
          <w:szCs w:val="30"/>
        </w:rPr>
        <w:t>51.62%</w:t>
      </w:r>
      <w:r>
        <w:rPr>
          <w:rFonts w:hint="eastAsia"/>
          <w:sz w:val="30"/>
          <w:szCs w:val="30"/>
        </w:rPr>
        <w:t>）、上海同畔</w:t>
      </w:r>
      <w:r>
        <w:rPr>
          <w:rFonts w:hint="eastAsia"/>
          <w:sz w:val="30"/>
          <w:szCs w:val="30"/>
        </w:rPr>
        <w:t>创业投资合伙企业（有限合伙）（占股比例为</w:t>
      </w:r>
      <w:r>
        <w:rPr>
          <w:rFonts w:hint="eastAsia"/>
          <w:sz w:val="30"/>
          <w:szCs w:val="30"/>
        </w:rPr>
        <w:t>14.96%</w:t>
      </w:r>
      <w:r>
        <w:rPr>
          <w:rFonts w:hint="eastAsia"/>
          <w:sz w:val="30"/>
          <w:szCs w:val="30"/>
        </w:rPr>
        <w:t>）。</w:t>
      </w:r>
    </w:p>
    <w:p w:rsidR="00000000" w:rsidRDefault="00776601">
      <w:pPr>
        <w:spacing w:line="500" w:lineRule="atLeast"/>
        <w:ind w:firstLine="600"/>
        <w:divId w:val="545333998"/>
        <w:rPr>
          <w:rFonts w:hint="eastAsia"/>
          <w:sz w:val="30"/>
          <w:szCs w:val="30"/>
        </w:rPr>
      </w:pPr>
      <w:r>
        <w:rPr>
          <w:rFonts w:hint="eastAsia"/>
          <w:sz w:val="30"/>
          <w:szCs w:val="30"/>
        </w:rPr>
        <w:t>2017</w:t>
      </w:r>
      <w:r>
        <w:rPr>
          <w:rFonts w:hint="eastAsia"/>
          <w:sz w:val="30"/>
          <w:szCs w:val="30"/>
        </w:rPr>
        <w:t>年底，因江苏博悦经营状况恶化，无力支付供应商到期货款及工人工资，公司已处于停产状态。</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日，王大庆、范蕊与红禾投资签署重组方案，该方案包括股权重组、责任划分和管理重组三部分。方案确认王大庆实际持有</w:t>
      </w:r>
      <w:r>
        <w:rPr>
          <w:rFonts w:hint="eastAsia"/>
          <w:sz w:val="30"/>
          <w:szCs w:val="30"/>
        </w:rPr>
        <w:lastRenderedPageBreak/>
        <w:t>江苏博悦</w:t>
      </w:r>
      <w:r>
        <w:rPr>
          <w:rFonts w:hint="eastAsia"/>
          <w:sz w:val="30"/>
          <w:szCs w:val="30"/>
        </w:rPr>
        <w:t>59.93%</w:t>
      </w:r>
      <w:r>
        <w:rPr>
          <w:rFonts w:hint="eastAsia"/>
          <w:sz w:val="30"/>
          <w:szCs w:val="30"/>
        </w:rPr>
        <w:t>股份（王大庆持上海博悦</w:t>
      </w:r>
      <w:r>
        <w:rPr>
          <w:rFonts w:hint="eastAsia"/>
          <w:sz w:val="30"/>
          <w:szCs w:val="30"/>
        </w:rPr>
        <w:t>81.63%</w:t>
      </w:r>
      <w:r>
        <w:rPr>
          <w:rFonts w:hint="eastAsia"/>
          <w:sz w:val="30"/>
          <w:szCs w:val="30"/>
        </w:rPr>
        <w:t>股份，而上海博悦持江苏博悦</w:t>
      </w:r>
      <w:r>
        <w:rPr>
          <w:rFonts w:hint="eastAsia"/>
          <w:sz w:val="30"/>
          <w:szCs w:val="30"/>
        </w:rPr>
        <w:t>73.42%</w:t>
      </w:r>
      <w:r>
        <w:rPr>
          <w:rFonts w:hint="eastAsia"/>
          <w:sz w:val="30"/>
          <w:szCs w:val="30"/>
        </w:rPr>
        <w:t>股份），范蕊实际持有江苏博悦</w:t>
      </w:r>
      <w:r>
        <w:rPr>
          <w:rFonts w:hint="eastAsia"/>
          <w:sz w:val="30"/>
          <w:szCs w:val="30"/>
        </w:rPr>
        <w:t>12.38%</w:t>
      </w:r>
      <w:r>
        <w:rPr>
          <w:rFonts w:hint="eastAsia"/>
          <w:sz w:val="30"/>
          <w:szCs w:val="30"/>
        </w:rPr>
        <w:t>股份（范蕊持上海博悦</w:t>
      </w:r>
      <w:r>
        <w:rPr>
          <w:rFonts w:hint="eastAsia"/>
          <w:sz w:val="30"/>
          <w:szCs w:val="30"/>
        </w:rPr>
        <w:t>16.86%</w:t>
      </w:r>
      <w:r>
        <w:rPr>
          <w:rFonts w:hint="eastAsia"/>
          <w:sz w:val="30"/>
          <w:szCs w:val="30"/>
        </w:rPr>
        <w:t>股份，而上海博悦持江苏博悦</w:t>
      </w:r>
      <w:r>
        <w:rPr>
          <w:rFonts w:hint="eastAsia"/>
          <w:sz w:val="30"/>
          <w:szCs w:val="30"/>
        </w:rPr>
        <w:t>73.42%</w:t>
      </w:r>
      <w:r>
        <w:rPr>
          <w:rFonts w:hint="eastAsia"/>
          <w:sz w:val="30"/>
          <w:szCs w:val="30"/>
        </w:rPr>
        <w:t>股份）。方案第二条有关股权重组约</w:t>
      </w:r>
      <w:r>
        <w:rPr>
          <w:rFonts w:hint="eastAsia"/>
          <w:sz w:val="30"/>
          <w:szCs w:val="30"/>
        </w:rPr>
        <w:t>定，王大庆、范蕊一次性由上海博悦转让其持有的江苏博悦</w:t>
      </w:r>
      <w:r>
        <w:rPr>
          <w:rFonts w:hint="eastAsia"/>
          <w:sz w:val="30"/>
          <w:szCs w:val="30"/>
        </w:rPr>
        <w:t>40%</w:t>
      </w:r>
      <w:r>
        <w:rPr>
          <w:rFonts w:hint="eastAsia"/>
          <w:sz w:val="30"/>
          <w:szCs w:val="30"/>
        </w:rPr>
        <w:t>的股权给红禾投资，股权转让价格为</w:t>
      </w:r>
      <w:r>
        <w:rPr>
          <w:rFonts w:hint="eastAsia"/>
          <w:sz w:val="30"/>
          <w:szCs w:val="30"/>
        </w:rPr>
        <w:t>1</w:t>
      </w:r>
      <w:r>
        <w:rPr>
          <w:rFonts w:hint="eastAsia"/>
          <w:sz w:val="30"/>
          <w:szCs w:val="30"/>
        </w:rPr>
        <w:t>元，红禾投资负责向江苏博悦提供不低于</w:t>
      </w:r>
      <w:r>
        <w:rPr>
          <w:rFonts w:hint="eastAsia"/>
          <w:sz w:val="30"/>
          <w:szCs w:val="30"/>
        </w:rPr>
        <w:t>30</w:t>
      </w:r>
      <w:r>
        <w:rPr>
          <w:rFonts w:hint="eastAsia"/>
          <w:sz w:val="30"/>
          <w:szCs w:val="30"/>
        </w:rPr>
        <w:t>万元的借款，用于江苏博悦恢复生产。方案第三条有关管理重组约定，王大庆负责欠款经销商的处理、产品的技术研究以及大部分客户的维系工作，红禾投资负责组建核心管理团队，并协助管理团队恢复生产、从事采购、生产、销售、财务核算等日常管理活动。</w:t>
      </w:r>
    </w:p>
    <w:p w:rsidR="00000000" w:rsidRDefault="00776601">
      <w:pPr>
        <w:spacing w:line="500" w:lineRule="atLeast"/>
        <w:ind w:firstLine="600"/>
        <w:divId w:val="406613848"/>
        <w:rPr>
          <w:rFonts w:hint="eastAsia"/>
          <w:sz w:val="30"/>
          <w:szCs w:val="30"/>
        </w:rPr>
      </w:pPr>
      <w:r>
        <w:rPr>
          <w:rFonts w:hint="eastAsia"/>
          <w:sz w:val="30"/>
          <w:szCs w:val="30"/>
        </w:rPr>
        <w:t>上述重组方案签署后，江苏博悦经营过程中，制作变更银行账户说明一份，内容为：因公司网银无法使用，经公司内部商议，决定将江苏博悦的所有款项进出由启睿公司</w:t>
      </w:r>
      <w:r>
        <w:rPr>
          <w:rFonts w:hint="eastAsia"/>
          <w:sz w:val="30"/>
          <w:szCs w:val="30"/>
        </w:rPr>
        <w:t>账户代收。说明下方处由陈胤建签字（上海博悦认为“陈胤建”应为“陈胤剑”），红禾投资陈述陈胤剑为注册会计师，其系受红禾投资委托对江苏博悦账户进行财务监管，而非其与江苏博悦的员工。</w:t>
      </w:r>
    </w:p>
    <w:p w:rsidR="00000000" w:rsidRDefault="00776601">
      <w:pPr>
        <w:spacing w:line="500" w:lineRule="atLeast"/>
        <w:ind w:firstLine="600"/>
        <w:divId w:val="757869592"/>
        <w:rPr>
          <w:rFonts w:hint="eastAsia"/>
          <w:sz w:val="30"/>
          <w:szCs w:val="30"/>
        </w:rPr>
      </w:pPr>
      <w:r>
        <w:rPr>
          <w:rFonts w:hint="eastAsia"/>
          <w:sz w:val="30"/>
          <w:szCs w:val="30"/>
        </w:rPr>
        <w:t>审理中，上海博悦向一审法院提出申请，要求追加启睿公司为本案共同被告，并提供部分证据复印件。理由为：红禾投资与启睿公司为关联公司，两公司皆由陈胤剑实际控制，红禾投资多次利用启睿公司进行关联交易损害江苏博悦的利益。同时，上海博悦向一审法院申请调查令，要求前往税务部门及民政部门调取启睿公司的增值税发票开具情况及陈胤剑的身份信息及婚姻登记情</w:t>
      </w:r>
      <w:r>
        <w:rPr>
          <w:rFonts w:hint="eastAsia"/>
          <w:sz w:val="30"/>
          <w:szCs w:val="30"/>
        </w:rPr>
        <w:t>况。</w:t>
      </w:r>
    </w:p>
    <w:p w:rsidR="00000000" w:rsidRDefault="00776601">
      <w:pPr>
        <w:spacing w:line="500" w:lineRule="atLeast"/>
        <w:ind w:firstLine="600"/>
        <w:divId w:val="421535166"/>
        <w:rPr>
          <w:rFonts w:hint="eastAsia"/>
          <w:sz w:val="30"/>
          <w:szCs w:val="30"/>
        </w:rPr>
      </w:pPr>
      <w:r>
        <w:rPr>
          <w:rFonts w:hint="eastAsia"/>
          <w:sz w:val="30"/>
          <w:szCs w:val="30"/>
        </w:rPr>
        <w:t>一审法院认为，上海博悦系江苏博悦股东，其以江苏博悦的另一个股东即红禾投资损害公司利益责任为由提起本案诉讼，属于公司法规定的股东代表诉讼。关于股东代表诉讼的程序，根据公司法第一百五十一条及公司法解释</w:t>
      </w:r>
      <w:r>
        <w:rPr>
          <w:rFonts w:hint="eastAsia"/>
          <w:sz w:val="30"/>
          <w:szCs w:val="30"/>
        </w:rPr>
        <w:t>(</w:t>
      </w:r>
      <w:r>
        <w:rPr>
          <w:rFonts w:hint="eastAsia"/>
          <w:sz w:val="30"/>
          <w:szCs w:val="30"/>
        </w:rPr>
        <w:t>四</w:t>
      </w:r>
      <w:r>
        <w:rPr>
          <w:rFonts w:hint="eastAsia"/>
          <w:sz w:val="30"/>
          <w:szCs w:val="30"/>
        </w:rPr>
        <w:t>)</w:t>
      </w:r>
      <w:r>
        <w:rPr>
          <w:rFonts w:hint="eastAsia"/>
          <w:sz w:val="30"/>
          <w:szCs w:val="30"/>
        </w:rPr>
        <w:t>第二十四条规定，股东直接提起诉讼须经过书面请求监事会（监事）或董事会（执行董事）提起诉讼，监事会（监事）或董事会（执行董事）拒绝起诉或收到书面申请后三十日内未提起诉讼的前置程序，或符合“情况紧急、不立即提起诉讼将会使公司利益受到难以弥补的损害的”的条件，且应当列公司为第三人，诉讼利益归属于公司。上海博悦</w:t>
      </w:r>
      <w:r>
        <w:rPr>
          <w:rFonts w:hint="eastAsia"/>
          <w:sz w:val="30"/>
          <w:szCs w:val="30"/>
        </w:rPr>
        <w:t>未能提供证据证明其在本案起诉前已履行了前置程序，不具有径行提起本案诉讼的权利。理由为：首先，上海博悦在一审法院申请立案及开庭时均未提交任何证据证明其曾就案涉纠纷向江苏博悦的监事会（监事）、董事会（董事）提起书面申请，庭审时上海博悦代理人仅陈述“我方在诉讼前与王大庆（江苏博悦的董事长兼总经理）了解，他不同意以‘董监高’的名义提起诉讼”，并未陈述上海博悦曾向王大庆提交了书面申请，而庭审后又提交王大庆自认上海博悦曾就红禾投资滥用股东权利损害公司利益的行为向其提出了诉讼申请的书面说明，前后行为并不吻合，故书面说明所</w:t>
      </w:r>
      <w:r>
        <w:rPr>
          <w:rFonts w:hint="eastAsia"/>
          <w:sz w:val="30"/>
          <w:szCs w:val="30"/>
        </w:rPr>
        <w:t>载内容真实性存疑。其次，该书面说明系案外人王大庆出具，因王大庆本人未到庭，说明书中“王大庆”签字是否为王大庆本人所签无法确认。退而言之，即便王大庆签字属实，因其同时兼任上海博悦的法定代表人，与本案具有明显的利害关系，该书面说明的客观性和中立性不足。再次，关于股东代表诉讼前置程序的履行方式，公司法第一百五十一条规定，股东应当以书面请求的方式向公司高管人员提出。本案中，若上海博悦确曾书面请求江苏博悦高管人员提起诉讼，则其应当能提供相关书面请求存根、邮寄送达申请回执等材料，但上海博悦并未能提供上述材料，且从王大庆</w:t>
      </w:r>
      <w:r>
        <w:rPr>
          <w:rFonts w:hint="eastAsia"/>
          <w:sz w:val="30"/>
          <w:szCs w:val="30"/>
        </w:rPr>
        <w:t>出具的说明的内容上看，其亦未认可上海博悦系曾以书面形式向其提出诉讼申请。另外，上海博悦起诉时并未将江苏博悦列为第三人，亦无证据证明本案符合“情况紧急、不立即提起诉讼将会使公司利益受到难以弥补的损害的”的情形，其所提供微信聊天记录和银行汇款凭证不能证明红禾投资通知客户将案涉江苏博悦货款转账至启睿公司（即便该事实成立，在江苏博悦处于经营困境的情况下，利用启睿公司走账虽然违规，但并不必然损害江苏博悦的利益），故上海博悦无权在本案中提出股东代表诉讼，亦无权直接要求红禾投资承担损害公司利益的责任。同理，关于上海博悦以</w:t>
      </w:r>
      <w:r>
        <w:rPr>
          <w:rFonts w:hint="eastAsia"/>
          <w:sz w:val="30"/>
          <w:szCs w:val="30"/>
        </w:rPr>
        <w:t>红禾投资与启睿公司存在关联交易为由，要求追加启睿公司为本案被告及要求开具相关调查令的申请，均依法不予准许。综上所述，上海博悦的起诉，不符合法律规定的条件。裁定：驳回上海博悦的起诉。</w:t>
      </w:r>
    </w:p>
    <w:p w:rsidR="00000000" w:rsidRDefault="00776601">
      <w:pPr>
        <w:spacing w:line="500" w:lineRule="atLeast"/>
        <w:ind w:firstLine="600"/>
        <w:divId w:val="359090756"/>
        <w:rPr>
          <w:rFonts w:hint="eastAsia"/>
          <w:sz w:val="30"/>
          <w:szCs w:val="30"/>
        </w:rPr>
      </w:pPr>
      <w:r>
        <w:rPr>
          <w:rFonts w:hint="eastAsia"/>
          <w:sz w:val="30"/>
          <w:szCs w:val="30"/>
        </w:rPr>
        <w:t>本院认为，《中华人民共和国公司法》第一百五十一条规定，“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w:t>
      </w:r>
      <w:r>
        <w:rPr>
          <w:rFonts w:hint="eastAsia"/>
          <w:sz w:val="30"/>
          <w:szCs w:val="30"/>
        </w:rPr>
        <w:t>求董事会或者不设董事会的有限责任公司的执行董事向人民法院提起诉讼。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他人侵犯公司合法权益，给公司造成损失的，本条第一款规定的股东可以依照前两款的规定向人民法院提起诉讼”。本案为损害公司利益责任纠纷，属于股东代表诉讼案件，应依照《中华人民共和</w:t>
      </w:r>
      <w:r>
        <w:rPr>
          <w:rFonts w:hint="eastAsia"/>
          <w:sz w:val="30"/>
          <w:szCs w:val="30"/>
        </w:rPr>
        <w:t>国公司法》第一百五十一条的规定审查本案是否符合起诉条件。具体分析如下：</w:t>
      </w:r>
    </w:p>
    <w:p w:rsidR="00000000" w:rsidRDefault="00776601">
      <w:pPr>
        <w:spacing w:line="500" w:lineRule="atLeast"/>
        <w:ind w:firstLine="600"/>
        <w:divId w:val="739985130"/>
        <w:rPr>
          <w:rFonts w:hint="eastAsia"/>
          <w:sz w:val="30"/>
          <w:szCs w:val="30"/>
        </w:rPr>
      </w:pPr>
      <w:r>
        <w:rPr>
          <w:rFonts w:hint="eastAsia"/>
          <w:sz w:val="30"/>
          <w:szCs w:val="30"/>
        </w:rPr>
        <w:t>第一，《中华人民共和国公司法》第一百五十一条第一款规定为股东代表诉讼设置了前置程序，设定该前置程序主要是考虑到公司纠纷中，司法应持有限介入原则，即是对公司自治机制的补充和救济，其目的在于充分发挥公司的内部监督机制，竭尽公司内部救济手段，强化公司内部管理机构职能，只有公司明确拒绝或怠于提起诉讼时股东才可以代位诉讼。本案中，根据上海博悦提供的企业信用信息公示报告显示，江苏博悦的董事为白建兵、范蕊，监事为张华，董事长兼总经理为王大庆。只有在江</w:t>
      </w:r>
      <w:r>
        <w:rPr>
          <w:rFonts w:hint="eastAsia"/>
          <w:sz w:val="30"/>
          <w:szCs w:val="30"/>
        </w:rPr>
        <w:t>苏博悦的上述相关人员收到上海博悦书面请求后拒绝提起诉讼，或者自收到请求之日起三十日内未提起诉讼，上海博悦才能以自己的名义提起派生诉讼。上海博悦虽提供王大庆签名的说明以证明其已履行前置程序，但该说明属于证人证言，而王大庆未到庭作证，故一审法院未确认该说明的真实性并无不当。退一步而言，即使该说明真实，仅根据现有证据，也不足以证明上海博悦曾就本案所主张的请求事项书面请求过江苏博悦的监事或执行董事向人民法院提起诉讼。因上海博悦并未提供证据证明其已经履行了该前置程序，故其以自己名义提起本案诉讼没有法律依据。</w:t>
      </w:r>
    </w:p>
    <w:p w:rsidR="00000000" w:rsidRDefault="00776601">
      <w:pPr>
        <w:spacing w:line="500" w:lineRule="atLeast"/>
        <w:ind w:firstLine="600"/>
        <w:divId w:val="428040942"/>
        <w:rPr>
          <w:rFonts w:hint="eastAsia"/>
          <w:sz w:val="30"/>
          <w:szCs w:val="30"/>
        </w:rPr>
      </w:pPr>
      <w:r>
        <w:rPr>
          <w:rFonts w:hint="eastAsia"/>
          <w:sz w:val="30"/>
          <w:szCs w:val="30"/>
        </w:rPr>
        <w:t>第二，《</w:t>
      </w:r>
      <w:r>
        <w:rPr>
          <w:rFonts w:hint="eastAsia"/>
          <w:sz w:val="30"/>
          <w:szCs w:val="30"/>
        </w:rPr>
        <w:t>中华人民共和国公司法》第一百五十一条第一款规定的前置程序是针对股东代表诉讼的一般情况；而第二款规定的“情况紧急、不立即提起诉讼将会使公司利益受到难以弥补的损害”，是针对股东代表诉讼的特殊情况。股东代表诉讼适用此种情形，应属于损害公司利益的行为已经发生，但损害公司利益后果尚未发生或尚未完全发生，及时制止损害行为，可以最大限度地避免损害后果，股东主张存在“情况紧急”情形，应承担举证责任。本案中，上海博悦并未提供证据证实存在该情形，且上海博悦诉请的是收入归入权，即对已发生事实的权利主张，亦非属于情况紧急通过本案诉</w:t>
      </w:r>
      <w:r>
        <w:rPr>
          <w:rFonts w:hint="eastAsia"/>
          <w:sz w:val="30"/>
          <w:szCs w:val="30"/>
        </w:rPr>
        <w:t>讼能够及时制止，避免损害结果发生的情形。故对上海博悦该上诉主张，本院亦不予支持。</w:t>
      </w:r>
    </w:p>
    <w:p w:rsidR="00000000" w:rsidRDefault="00776601">
      <w:pPr>
        <w:spacing w:line="500" w:lineRule="atLeast"/>
        <w:ind w:firstLine="600"/>
        <w:divId w:val="1505435868"/>
        <w:rPr>
          <w:rFonts w:hint="eastAsia"/>
          <w:sz w:val="30"/>
          <w:szCs w:val="30"/>
        </w:rPr>
      </w:pPr>
      <w:r>
        <w:rPr>
          <w:rFonts w:hint="eastAsia"/>
          <w:sz w:val="30"/>
          <w:szCs w:val="30"/>
        </w:rPr>
        <w:t>第三，因上海博悦以股东身份直接起诉不符合法律规定的起诉条件，一审裁定驳回其起诉并无不当。鉴于本案系驳回上海博悦的起诉，故对上海博悦主张的诉讼请求变更、证据认定等问题，在本案中均不予理涉。</w:t>
      </w:r>
    </w:p>
    <w:p w:rsidR="00000000" w:rsidRDefault="00776601">
      <w:pPr>
        <w:spacing w:line="500" w:lineRule="atLeast"/>
        <w:ind w:firstLine="600"/>
        <w:divId w:val="393087018"/>
        <w:rPr>
          <w:rFonts w:hint="eastAsia"/>
          <w:sz w:val="30"/>
          <w:szCs w:val="30"/>
        </w:rPr>
      </w:pPr>
      <w:r>
        <w:rPr>
          <w:rFonts w:hint="eastAsia"/>
          <w:sz w:val="30"/>
          <w:szCs w:val="30"/>
        </w:rPr>
        <w:t>综上所述，上海博悦的上诉请求不能成立，应予驳回；一审裁定认定事实清楚，适用法律正确，应予维持。依照《中华人民共和国民事诉讼法》第一百七十条第一款第一项、第一百七十一条的规定，裁定如下：</w:t>
      </w:r>
    </w:p>
    <w:p w:rsidR="00000000" w:rsidRDefault="00776601">
      <w:pPr>
        <w:spacing w:line="500" w:lineRule="atLeast"/>
        <w:ind w:firstLine="600"/>
        <w:divId w:val="981815410"/>
        <w:rPr>
          <w:rFonts w:hint="eastAsia"/>
          <w:sz w:val="30"/>
          <w:szCs w:val="30"/>
        </w:rPr>
      </w:pPr>
      <w:r>
        <w:rPr>
          <w:rFonts w:hint="eastAsia"/>
          <w:sz w:val="30"/>
          <w:szCs w:val="30"/>
        </w:rPr>
        <w:t>驳回上诉，维持原裁定。</w:t>
      </w:r>
    </w:p>
    <w:p w:rsidR="00000000" w:rsidRDefault="00776601">
      <w:pPr>
        <w:spacing w:line="500" w:lineRule="atLeast"/>
        <w:ind w:firstLine="600"/>
        <w:divId w:val="915554258"/>
        <w:rPr>
          <w:rFonts w:hint="eastAsia"/>
          <w:sz w:val="30"/>
          <w:szCs w:val="30"/>
        </w:rPr>
      </w:pPr>
      <w:r>
        <w:rPr>
          <w:rFonts w:hint="eastAsia"/>
          <w:sz w:val="30"/>
          <w:szCs w:val="30"/>
        </w:rPr>
        <w:t>本裁定为终审裁定。</w:t>
      </w:r>
    </w:p>
    <w:p w:rsidR="00000000" w:rsidRDefault="00776601">
      <w:pPr>
        <w:spacing w:line="500" w:lineRule="atLeast"/>
        <w:jc w:val="right"/>
        <w:divId w:val="2137523794"/>
        <w:rPr>
          <w:rFonts w:hint="eastAsia"/>
          <w:sz w:val="30"/>
          <w:szCs w:val="30"/>
        </w:rPr>
      </w:pPr>
      <w:r>
        <w:rPr>
          <w:rFonts w:hint="eastAsia"/>
          <w:sz w:val="30"/>
          <w:szCs w:val="30"/>
        </w:rPr>
        <w:t xml:space="preserve">审判长　陈　</w:t>
      </w:r>
      <w:r>
        <w:rPr>
          <w:rFonts w:hint="eastAsia"/>
          <w:sz w:val="30"/>
          <w:szCs w:val="30"/>
        </w:rPr>
        <w:t>卓</w:t>
      </w:r>
    </w:p>
    <w:p w:rsidR="00000000" w:rsidRDefault="00776601">
      <w:pPr>
        <w:spacing w:line="500" w:lineRule="atLeast"/>
        <w:jc w:val="right"/>
        <w:divId w:val="2097510363"/>
        <w:rPr>
          <w:rFonts w:hint="eastAsia"/>
          <w:sz w:val="30"/>
          <w:szCs w:val="30"/>
        </w:rPr>
      </w:pPr>
      <w:r>
        <w:rPr>
          <w:rFonts w:hint="eastAsia"/>
          <w:sz w:val="30"/>
          <w:szCs w:val="30"/>
        </w:rPr>
        <w:t>审判员　戴志霞</w:t>
      </w:r>
    </w:p>
    <w:p w:rsidR="00000000" w:rsidRDefault="00776601">
      <w:pPr>
        <w:spacing w:line="500" w:lineRule="atLeast"/>
        <w:jc w:val="right"/>
        <w:divId w:val="943612595"/>
        <w:rPr>
          <w:rFonts w:hint="eastAsia"/>
          <w:sz w:val="30"/>
          <w:szCs w:val="30"/>
        </w:rPr>
      </w:pPr>
      <w:r>
        <w:rPr>
          <w:rFonts w:hint="eastAsia"/>
          <w:sz w:val="30"/>
          <w:szCs w:val="30"/>
        </w:rPr>
        <w:t>审判员　张志刚</w:t>
      </w:r>
    </w:p>
    <w:p w:rsidR="00000000" w:rsidRDefault="00776601">
      <w:pPr>
        <w:spacing w:line="500" w:lineRule="atLeast"/>
        <w:jc w:val="right"/>
        <w:divId w:val="235167016"/>
        <w:rPr>
          <w:rFonts w:hint="eastAsia"/>
          <w:sz w:val="30"/>
          <w:szCs w:val="30"/>
        </w:rPr>
      </w:pPr>
      <w:r>
        <w:rPr>
          <w:rFonts w:hint="eastAsia"/>
          <w:sz w:val="30"/>
          <w:szCs w:val="30"/>
        </w:rPr>
        <w:t>二〇一九年七月二十二日</w:t>
      </w:r>
    </w:p>
    <w:p w:rsidR="00000000" w:rsidRDefault="00776601">
      <w:pPr>
        <w:spacing w:line="500" w:lineRule="atLeast"/>
        <w:jc w:val="right"/>
        <w:divId w:val="1580403032"/>
        <w:rPr>
          <w:rFonts w:hint="eastAsia"/>
          <w:sz w:val="30"/>
          <w:szCs w:val="30"/>
        </w:rPr>
      </w:pPr>
      <w:r>
        <w:rPr>
          <w:rFonts w:hint="eastAsia"/>
          <w:sz w:val="30"/>
          <w:szCs w:val="30"/>
        </w:rPr>
        <w:t>书记员　陆　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601" w:rsidRDefault="00776601" w:rsidP="00776601">
      <w:r>
        <w:separator/>
      </w:r>
    </w:p>
  </w:endnote>
  <w:endnote w:type="continuationSeparator" w:id="0">
    <w:p w:rsidR="00776601" w:rsidRDefault="00776601" w:rsidP="0077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601" w:rsidRDefault="00776601" w:rsidP="00776601">
      <w:r>
        <w:separator/>
      </w:r>
    </w:p>
  </w:footnote>
  <w:footnote w:type="continuationSeparator" w:id="0">
    <w:p w:rsidR="00776601" w:rsidRDefault="00776601" w:rsidP="007766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6601"/>
    <w:rsid w:val="00776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76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601"/>
    <w:rPr>
      <w:rFonts w:ascii="宋体" w:eastAsia="宋体" w:hAnsi="宋体" w:cs="宋体"/>
      <w:sz w:val="18"/>
      <w:szCs w:val="18"/>
    </w:rPr>
  </w:style>
  <w:style w:type="paragraph" w:styleId="a5">
    <w:name w:val="footer"/>
    <w:basedOn w:val="a"/>
    <w:link w:val="a6"/>
    <w:uiPriority w:val="99"/>
    <w:unhideWhenUsed/>
    <w:rsid w:val="00776601"/>
    <w:pPr>
      <w:tabs>
        <w:tab w:val="center" w:pos="4153"/>
        <w:tab w:val="right" w:pos="8306"/>
      </w:tabs>
      <w:snapToGrid w:val="0"/>
    </w:pPr>
    <w:rPr>
      <w:sz w:val="18"/>
      <w:szCs w:val="18"/>
    </w:rPr>
  </w:style>
  <w:style w:type="character" w:customStyle="1" w:styleId="a6">
    <w:name w:val="页脚 字符"/>
    <w:basedOn w:val="a0"/>
    <w:link w:val="a5"/>
    <w:uiPriority w:val="99"/>
    <w:rsid w:val="0077660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167016">
      <w:marLeft w:val="0"/>
      <w:marRight w:val="720"/>
      <w:marTop w:val="10"/>
      <w:marBottom w:val="10"/>
      <w:divBdr>
        <w:top w:val="none" w:sz="0" w:space="0" w:color="auto"/>
        <w:left w:val="none" w:sz="0" w:space="0" w:color="auto"/>
        <w:bottom w:val="none" w:sz="0" w:space="0" w:color="auto"/>
        <w:right w:val="none" w:sz="0" w:space="0" w:color="auto"/>
      </w:divBdr>
    </w:div>
    <w:div w:id="359090756">
      <w:marLeft w:val="0"/>
      <w:marRight w:val="0"/>
      <w:marTop w:val="10"/>
      <w:marBottom w:val="10"/>
      <w:divBdr>
        <w:top w:val="none" w:sz="0" w:space="0" w:color="auto"/>
        <w:left w:val="none" w:sz="0" w:space="0" w:color="auto"/>
        <w:bottom w:val="none" w:sz="0" w:space="0" w:color="auto"/>
        <w:right w:val="none" w:sz="0" w:space="0" w:color="auto"/>
      </w:divBdr>
    </w:div>
    <w:div w:id="364254855">
      <w:marLeft w:val="0"/>
      <w:marRight w:val="0"/>
      <w:marTop w:val="10"/>
      <w:marBottom w:val="10"/>
      <w:divBdr>
        <w:top w:val="none" w:sz="0" w:space="0" w:color="auto"/>
        <w:left w:val="none" w:sz="0" w:space="0" w:color="auto"/>
        <w:bottom w:val="none" w:sz="0" w:space="0" w:color="auto"/>
        <w:right w:val="none" w:sz="0" w:space="0" w:color="auto"/>
      </w:divBdr>
    </w:div>
    <w:div w:id="393087018">
      <w:marLeft w:val="0"/>
      <w:marRight w:val="0"/>
      <w:marTop w:val="10"/>
      <w:marBottom w:val="10"/>
      <w:divBdr>
        <w:top w:val="none" w:sz="0" w:space="0" w:color="auto"/>
        <w:left w:val="none" w:sz="0" w:space="0" w:color="auto"/>
        <w:bottom w:val="none" w:sz="0" w:space="0" w:color="auto"/>
        <w:right w:val="none" w:sz="0" w:space="0" w:color="auto"/>
      </w:divBdr>
    </w:div>
    <w:div w:id="406613848">
      <w:marLeft w:val="0"/>
      <w:marRight w:val="0"/>
      <w:marTop w:val="10"/>
      <w:marBottom w:val="10"/>
      <w:divBdr>
        <w:top w:val="none" w:sz="0" w:space="0" w:color="auto"/>
        <w:left w:val="none" w:sz="0" w:space="0" w:color="auto"/>
        <w:bottom w:val="none" w:sz="0" w:space="0" w:color="auto"/>
        <w:right w:val="none" w:sz="0" w:space="0" w:color="auto"/>
      </w:divBdr>
    </w:div>
    <w:div w:id="421535166">
      <w:marLeft w:val="0"/>
      <w:marRight w:val="0"/>
      <w:marTop w:val="10"/>
      <w:marBottom w:val="10"/>
      <w:divBdr>
        <w:top w:val="none" w:sz="0" w:space="0" w:color="auto"/>
        <w:left w:val="none" w:sz="0" w:space="0" w:color="auto"/>
        <w:bottom w:val="none" w:sz="0" w:space="0" w:color="auto"/>
        <w:right w:val="none" w:sz="0" w:space="0" w:color="auto"/>
      </w:divBdr>
    </w:div>
    <w:div w:id="428040942">
      <w:marLeft w:val="0"/>
      <w:marRight w:val="0"/>
      <w:marTop w:val="10"/>
      <w:marBottom w:val="10"/>
      <w:divBdr>
        <w:top w:val="none" w:sz="0" w:space="0" w:color="auto"/>
        <w:left w:val="none" w:sz="0" w:space="0" w:color="auto"/>
        <w:bottom w:val="none" w:sz="0" w:space="0" w:color="auto"/>
        <w:right w:val="none" w:sz="0" w:space="0" w:color="auto"/>
      </w:divBdr>
    </w:div>
    <w:div w:id="527838513">
      <w:marLeft w:val="0"/>
      <w:marRight w:val="0"/>
      <w:marTop w:val="10"/>
      <w:marBottom w:val="10"/>
      <w:divBdr>
        <w:top w:val="none" w:sz="0" w:space="0" w:color="auto"/>
        <w:left w:val="none" w:sz="0" w:space="0" w:color="auto"/>
        <w:bottom w:val="none" w:sz="0" w:space="0" w:color="auto"/>
        <w:right w:val="none" w:sz="0" w:space="0" w:color="auto"/>
      </w:divBdr>
    </w:div>
    <w:div w:id="545333998">
      <w:marLeft w:val="0"/>
      <w:marRight w:val="0"/>
      <w:marTop w:val="10"/>
      <w:marBottom w:val="10"/>
      <w:divBdr>
        <w:top w:val="none" w:sz="0" w:space="0" w:color="auto"/>
        <w:left w:val="none" w:sz="0" w:space="0" w:color="auto"/>
        <w:bottom w:val="none" w:sz="0" w:space="0" w:color="auto"/>
        <w:right w:val="none" w:sz="0" w:space="0" w:color="auto"/>
      </w:divBdr>
    </w:div>
    <w:div w:id="564999362">
      <w:marLeft w:val="0"/>
      <w:marRight w:val="0"/>
      <w:marTop w:val="10"/>
      <w:marBottom w:val="10"/>
      <w:divBdr>
        <w:top w:val="none" w:sz="0" w:space="0" w:color="auto"/>
        <w:left w:val="none" w:sz="0" w:space="0" w:color="auto"/>
        <w:bottom w:val="none" w:sz="0" w:space="0" w:color="auto"/>
        <w:right w:val="none" w:sz="0" w:space="0" w:color="auto"/>
      </w:divBdr>
    </w:div>
    <w:div w:id="739985130">
      <w:marLeft w:val="0"/>
      <w:marRight w:val="0"/>
      <w:marTop w:val="10"/>
      <w:marBottom w:val="10"/>
      <w:divBdr>
        <w:top w:val="none" w:sz="0" w:space="0" w:color="auto"/>
        <w:left w:val="none" w:sz="0" w:space="0" w:color="auto"/>
        <w:bottom w:val="none" w:sz="0" w:space="0" w:color="auto"/>
        <w:right w:val="none" w:sz="0" w:space="0" w:color="auto"/>
      </w:divBdr>
    </w:div>
    <w:div w:id="757869592">
      <w:marLeft w:val="0"/>
      <w:marRight w:val="0"/>
      <w:marTop w:val="10"/>
      <w:marBottom w:val="10"/>
      <w:divBdr>
        <w:top w:val="none" w:sz="0" w:space="0" w:color="auto"/>
        <w:left w:val="none" w:sz="0" w:space="0" w:color="auto"/>
        <w:bottom w:val="none" w:sz="0" w:space="0" w:color="auto"/>
        <w:right w:val="none" w:sz="0" w:space="0" w:color="auto"/>
      </w:divBdr>
    </w:div>
    <w:div w:id="915554258">
      <w:marLeft w:val="0"/>
      <w:marRight w:val="0"/>
      <w:marTop w:val="10"/>
      <w:marBottom w:val="10"/>
      <w:divBdr>
        <w:top w:val="none" w:sz="0" w:space="0" w:color="auto"/>
        <w:left w:val="none" w:sz="0" w:space="0" w:color="auto"/>
        <w:bottom w:val="none" w:sz="0" w:space="0" w:color="auto"/>
        <w:right w:val="none" w:sz="0" w:space="0" w:color="auto"/>
      </w:divBdr>
    </w:div>
    <w:div w:id="943612595">
      <w:marLeft w:val="0"/>
      <w:marRight w:val="720"/>
      <w:marTop w:val="10"/>
      <w:marBottom w:val="10"/>
      <w:divBdr>
        <w:top w:val="none" w:sz="0" w:space="0" w:color="auto"/>
        <w:left w:val="none" w:sz="0" w:space="0" w:color="auto"/>
        <w:bottom w:val="none" w:sz="0" w:space="0" w:color="auto"/>
        <w:right w:val="none" w:sz="0" w:space="0" w:color="auto"/>
      </w:divBdr>
    </w:div>
    <w:div w:id="981815410">
      <w:marLeft w:val="0"/>
      <w:marRight w:val="0"/>
      <w:marTop w:val="10"/>
      <w:marBottom w:val="10"/>
      <w:divBdr>
        <w:top w:val="none" w:sz="0" w:space="0" w:color="auto"/>
        <w:left w:val="none" w:sz="0" w:space="0" w:color="auto"/>
        <w:bottom w:val="none" w:sz="0" w:space="0" w:color="auto"/>
        <w:right w:val="none" w:sz="0" w:space="0" w:color="auto"/>
      </w:divBdr>
    </w:div>
    <w:div w:id="992181949">
      <w:marLeft w:val="0"/>
      <w:marRight w:val="0"/>
      <w:marTop w:val="10"/>
      <w:marBottom w:val="10"/>
      <w:divBdr>
        <w:top w:val="none" w:sz="0" w:space="0" w:color="auto"/>
        <w:left w:val="none" w:sz="0" w:space="0" w:color="auto"/>
        <w:bottom w:val="none" w:sz="0" w:space="0" w:color="auto"/>
        <w:right w:val="none" w:sz="0" w:space="0" w:color="auto"/>
      </w:divBdr>
    </w:div>
    <w:div w:id="1048140029">
      <w:marLeft w:val="0"/>
      <w:marRight w:val="0"/>
      <w:marTop w:val="10"/>
      <w:marBottom w:val="10"/>
      <w:divBdr>
        <w:top w:val="none" w:sz="0" w:space="0" w:color="auto"/>
        <w:left w:val="none" w:sz="0" w:space="0" w:color="auto"/>
        <w:bottom w:val="none" w:sz="0" w:space="0" w:color="auto"/>
        <w:right w:val="none" w:sz="0" w:space="0" w:color="auto"/>
      </w:divBdr>
    </w:div>
    <w:div w:id="1215002083">
      <w:marLeft w:val="0"/>
      <w:marRight w:val="0"/>
      <w:marTop w:val="10"/>
      <w:marBottom w:val="10"/>
      <w:divBdr>
        <w:top w:val="none" w:sz="0" w:space="0" w:color="auto"/>
        <w:left w:val="none" w:sz="0" w:space="0" w:color="auto"/>
        <w:bottom w:val="none" w:sz="0" w:space="0" w:color="auto"/>
        <w:right w:val="none" w:sz="0" w:space="0" w:color="auto"/>
      </w:divBdr>
    </w:div>
    <w:div w:id="1334331373">
      <w:marLeft w:val="0"/>
      <w:marRight w:val="0"/>
      <w:marTop w:val="10"/>
      <w:marBottom w:val="10"/>
      <w:divBdr>
        <w:top w:val="none" w:sz="0" w:space="0" w:color="auto"/>
        <w:left w:val="none" w:sz="0" w:space="0" w:color="auto"/>
        <w:bottom w:val="none" w:sz="0" w:space="0" w:color="auto"/>
        <w:right w:val="none" w:sz="0" w:space="0" w:color="auto"/>
      </w:divBdr>
    </w:div>
    <w:div w:id="1373648959">
      <w:marLeft w:val="0"/>
      <w:marRight w:val="0"/>
      <w:marTop w:val="10"/>
      <w:marBottom w:val="10"/>
      <w:divBdr>
        <w:top w:val="none" w:sz="0" w:space="0" w:color="auto"/>
        <w:left w:val="none" w:sz="0" w:space="0" w:color="auto"/>
        <w:bottom w:val="none" w:sz="0" w:space="0" w:color="auto"/>
        <w:right w:val="none" w:sz="0" w:space="0" w:color="auto"/>
      </w:divBdr>
    </w:div>
    <w:div w:id="1420328123">
      <w:marLeft w:val="0"/>
      <w:marRight w:val="0"/>
      <w:marTop w:val="10"/>
      <w:marBottom w:val="10"/>
      <w:divBdr>
        <w:top w:val="none" w:sz="0" w:space="0" w:color="auto"/>
        <w:left w:val="none" w:sz="0" w:space="0" w:color="auto"/>
        <w:bottom w:val="none" w:sz="0" w:space="0" w:color="auto"/>
        <w:right w:val="none" w:sz="0" w:space="0" w:color="auto"/>
      </w:divBdr>
    </w:div>
    <w:div w:id="1505435868">
      <w:marLeft w:val="0"/>
      <w:marRight w:val="0"/>
      <w:marTop w:val="10"/>
      <w:marBottom w:val="10"/>
      <w:divBdr>
        <w:top w:val="none" w:sz="0" w:space="0" w:color="auto"/>
        <w:left w:val="none" w:sz="0" w:space="0" w:color="auto"/>
        <w:bottom w:val="none" w:sz="0" w:space="0" w:color="auto"/>
        <w:right w:val="none" w:sz="0" w:space="0" w:color="auto"/>
      </w:divBdr>
    </w:div>
    <w:div w:id="1574120038">
      <w:marLeft w:val="0"/>
      <w:marRight w:val="0"/>
      <w:marTop w:val="10"/>
      <w:marBottom w:val="10"/>
      <w:divBdr>
        <w:top w:val="none" w:sz="0" w:space="0" w:color="auto"/>
        <w:left w:val="none" w:sz="0" w:space="0" w:color="auto"/>
        <w:bottom w:val="none" w:sz="0" w:space="0" w:color="auto"/>
        <w:right w:val="none" w:sz="0" w:space="0" w:color="auto"/>
      </w:divBdr>
    </w:div>
    <w:div w:id="1580403032">
      <w:marLeft w:val="0"/>
      <w:marRight w:val="720"/>
      <w:marTop w:val="10"/>
      <w:marBottom w:val="10"/>
      <w:divBdr>
        <w:top w:val="none" w:sz="0" w:space="0" w:color="auto"/>
        <w:left w:val="none" w:sz="0" w:space="0" w:color="auto"/>
        <w:bottom w:val="none" w:sz="0" w:space="0" w:color="auto"/>
        <w:right w:val="none" w:sz="0" w:space="0" w:color="auto"/>
      </w:divBdr>
    </w:div>
    <w:div w:id="1819228089">
      <w:marLeft w:val="0"/>
      <w:marRight w:val="0"/>
      <w:marTop w:val="10"/>
      <w:marBottom w:val="10"/>
      <w:divBdr>
        <w:top w:val="none" w:sz="0" w:space="0" w:color="auto"/>
        <w:left w:val="none" w:sz="0" w:space="0" w:color="auto"/>
        <w:bottom w:val="none" w:sz="0" w:space="0" w:color="auto"/>
        <w:right w:val="none" w:sz="0" w:space="0" w:color="auto"/>
      </w:divBdr>
    </w:div>
    <w:div w:id="2097510363">
      <w:marLeft w:val="0"/>
      <w:marRight w:val="720"/>
      <w:marTop w:val="10"/>
      <w:marBottom w:val="10"/>
      <w:divBdr>
        <w:top w:val="none" w:sz="0" w:space="0" w:color="auto"/>
        <w:left w:val="none" w:sz="0" w:space="0" w:color="auto"/>
        <w:bottom w:val="none" w:sz="0" w:space="0" w:color="auto"/>
        <w:right w:val="none" w:sz="0" w:space="0" w:color="auto"/>
      </w:divBdr>
    </w:div>
    <w:div w:id="2101632249">
      <w:marLeft w:val="0"/>
      <w:marRight w:val="0"/>
      <w:marTop w:val="10"/>
      <w:marBottom w:val="10"/>
      <w:divBdr>
        <w:top w:val="none" w:sz="0" w:space="0" w:color="auto"/>
        <w:left w:val="none" w:sz="0" w:space="0" w:color="auto"/>
        <w:bottom w:val="none" w:sz="0" w:space="0" w:color="auto"/>
        <w:right w:val="none" w:sz="0" w:space="0" w:color="auto"/>
      </w:divBdr>
    </w:div>
    <w:div w:id="213752379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