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HCM 系统：预算变更记录功能详细设计方案</w:t>
      </w:r>
    </w:p>
    <w:p>
      <w:pPr>
        <w:jc w:val="center"/>
      </w:pPr>
      <w:r>
        <w:t xml:space="preserve">版本：v2.0 | 状态：正式发布 | 日期：2026-04-13</w:t>
      </w:r>
    </w:p>
    <w:p>
      <w:pPr>
        <w:spacing w:before="400"/>
      </w:pPr>
    </w:p>
    <w:p>
      <w:pPr>
        <w:pStyle w:val="Heading2"/>
      </w:pPr>
      <w:r>
        <w:t xml:space="preserve">1. 方案概述</w:t>
      </w:r>
    </w:p>
    <w:p>
      <w:r>
        <w:t xml:space="preserve">本方案旨在解决 HCM 系统与财务预算系统之间关于预算变动数据的追溯与对账问题。通过建立统一的预算变更日志体系，确保每一笔影响编制（HC）和预算额度的业务操作都能被精确记录，并自动化同步至财务系统。</w:t>
      </w:r>
    </w:p>
    <w:p>
      <w:pPr>
        <w:pStyle w:val="Heading2"/>
      </w:pPr>
      <w:r>
        <w:t xml:space="preserve">2. 功能模块拆分</w:t>
      </w:r>
    </w:p>
    <w:p>
      <w:r>
        <w:t xml:space="preserve">本功能由以下两个核心模块组成：</w:t>
      </w:r>
    </w:p>
    <w:p>
      <w:pPr>
        <w:pStyle w:val="Heading3"/>
        <w:spacing w:before="150"/>
      </w:pPr>
      <w:r>
        <w:t xml:space="preserve">2.1 HCM 前端变更展示模块</w:t>
      </w:r>
    </w:p>
    <w:p>
      <w:r>
        <w:t xml:space="preserve">面向 HR 管理员和部门经理，提供可视化界面。用户可以在“工薪预算驾驶舱”中点击“预算变更记录”，实时查询各部门编制和预算的变动历史。支持嵌套表格展示，可下钻查看具体的财务科目和项目标签分布。</w:t>
      </w:r>
    </w:p>
    <w:p>
      <w:pPr>
        <w:pStyle w:val="Heading3"/>
        <w:spacing w:before="150"/>
      </w:pPr>
      <w:r>
        <w:t xml:space="preserve">2.2 后台日志同步传输模块</w:t>
      </w:r>
    </w:p>
    <w:p>
      <w:r>
        <w:t xml:space="preserve">面向系统集成，作为 HCM 与财务系统的桥梁。该模块负责将业务触发的日志实时写入 HCM 数据库快照表，并经由数据中台资产库同步给财务系统。该过程对用户透明，确保数据的时效性与一致性。</w:t>
      </w:r>
    </w:p>
    <w:p>
      <w:pPr>
        <w:pStyle w:val="Heading2"/>
      </w:pPr>
      <w:r>
        <w:t xml:space="preserve">3. 预算科目定义</w:t>
      </w:r>
    </w:p>
    <w:p>
      <w:r>
        <w:t xml:space="preserve">变更记录的明细数据必须精准归集至以下 14 类预算科目：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r>
              <w:t xml:space="preserve">工资预算</w:t>
            </w:r>
          </w:p>
        </w:tc>
        <w:tc>
          <w:p>
            <w:r>
              <w:t xml:space="preserve">绩效工资</w:t>
            </w:r>
          </w:p>
        </w:tc>
      </w:tr>
      <w:tr>
        <w:tc>
          <w:p>
            <w:r>
              <w:t xml:space="preserve">商业保险（补充医疗）</w:t>
            </w:r>
          </w:p>
        </w:tc>
        <w:tc>
          <w:p>
            <w:r>
              <w:t xml:space="preserve">工会经费</w:t>
            </w:r>
          </w:p>
        </w:tc>
      </w:tr>
      <w:tr>
        <w:tc>
          <w:p>
            <w:r>
              <w:t xml:space="preserve">饭补</w:t>
            </w:r>
          </w:p>
        </w:tc>
        <w:tc>
          <w:p>
            <w:r>
              <w:t xml:space="preserve">工伤保险</w:t>
            </w:r>
          </w:p>
        </w:tc>
      </w:tr>
      <w:tr>
        <w:tc>
          <w:p>
            <w:r>
              <w:t xml:space="preserve">医疗保险</w:t>
            </w:r>
          </w:p>
        </w:tc>
        <w:tc>
          <w:p>
            <w:r>
              <w:t xml:space="preserve">失业保险</w:t>
            </w:r>
          </w:p>
        </w:tc>
      </w:tr>
      <w:tr>
        <w:tc>
          <w:p>
            <w:r>
              <w:t xml:space="preserve">养老保险</w:t>
            </w:r>
          </w:p>
        </w:tc>
        <w:tc>
          <w:p>
            <w:r>
              <w:t xml:space="preserve">公积金</w:t>
            </w:r>
          </w:p>
        </w:tc>
      </w:tr>
      <w:tr>
        <w:tc>
          <w:p>
            <w:r>
              <w:t xml:space="preserve">签字费</w:t>
            </w:r>
          </w:p>
        </w:tc>
        <w:tc>
          <w:p>
            <w:r>
              <w:t xml:space="preserve">离职补偿金</w:t>
            </w:r>
          </w:p>
        </w:tc>
      </w:tr>
      <w:tr>
        <w:tc>
          <w:p>
            <w:r>
              <w:t xml:space="preserve">加班费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业务逻辑与触发机制</w:t>
      </w:r>
    </w:p>
    <w:p>
      <w:pPr>
        <w:pStyle w:val="Heading3"/>
      </w:pPr>
      <w:r>
        <w:t xml:space="preserve">4.1 产生日志的业务场景</w:t>
      </w:r>
    </w:p>
    <w:p>
      <w:r>
        <w:t xml:space="preserve">系统仅在以下改变“预算边界”或“编制总量”的场景下产生日志：</w:t>
      </w:r>
    </w:p>
    <w:p>
      <w:pPr>
        <w:pStyle w:val="ListParagraph"/>
        <w:numPr>
          <w:ilvl w:val="0"/>
          <w:numId w:val="2"/>
        </w:numPr>
      </w:pPr>
      <w:r>
        <w:t xml:space="preserve">• 预算审批：审批单通过，直接增减部门预算 Quota。</w:t>
      </w:r>
    </w:p>
    <w:p>
      <w:pPr>
        <w:pStyle w:val="ListParagraph"/>
        <w:numPr>
          <w:ilvl w:val="0"/>
          <w:numId w:val="2"/>
        </w:numPr>
      </w:pPr>
      <w:r>
        <w:t xml:space="preserve">• 带 HC 调动：跨部门调动且连带编制转移，产生对冲日志。</w:t>
      </w:r>
    </w:p>
    <w:p>
      <w:pPr>
        <w:pStyle w:val="ListParagraph"/>
        <w:numPr>
          <w:ilvl w:val="0"/>
          <w:numId w:val="2"/>
        </w:numPr>
      </w:pPr>
      <w:r>
        <w:t xml:space="preserve">• 部门撤销/剪切：组织架构变动导致的额度回收或转移。</w:t>
      </w:r>
    </w:p>
    <w:p>
      <w:pPr>
        <w:pStyle w:val="Heading3"/>
        <w:spacing w:before="150"/>
      </w:pPr>
      <w:r>
        <w:t xml:space="preserve">4.2 不产生日志的特殊场景（补差额逻辑）</w:t>
      </w:r>
    </w:p>
    <w:p>
      <w:r>
        <w:t xml:space="preserve">在“补差额”场景下，虽然预算数值会发生重算与流动，但系统不记录日志也不进行传输：</w:t>
      </w:r>
    </w:p>
    <w:p>
      <w:pPr>
        <w:pStyle w:val="ListParagraph"/>
        <w:numPr>
          <w:ilvl w:val="0"/>
          <w:numId w:val="2"/>
        </w:numPr>
      </w:pPr>
      <w:r>
        <w:t xml:space="preserve">• 场景定义：员工入职、不带 HC 的普通调动、个人调薪。</w:t>
      </w:r>
    </w:p>
    <w:p>
      <w:pPr>
        <w:pStyle w:val="ListParagraph"/>
        <w:numPr>
          <w:ilvl w:val="0"/>
          <w:numId w:val="2"/>
        </w:numPr>
      </w:pPr>
      <w:r>
        <w:t xml:space="preserve">• 逻辑实现：系统根据实际工资重算 HC 预算，差额自动归集至“补差额 HC”。</w:t>
      </w:r>
    </w:p>
    <w:p>
      <w:pPr>
        <w:pStyle w:val="ListParagraph"/>
        <w:numPr>
          <w:ilvl w:val="0"/>
          <w:numId w:val="2"/>
        </w:numPr>
      </w:pPr>
      <w:r>
        <w:t xml:space="preserve">• 项目标签差异：允许“补差额 HC”上的项目标签与原始 HC 标签不一致。</w:t>
      </w:r>
    </w:p>
    <w:p>
      <w:pPr>
        <w:pStyle w:val="ListParagraph"/>
        <w:numPr>
          <w:ilvl w:val="0"/>
          <w:numId w:val="2"/>
        </w:numPr>
      </w:pPr>
      <w:r>
        <w:t xml:space="preserve">• 排除原因：此类变动属于既定额度内的内部核算，不改变部门预算总包。</w:t>
      </w:r>
    </w:p>
    <w:p>
      <w:pPr>
        <w:pStyle w:val="Heading2"/>
      </w:pPr>
      <w:r>
        <w:t xml:space="preserve">5. 数据同步与集成</w:t>
      </w:r>
    </w:p>
    <w:p>
      <w:r>
        <w:t xml:space="preserve">1. 数据落地：HCM 将符合条件的变更日志持久化至表 hcm_budget_change_log。</w:t>
      </w:r>
    </w:p>
    <w:p>
      <w:r>
        <w:t xml:space="preserve">2. 中台传输：数据中台通过 ODS 层定时抽取，并生成 dw.hcm_budget_change_log_snapshot 资产。</w:t>
      </w:r>
    </w:p>
    <w:p>
      <w:r>
        <w:t xml:space="preserve">3. 财务接入：财务系统通过数据中台资产获取增量日志，完成预算科目级的入账处理。</w:t>
      </w:r>
    </w:p>
    <w:p>
      <w:pPr>
        <w:pStyle w:val="Heading2"/>
      </w:pPr>
      <w:r>
        <w:t xml:space="preserve">6. 非功能性需求</w:t>
      </w:r>
    </w:p>
    <w:p>
      <w:r>
        <w:t xml:space="preserve">• 数据准确性：日志中的科目明细之和必须严格等于汇总变动金额。</w:t>
      </w:r>
    </w:p>
    <w:p>
      <w:r>
        <w:t xml:space="preserve">• 标签必填性：所有传输给财务系统的预算变更必须带有明确的项目标签。</w:t>
      </w:r>
    </w:p>
    <w:p>
      <w:r>
        <w:t xml:space="preserve">• 查询性能：前端弹窗需支持分页，首屏加载时间不得超过 1 秒。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2026-04-13T10:03:44.410Z</dcterms:created>
  <dcterms:modified xsi:type="dcterms:W3CDTF">2026-04-13T10:03:44.411Z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