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6A34A"/>
          <w:sz w:val="60"/>
        </w:rPr>
        <w:t>TruEstimate</w:t>
      </w:r>
    </w:p>
    <w:p>
      <w:pPr>
        <w:jc w:val="center"/>
      </w:pPr>
      <w:r>
        <w:rPr>
          <w:rFonts w:ascii="Calibri" w:hAnsi="Calibri"/>
          <w:color w:val="1E293B"/>
          <w:sz w:val="34"/>
        </w:rPr>
        <w:t>Product Requirements Document</w:t>
      </w:r>
    </w:p>
    <w:p>
      <w:pPr>
        <w:jc w:val="center"/>
      </w:pPr>
      <w:r>
        <w:rPr>
          <w:i/>
          <w:color w:val="64748B"/>
          <w:sz w:val="22"/>
        </w:rPr>
        <w:t>Data Foundation · ML Valuation Engine · AllDoors Integration</w:t>
      </w:r>
    </w:p>
    <w:p/>
    <w:p>
      <w:pPr>
        <w:jc w:val="center"/>
      </w:pPr>
      <w:r>
        <w:rPr>
          <w:color w:val="64748B"/>
          <w:sz w:val="20"/>
        </w:rPr>
        <w:t>15 July 2026  •  Internal — TrueState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1. Problem Statement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color w:val="475569"/>
          <w:sz w:val="21"/>
        </w:rPr>
        <w:t>TruEstimate needs to (a) reliably link a specific flat (owner name + EPID from BBMP eAasthi) to its Kaveri transaction history, (b) turn the 1.5 lakh already-fetched Kaveri apartment rows into a clean, geocoded, APEX-linked database, (c) evolve the valuation engine from a rule-based calculator to a supervised ML model, and (d) deliver all of the above through a production integration for AllDoors covering 200–400 properties, used for lead qualification and seller-transparency conversations.</w:t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2. Users &amp; Use Cases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AllDoors sales/ops team: </w:t>
      </w:r>
      <w:r>
        <w:rPr>
          <w:rFonts w:ascii="Calibri" w:hAnsi="Calibri"/>
          <w:b w:val="0"/>
          <w:i w:val="0"/>
          <w:color w:val="475569"/>
          <w:sz w:val="22"/>
        </w:rPr>
        <w:t>Given an inbound lead (owner + asking price), check the property's TruEstimate. If the ask deviates too far above TruEstimate, deprioritize/drop the lead instead of spending effort on it.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AllDoors → property seller: </w:t>
      </w:r>
      <w:r>
        <w:rPr>
          <w:rFonts w:ascii="Calibri" w:hAnsi="Calibri"/>
          <w:b w:val="0"/>
          <w:i w:val="0"/>
          <w:color w:val="475569"/>
          <w:sz w:val="22"/>
        </w:rPr>
        <w:t>Show the seller the TruEstimate value alongside real comparable Kaveri transactions, to set realistic price expectations and build trust ("here's what we can actually get you").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Internal analysts/developers: </w:t>
      </w:r>
      <w:r>
        <w:rPr>
          <w:rFonts w:ascii="Calibri" w:hAnsi="Calibri"/>
          <w:b w:val="0"/>
          <w:i w:val="0"/>
          <w:color w:val="475569"/>
          <w:sz w:val="22"/>
        </w:rPr>
        <w:t>Use the APEX-linked, geocoded transaction database for location-based market analysis (micro-market comparisons, radius search) that isn't possible with project-name-only matching today.</w:t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3. Current Data Snapshot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color w:val="475569"/>
          <w:sz w:val="21"/>
        </w:rPr>
        <w:t>From the ML research (TruEstimate Overview, 25 Apr 2026): 131,233 total transactions fetched to date, across asset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6A34A"/>
          </w:tcPr>
          <w:p>
            <w:r>
              <w:rPr>
                <w:b/>
                <w:color w:val="FFFFFF"/>
                <w:sz w:val="19"/>
              </w:rPr>
              <w:t>Asset Type</w:t>
            </w:r>
          </w:p>
        </w:tc>
        <w:tc>
          <w:tcPr>
            <w:tcW w:type="dxa" w:w="4703"/>
            <w:shd w:val="clear" w:color="auto" w:fill="16A34A"/>
          </w:tcPr>
          <w:p>
            <w:r>
              <w:rPr>
                <w:b/>
                <w:color w:val="FFFFFF"/>
                <w:sz w:val="19"/>
              </w:rPr>
              <w:t>Count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Apartment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36,506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Sale Deed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21,462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Plot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71,812 (35,766*)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Independent House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20,669 (9,831*)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Villa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554 (323*)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Villament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153 (104*)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Commercial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1,270 (254*)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Industrial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172 (62*)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Row House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104 (51*)</w:t>
            </w:r>
          </w:p>
        </w:tc>
      </w:tr>
    </w:tbl>
    <w:p>
      <w:pPr>
        <w:spacing w:after="80"/>
        <w:ind w:left="0"/>
      </w:pPr>
      <w:r>
        <w:rPr>
          <w:rFonts w:ascii="Calibri" w:hAnsi="Calibri"/>
          <w:b w:val="0"/>
          <w:i w:val="0"/>
          <w:color w:val="475569"/>
          <w:sz w:val="21"/>
        </w:rPr>
        <w:t>* Second figure as given in the source research doc — likely a unique-property or sub-segment count; confirm exact definition before quoting externally.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color w:val="475569"/>
          <w:sz w:val="21"/>
        </w:rPr>
        <w:t>Of this, ~13,000 apartment transactions (~4,800 unique properties) spanning Jan–June 2025 (~5 months) are currently usable for modeling. Extending the window to a full 11–12 months is estimated to ~3x usable training volume.</w:t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4. Scope — This Phase</w:t>
      </w:r>
    </w:p>
    <w:p>
      <w:pPr>
        <w:spacing w:before="200" w:after="80"/>
      </w:pPr>
      <w:r>
        <w:rPr>
          <w:rFonts w:ascii="Calibri" w:hAnsi="Calibri"/>
          <w:b/>
          <w:i w:val="0"/>
          <w:color w:val="1E293B"/>
          <w:sz w:val="28"/>
        </w:rPr>
        <w:t>4.1  Feature: BBMP eAasthi Data Fetch Reliability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Problem: </w:t>
      </w:r>
      <w:r>
        <w:rPr>
          <w:rFonts w:ascii="Calibri" w:hAnsi="Calibri"/>
          <w:b w:val="0"/>
          <w:i w:val="0"/>
          <w:color w:val="475569"/>
          <w:sz w:val="22"/>
        </w:rPr>
        <w:t>Current scrape recovers only ~50% of owner name / EPID records per flat.</w:t>
      </w:r>
    </w:p>
    <w:p>
      <w:pPr>
        <w:spacing w:before="120" w:after="60"/>
      </w:pPr>
      <w:r>
        <w:rPr>
          <w:rFonts w:ascii="Calibri" w:hAnsi="Calibri"/>
          <w:b/>
          <w:color w:val="64748B"/>
          <w:sz w:val="17"/>
          <w:spacing w:val="60"/>
        </w:rPr>
        <w:t>REQUIREMENTS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Instrument the existing fetch job to log per-record success/failure with a reason code (timeout, captcha, missing field, pagination gap, unsupported property type).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Identify the dominant failure mode(s) from the logged data before choosing a fix — do not guess.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Implement retry/backoff for transient failures; a distinct handling path for structural gaps (e.g. fields BBMP simply doesn't expose for some wards).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Acceptance criteria: </w:t>
      </w:r>
      <w:r>
        <w:rPr>
          <w:rFonts w:ascii="Calibri" w:hAnsi="Calibri"/>
          <w:b w:val="0"/>
          <w:i w:val="0"/>
          <w:color w:val="475569"/>
          <w:sz w:val="22"/>
        </w:rPr>
        <w:t>Coverage % target confirmed in today's meeting; report gives a coverage number, not just "improved."</w:t>
      </w:r>
    </w:p>
    <w:p>
      <w:pPr>
        <w:spacing w:before="40" w:after="40"/>
      </w:pPr>
      <w:r>
        <w:rPr>
          <w:color w:val="E2E8F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i w:val="0"/>
          <w:color w:val="1E293B"/>
          <w:sz w:val="28"/>
        </w:rPr>
        <w:t>4.2  Feature: Owner Name / EPID → Kaveri Transaction Lookup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Problem: </w:t>
      </w:r>
      <w:r>
        <w:rPr>
          <w:rFonts w:ascii="Calibri" w:hAnsi="Calibri"/>
          <w:b w:val="0"/>
          <w:i w:val="0"/>
          <w:color w:val="475569"/>
          <w:sz w:val="22"/>
        </w:rPr>
        <w:t>Once BBMP data exists, need to reliably find the matching Kaveri transaction(s) for a given owner/EPID.</w:t>
      </w:r>
    </w:p>
    <w:p>
      <w:pPr>
        <w:spacing w:before="120" w:after="60"/>
      </w:pPr>
      <w:r>
        <w:rPr>
          <w:rFonts w:ascii="Calibri" w:hAnsi="Calibri"/>
          <w:b/>
          <w:color w:val="64748B"/>
          <w:sz w:val="17"/>
          <w:spacing w:val="60"/>
        </w:rPr>
        <w:t>REQUIREMENTS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Exact-match path on EPID where Kaveri data carries an equivalent identifier (confirm whether it does).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Fuzzy name-matching for owner name (spelling variants, transliteration, joint-owner ordering) where EPID/property-ID matching isn't available.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Return zero, one, or many matches with a confidence indicator — do not silently pick one match.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Acceptance criteria: </w:t>
      </w:r>
      <w:r>
        <w:rPr>
          <w:rFonts w:ascii="Calibri" w:hAnsi="Calibri"/>
          <w:b w:val="0"/>
          <w:i w:val="0"/>
          <w:color w:val="475569"/>
          <w:sz w:val="22"/>
        </w:rPr>
        <w:t>Match rate against a known-good manually-verified sample; false-positive rate ceiling to be agreed.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Depends on: </w:t>
      </w:r>
      <w:r>
        <w:rPr>
          <w:rFonts w:ascii="Calibri" w:hAnsi="Calibri"/>
          <w:b w:val="0"/>
          <w:i w:val="0"/>
          <w:color w:val="475569"/>
          <w:sz w:val="22"/>
        </w:rPr>
        <w:t>4.1 (BBMP fetch coverage fix)</w:t>
      </w:r>
    </w:p>
    <w:p>
      <w:pPr>
        <w:spacing w:before="40" w:after="40"/>
      </w:pPr>
      <w:r>
        <w:rPr>
          <w:color w:val="E2E8F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i w:val="0"/>
          <w:color w:val="1E293B"/>
          <w:sz w:val="28"/>
        </w:rPr>
        <w:t>4.3  Feature: Kaveri → APEX Linked Database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Problem: </w:t>
      </w:r>
      <w:r>
        <w:rPr>
          <w:rFonts w:ascii="Calibri" w:hAnsi="Calibri"/>
          <w:b w:val="0"/>
          <w:i w:val="0"/>
          <w:color w:val="475569"/>
          <w:sz w:val="22"/>
        </w:rPr>
        <w:t>1.5 lakh apartment rows already fetched from Kaveri are not yet organized into a clean, structured, queryable database, and are not linked to APEX's geocoded project records.</w:t>
      </w:r>
    </w:p>
    <w:p>
      <w:pPr>
        <w:spacing w:before="120" w:after="60"/>
      </w:pPr>
      <w:r>
        <w:rPr>
          <w:rFonts w:ascii="Calibri" w:hAnsi="Calibri"/>
          <w:b/>
          <w:color w:val="64748B"/>
          <w:sz w:val="17"/>
          <w:spacing w:val="60"/>
        </w:rPr>
        <w:t>REQUIREMENTS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Clean and normalize the 1.5L rows following the existing ingest.py pattern (column rename, date normalization, PPSFT recalculation, dedup).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Match each transaction's project name to its corresponding APEX project record (fuzzy match on name + locality, human review queue for low-confidence matches).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Pull through APEX's geocoded lat/long and available developer-side attributes onto the matched project record.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Store as a versioned, refreshable table (not a one-time export) so future Kaveri pulls can be re-linked without a manual redo.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Acceptance criteria: </w:t>
      </w:r>
      <w:r>
        <w:rPr>
          <w:rFonts w:ascii="Calibri" w:hAnsi="Calibri"/>
          <w:b w:val="0"/>
          <w:i w:val="0"/>
          <w:color w:val="475569"/>
          <w:sz w:val="22"/>
        </w:rPr>
        <w:t>% of the 1.5L rows successfully matched to an APEX project (target TBD, propose ≥ 90%); documented schema; refresh runbook.</w:t>
      </w:r>
    </w:p>
    <w:p>
      <w:pPr>
        <w:spacing w:before="40" w:after="40"/>
      </w:pPr>
      <w:r>
        <w:rPr>
          <w:color w:val="E2E8F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i w:val="0"/>
          <w:color w:val="1E293B"/>
          <w:sz w:val="28"/>
        </w:rPr>
        <w:t>4.4  Feature: Location-Enriched Analysis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color w:val="475569"/>
          <w:sz w:val="21"/>
        </w:rPr>
        <w:t>Once 4.3 is live, project-level analysis can use real coordinates instead of name-only grouping — enabling radius-based comparables and micro-market analysis that the current village-hierarchy filter approximates today. Treat as an incremental unlock, not a separate build.</w:t>
      </w:r>
    </w:p>
    <w:p>
      <w:pPr>
        <w:spacing w:before="40" w:after="40"/>
      </w:pPr>
      <w:r>
        <w:rPr>
          <w:color w:val="E2E8F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i w:val="0"/>
          <w:color w:val="1E293B"/>
          <w:sz w:val="28"/>
        </w:rPr>
        <w:t>4.5  Feature: Supervised ML Valuation Model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Problem: </w:t>
      </w:r>
      <w:r>
        <w:rPr>
          <w:rFonts w:ascii="Calibri" w:hAnsi="Calibri"/>
          <w:b w:val="0"/>
          <w:i w:val="0"/>
          <w:color w:val="475569"/>
          <w:sz w:val="22"/>
        </w:rPr>
        <w:t>The current engine (median/IQR rule-based) is explainable but static — modifiers are hand-set, not learned, and don't scale to new asset types or markets.</w:t>
      </w:r>
    </w:p>
    <w:p>
      <w:pPr>
        <w:spacing w:before="120" w:after="60"/>
      </w:pPr>
      <w:r>
        <w:rPr>
          <w:rFonts w:ascii="Calibri" w:hAnsi="Calibri"/>
          <w:b/>
          <w:color w:val="64748B"/>
          <w:sz w:val="17"/>
          <w:spacing w:val="60"/>
        </w:rPr>
        <w:t>MODEL PROGRESSION (PER ML RESEARCH DOC)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Baseline: OLS hedonic regression (linear) — Price = β₀ + β₁(Area) + β₂(Location) + β₃(Floor) + ... — check p-values (drop features &gt; 0.05) and VIF for multicollinearity.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Log-linear variant where feature effects scale proportionally with property value rather than by a fixed amount (e.g. premium finishes matter more on luxury units).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Penalized regression (Ridge / Lasso / ElasticNet) once feature count grows, tuned via GridSearchCV, to control overfitting and multicollinearity.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Tree-ensemble models (RandomForestRegressor, GradientBoostingRegressor, XGBoost/LightGBM) as data volume grows — better captures non-linear interactions (e.g. floor premium behaving differently in luxury vs budget projects) and provides feature-importance for explainability.</w:t>
      </w:r>
    </w:p>
    <w:p>
      <w:pPr>
        <w:spacing w:before="120" w:after="60"/>
      </w:pPr>
      <w:r>
        <w:rPr>
          <w:rFonts w:ascii="Calibri" w:hAnsi="Calibri"/>
          <w:b/>
          <w:color w:val="64748B"/>
          <w:sz w:val="17"/>
          <w:spacing w:val="60"/>
        </w:rPr>
        <w:t>DATA HANDLING REQUIREMENTS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Missing-value imputation (SimpleImputer — mean/median/most-frequent) rather than dropping incomplete rows.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Categorical encoding via pd.get_dummies(drop_first=True) to avoid the dummy-variable trap.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Explicit handling for underreported registration values (stamp-duty avoidance) — flagged as a structural risk in both the GTM and ML research docs; do not train naively on raw registered value without this check.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Acceptance criteria: </w:t>
      </w:r>
      <w:r>
        <w:rPr>
          <w:rFonts w:ascii="Calibri" w:hAnsi="Calibri"/>
          <w:b w:val="0"/>
          <w:i w:val="0"/>
          <w:color w:val="475569"/>
          <w:sz w:val="22"/>
        </w:rPr>
        <w:t>ML model MAPE must beat the current rule-based engine's benchmark on a held-out set before any cutover; feature-importance output required for explainability.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Explicitly out of scope this phase: </w:t>
      </w:r>
      <w:r>
        <w:rPr>
          <w:rFonts w:ascii="Calibri" w:hAnsi="Calibri"/>
          <w:b w:val="0"/>
          <w:i w:val="0"/>
          <w:color w:val="475569"/>
          <w:sz w:val="22"/>
        </w:rPr>
        <w:t>Non-apartment asset classes (villa/plot/commercial each need their own approach per the research doc — survey-number matching for plots, lease-duration data for commercial); full India expansion; the standalone project-comparison scoring model.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Depends on: </w:t>
      </w:r>
      <w:r>
        <w:rPr>
          <w:rFonts w:ascii="Calibri" w:hAnsi="Calibri"/>
          <w:b w:val="0"/>
          <w:i w:val="0"/>
          <w:color w:val="475569"/>
          <w:sz w:val="22"/>
        </w:rPr>
        <w:t>4.3 (clean, APEX-linked dataset) — model quality is capped by data quality, not modeling technique.</w:t>
      </w:r>
    </w:p>
    <w:p>
      <w:pPr>
        <w:spacing w:before="40" w:after="40"/>
      </w:pPr>
      <w:r>
        <w:rPr>
          <w:color w:val="E2E8F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i w:val="0"/>
          <w:color w:val="1E293B"/>
          <w:sz w:val="28"/>
        </w:rPr>
        <w:t>4.6  Feature: AllDoors Integration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Requirement (from AllDoors): </w:t>
      </w:r>
      <w:r>
        <w:rPr>
          <w:rFonts w:ascii="Calibri" w:hAnsi="Calibri"/>
          <w:b w:val="0"/>
          <w:i w:val="0"/>
          <w:color w:val="475569"/>
          <w:sz w:val="22"/>
        </w:rPr>
        <w:t>TruEstimate coverage for 200–400 properties, integrated into AllDoors' own system.</w:t>
      </w:r>
    </w:p>
    <w:p>
      <w:pPr>
        <w:spacing w:before="120" w:after="60"/>
      </w:pPr>
      <w:r>
        <w:rPr>
          <w:rFonts w:ascii="Calibri" w:hAnsi="Calibri"/>
          <w:b/>
          <w:color w:val="64748B"/>
          <w:sz w:val="17"/>
          <w:spacing w:val="60"/>
        </w:rPr>
        <w:t>USE CASE A — LEAD QUALIFICATION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color w:val="475569"/>
          <w:sz w:val="21"/>
        </w:rPr>
        <w:t>Given a lead's asking price and the property's TruEstimate, classify the lead so AllDoors can de-prioritize unrealistic ones (e.g. TruEstimate ₹12,000/sqft vs. an ask of ₹20,000/sqft).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Reuse the existing QC deviation/label framework already built for ask-price validation (EXCELLENT ≤10%, GOOD ≤20%, ACCEPTABLE ≤30%, RISKY ≤40%, REJECT &gt;40%) rather than inventing a new scale.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Confirm with AllDoors in today's meeting: what deviation threshold should trigger "drop this lead," and whether that's a hard auto-filter or a flag for a human to review.</w:t>
      </w:r>
    </w:p>
    <w:p>
      <w:pPr>
        <w:spacing w:before="120" w:after="60"/>
      </w:pPr>
      <w:r>
        <w:rPr>
          <w:rFonts w:ascii="Calibri" w:hAnsi="Calibri"/>
          <w:b/>
          <w:color w:val="64748B"/>
          <w:sz w:val="17"/>
          <w:spacing w:val="60"/>
        </w:rPr>
        <w:t>USE CASE B — SELLER EDUCATION / TRANSPARENCY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color w:val="475569"/>
          <w:sz w:val="21"/>
        </w:rPr>
        <w:t>Give AllDoors reps a shareable output — TruEstimate value + a handful of real comparable Kaveri transactions — to present to sellers to set realistic expectations.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Reuse the "shareable estimate card" concept already scoped in the GTM strategy (§5.3) rather than building a new format from scratch.</w:t>
      </w:r>
    </w:p>
    <w:p>
      <w:pPr>
        <w:spacing w:before="120" w:after="60"/>
      </w:pPr>
      <w:r>
        <w:rPr>
          <w:rFonts w:ascii="Calibri" w:hAnsi="Calibri"/>
          <w:b/>
          <w:color w:val="64748B"/>
          <w:sz w:val="17"/>
          <w:spacing w:val="60"/>
        </w:rPr>
        <w:t>INTEGRATION MODE — DECIDE IN TODAY'S MEETING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Option A: API — AllDoors' system queries TruEstimate live per property/lead.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Option B: Embedded widget inside AllDoors' existing tool.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Option C: Batch export (CSV/sheet) of TruEstimate values for the fixed 200–400 property list, refreshed on a cadence.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Acceptance criteria: </w:t>
      </w:r>
      <w:r>
        <w:rPr>
          <w:rFonts w:ascii="Calibri" w:hAnsi="Calibri"/>
          <w:b w:val="0"/>
          <w:i w:val="0"/>
          <w:color w:val="475569"/>
          <w:sz w:val="22"/>
        </w:rPr>
        <w:t>% of the 200–400 properties with a valid TruEstimate; response latency (if API); accuracy validated against a sample of known outcomes before full rollout.</w:t>
      </w:r>
    </w:p>
    <w:p>
      <w:pPr>
        <w:spacing w:after="60"/>
        <w:ind w:left="288"/>
      </w:pPr>
      <w:r>
        <w:rPr>
          <w:rFonts w:ascii="Calibri" w:hAnsi="Calibri"/>
          <w:b/>
          <w:i w:val="0"/>
          <w:color w:val="1E293B"/>
          <w:sz w:val="22"/>
        </w:rPr>
        <w:t xml:space="preserve">Depends on: </w:t>
      </w:r>
      <w:r>
        <w:rPr>
          <w:rFonts w:ascii="Calibri" w:hAnsi="Calibri"/>
          <w:b w:val="0"/>
          <w:i w:val="0"/>
          <w:color w:val="475569"/>
          <w:sz w:val="22"/>
        </w:rPr>
        <w:t>Can ship on the CURRENT rule-based engine + 4.3's APEX-enriched data — does not need to wait for 4.5 (ML model).</w:t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5. Out of Scope This Phase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Full ML rollout across all asset types (villa/plot/commercial/industrial) — apartments only, this phase.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India-wide market expansion.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Standalone project-comparison scoring system (ProjectComparison.jsx currently disabled) and B2C features (buy-vs-rent calculator, price alerts) from the broader GTM doc.</w:t>
      </w:r>
    </w:p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6. Dependency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6A34A"/>
          </w:tcPr>
          <w:p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703"/>
            <w:shd w:val="clear" w:color="auto" w:fill="16A34A"/>
          </w:tcPr>
          <w:p>
            <w:r>
              <w:rPr>
                <w:b/>
                <w:color w:val="FFFFFF"/>
                <w:sz w:val="19"/>
              </w:rPr>
              <w:t>Blocked By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4.2 Owner/EPID → Kaveri lookup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4.1 BBMP fetch coverage fix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4.4 Location-enriched analysis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4.3 Kaveri → APEX linked database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4.5 ML valuation model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4.3 Kaveri → APEX linked database (data quality ceiling)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4.6 AllDoors integration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4.3 for full location enrichment — NOT blocked on 4.5</w:t>
            </w:r>
          </w:p>
        </w:tc>
      </w:tr>
    </w:tbl>
    <w:p>
      <w:pPr>
        <w:spacing w:before="320" w:after="80"/>
      </w:pPr>
      <w:r>
        <w:rPr>
          <w:rFonts w:ascii="Calibri" w:hAnsi="Calibri"/>
          <w:b/>
          <w:i w:val="0"/>
          <w:color w:val="16A34A"/>
          <w:sz w:val="38"/>
        </w:rPr>
        <w:t>7. Open Questions for Today's Meeting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Which integration mode does AllDoors' engineering team want — API, embedded widget, or batch export?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Of the 200–400 target properties, how many are apartments vs. other asset types the current engine/data doesn't cover as well yet?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What deviation threshold (%) should trigger AllDoors dropping a lead — and should that be automatic or a flag for human review?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What data refresh cadence does AllDoors expect (real-time, daily, weekly)?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Who owns ongoing QA/escalation on the AllDoors side when a TruEstimate looks wrong to a rep or seller?</w:t>
      </w:r>
    </w:p>
    <w:p>
      <w:pPr>
        <w:pStyle w:val="ListNumber"/>
        <w:spacing w:after="40"/>
        <w:ind w:left="432"/>
      </w:pPr>
      <w:r>
        <w:rPr>
          <w:rFonts w:ascii="Calibri" w:hAnsi="Calibri"/>
          <w:b w:val="0"/>
          <w:i w:val="0"/>
          <w:color w:val="475569"/>
          <w:sz w:val="21"/>
        </w:rPr>
        <w:t>What coverage % target should we commit to for the BBMP eAasthi fix, and by when?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