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6A34A"/>
          <w:sz w:val="60"/>
        </w:rPr>
        <w:t>TruEstimate</w:t>
      </w:r>
    </w:p>
    <w:p>
      <w:pPr>
        <w:jc w:val="center"/>
      </w:pPr>
      <w:r>
        <w:rPr>
          <w:rFonts w:ascii="Calibri" w:hAnsi="Calibri"/>
          <w:color w:val="1E293B"/>
          <w:sz w:val="34"/>
        </w:rPr>
        <w:t>Product Strategy</w:t>
      </w:r>
    </w:p>
    <w:p>
      <w:pPr>
        <w:jc w:val="center"/>
      </w:pPr>
      <w:r>
        <w:rPr>
          <w:i/>
          <w:color w:val="64748B"/>
          <w:sz w:val="22"/>
        </w:rPr>
        <w:t>Data Foundation → ML Valuation Engine → B2B Distribution (AllDoors Pilot)</w:t>
      </w:r>
    </w:p>
    <w:p/>
    <w:p>
      <w:pPr>
        <w:jc w:val="center"/>
      </w:pPr>
      <w:r>
        <w:rPr>
          <w:color w:val="64748B"/>
          <w:sz w:val="20"/>
        </w:rPr>
        <w:t>15 July 2026  •  Internal — TrueState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1. Executive Summary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TruEstimate's valuation is currently produced by a deterministic, rule-based engine (median / IQR filter over Kaveri-registered transactions). It works, is explainable, and is already live. Two things are now converging: (a) we have a real, budgeted B2B use case — AllDoors wants TruEstimate embedded in their system for 200–400 properties to qualify leads and build seller transparency — and (b) we have enough raw data (131K+ Kaveri transactions, 1.5 lakh apartment rows fetched) to start the transition from a heuristic model to a supervised ML valuation model. This document lays out the strategy that connects the two: fix the data foundation first, then run the ML build-out and the AllDoors delivery in parallel rather than sequencing them — because AllDoors does not need to wait for ML, and ML does not benefit from being rushed ahead of clean data.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2. Where We Are Today</w:t>
      </w:r>
    </w:p>
    <w:p>
      <w:pPr>
        <w:spacing w:before="200" w:after="80"/>
      </w:pPr>
      <w:r>
        <w:rPr>
          <w:rFonts w:ascii="Calibri" w:hAnsi="Calibri"/>
          <w:b/>
          <w:i w:val="0"/>
          <w:color w:val="1E293B"/>
          <w:sz w:val="28"/>
        </w:rPr>
        <w:t>2.1  Valuation Engine (current — rule-based)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compute_truestimate(): median → upper-half filter → second median → Tukey IQR fence → final median. Confidence = % of transactions surviving the fence.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Additive rule-based modifiers layered on top: floor premium (₹20/sqft floors 1–4, ₹55/sqft floors 5–10, ₹70/sqft above), facing premium (South=base, West +2%, North +5%, East +7%), lake-facing (+15%).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Strength: fully explainable, already shipped, works with very few data points (≤4 transactions → returns max observed price).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Limitation: modifiers are hand-set constants, not learned — they don't adapt per micro-market, per builder tier, or as more data arrives.</w:t>
      </w:r>
    </w:p>
    <w:p>
      <w:pPr>
        <w:spacing w:before="200" w:after="80"/>
      </w:pPr>
      <w:r>
        <w:rPr>
          <w:rFonts w:ascii="Calibri" w:hAnsi="Calibri"/>
          <w:b/>
          <w:i w:val="0"/>
          <w:color w:val="1E293B"/>
          <w:sz w:val="28"/>
        </w:rPr>
        <w:t>2.2  Data Assets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131,233 total Kaveri transactions fetched across asset types (apartment, plot, villa, commercial, industrial, independent house, row house, villament, sale deed) — see breakdown table in the PRD.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~13,000 apartment transactions / ~4,800 unique properties currently usable for modeling, spanning Jan–June 2025 (~5 months). Extending to a full 11–12 month window is estimated to ~3x the usable training volume.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1.5 lakh apartment rows already fetched from Kaveri, not yet organized into a clean, linked database.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APEX already geocodes every project (lat/long) and holds developer-side attributes we don't currently use in valuation.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BBMP eAasthi scrape (owner name + EPID per flat) currently recovers only ~50% of records — this is the hard blocker for owner/EPID-based Kaveri lookup.</w:t>
      </w:r>
    </w:p>
    <w:p>
      <w:pPr>
        <w:spacing w:before="200" w:after="80"/>
      </w:pPr>
      <w:r>
        <w:rPr>
          <w:rFonts w:ascii="Calibri" w:hAnsi="Calibri"/>
          <w:b/>
          <w:i w:val="0"/>
          <w:color w:val="1E293B"/>
          <w:sz w:val="28"/>
        </w:rPr>
        <w:t>2.3  Commercial Context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The existing company GTM strategy (TrueEstimate_GTM_Strategy.docx) targets HFCs/banks, prop-tech platforms, insurers, developers, PE/REIT, and wealth platforms as the core B2B segments, entered via a free-pilot → benchmarking-report → paid-contract playbook (§8.2). AllDoors doesn't fit neatly into any of those six segments — it's a real-estate brokerage/channel partner that wants TruEstimate as an internal lead-qualification and seller-transparency tool. It is, in effect, the fastest-to-close proof point for that same playbook, and should be treated as the pilot that generates the first benchmarking report and reference case study.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3. The Problem, in Three Layers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Layer 1 — Data completeness: </w:t>
      </w:r>
      <w:r>
        <w:rPr>
          <w:rFonts w:ascii="Calibri" w:hAnsi="Calibri"/>
          <w:b w:val="0"/>
          <w:i w:val="0"/>
          <w:color w:val="475569"/>
          <w:sz w:val="22"/>
        </w:rPr>
        <w:t>BBMP eAasthi fetch caps out around 50% coverage. Without the owner-name/EPID data, we cannot reliably cross-reference a specific flat to its Kaveri transaction history — this blocks unit-level (not just project-level) lookups.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Layer 2 — Valuation methodology: </w:t>
      </w:r>
      <w:r>
        <w:rPr>
          <w:rFonts w:ascii="Calibri" w:hAnsi="Calibri"/>
          <w:b w:val="0"/>
          <w:i w:val="0"/>
          <w:color w:val="475569"/>
          <w:sz w:val="22"/>
        </w:rPr>
        <w:t>The rule-based engine is explainable but static — it can't learn interaction effects (e.g. floor premium varying by project tier), doesn't use APEX's location/developer attributes, and doesn't scale to non-apartment asset classes without a fresh rule set per type.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Layer 3 — Commercial proof: </w:t>
      </w:r>
      <w:r>
        <w:rPr>
          <w:rFonts w:ascii="Calibri" w:hAnsi="Calibri"/>
          <w:b w:val="0"/>
          <w:i w:val="0"/>
          <w:color w:val="475569"/>
          <w:sz w:val="22"/>
        </w:rPr>
        <w:t>Before pitching the larger, slower-closing B2B accounts in the GTM plan (HFCs, insurers), we need one live, production integration that proves TruEstimate holds up under real usage. AllDoors is that proof point.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4. Strategic Objectives (next 2 quarters)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Unblock data fetching — raise BBMP eAasthi coverage from ~50% toward a target we set in today's meeting (proposed: 85–90%).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Stand up the Kaveri → APEX linked database — clean and structure the 1.5 lakh fetched apartment rows, match each to its geocoded APEX project record.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Ship the AllDoors integration on the current rule-based engine plus APEX-enriched data — do not block this on the ML rebuild.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Build the supervised ML valuation model in parallel — hedonic regression baseline first, moving to tree-ensemble/XGBoost as the cleaned dataset grows — and cut over once it beats the rule-based benchmark.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5. Why This Sequencing</w:t>
      </w:r>
    </w:p>
    <w:p>
      <w:pPr>
        <w:spacing w:before="120" w:after="120"/>
        <w:ind w:left="288"/>
      </w:pPr>
      <w:r>
        <w:rPr>
          <w:rFonts w:ascii="Calibri" w:hAnsi="Calibri"/>
          <w:b/>
          <w:i w:val="0"/>
          <w:color w:val="16A34A"/>
          <w:sz w:val="21"/>
        </w:rPr>
        <w:t xml:space="preserve">Decision:  </w:t>
      </w:r>
      <w:r>
        <w:rPr>
          <w:rFonts w:ascii="Calibri" w:hAnsi="Calibri"/>
          <w:b w:val="0"/>
          <w:i w:val="0"/>
          <w:color w:val="475569"/>
          <w:sz w:val="21"/>
        </w:rPr>
        <w:t>Fix the data pipeline first. Then run the ML build and the AllDoors delivery simultaneously, not sequentially.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ML model quality is bottlenecked by data completeness and cleanliness, not by modeling technique. Training a supervised model on an incomplete BBMP/Kaveri linkage or an un-geocoded transaction set wastes effort — the model will just learn the gaps. Fixing the data foundation first raises the ceiling for both work-streams that depend on it.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AllDoors does not need to wait for the ML model. The current rule-based engine is already live, documented, and explainable — good enough to integrate now. Shipping AllDoors on the existing engine, enriched with the newly-linked APEX/Kaveri data, produces real production usage, a reference case study, and — per the GTM doc's data-partnership flywheel — real-world deviation cases that become training signal for the ML model later.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6. Connection to the Broader GTM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AllDoors is the first B2B pilot — it validates the same playbook (free/low-friction pilot → benchmarking report → paid contract → reference case study) the GTM doc prescribes for HFCs in §8.2, before we spend cycles on those longer, slower sales cycles.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The APEX-linked geocoded database is also the foundation for the B2C project-level landing pages (GTM §5.1.1) and the disabled 'Compare Assets' feature (ProjectComparison.jsx) — this work is not single-purpose.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The ML research already done (hedonic regression → XGBoost roadmap) is what the GTM doc's 'explainable, data-driven valuation' positioning depends on — it's the credibility backbone for every B2B pitch in that document.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7.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3135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35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Target (proposed — confirm in meeting)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BBMP data fetch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EPID/owner-name coverage 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50% → 85–90%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Kaveri → APEX DB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% of transactions matched to a geocoded APEX project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TBD — propose ≥ 90%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AllDoors integration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Properties onboarded with valid TruEstimate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200–400 (per AllDoors requirement)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AllDoors lead qualification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Reduction in dead-lead follow-up time / genuine-lead accuracy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TBD with AllDoors sales team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ML model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MAPE vs rule-based engine on holdout set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ML must beat current engine before cutover</w:t>
            </w:r>
          </w:p>
        </w:tc>
      </w:tr>
    </w:tbl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8. Key Risks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BBMP eAasthi site fragility — scraping targets can change structure or add anti-bot measures; coverage fix may not be a one-time effort.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Underreported Kaveri registration values (stamp-duty avoidance) — flagged in both the GTM doc and the ML research doc as a structural data-quality issue that affects any model trained on it.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Supervised learning needs richer, cleaner data than the current baseline provides — the ML research doc is explicit that this transition "will take time."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Commercial risk — if the first AllDoors batch shows visible valuation misses, it undermines the reference case study the broader GTM plan depends on. Recommend a small validation batch before full 200–400 rollout.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