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6A34A"/>
          <w:sz w:val="60"/>
        </w:rPr>
        <w:t>TruEstimate</w:t>
      </w:r>
    </w:p>
    <w:p>
      <w:pPr>
        <w:jc w:val="center"/>
      </w:pPr>
      <w:r>
        <w:rPr>
          <w:rFonts w:ascii="Calibri" w:hAnsi="Calibri"/>
          <w:color w:val="1E293B"/>
          <w:sz w:val="34"/>
        </w:rPr>
        <w:t>Product Roadmap</w:t>
      </w:r>
    </w:p>
    <w:p>
      <w:pPr>
        <w:jc w:val="center"/>
      </w:pPr>
      <w:r>
        <w:rPr>
          <w:i/>
          <w:color w:val="64748B"/>
          <w:sz w:val="22"/>
        </w:rPr>
        <w:t>Data Foundation → ML Model + AllDoors (parallel) → Validation → Broader B2B</w:t>
      </w:r>
    </w:p>
    <w:p/>
    <w:p>
      <w:pPr>
        <w:jc w:val="center"/>
      </w:pPr>
      <w:r>
        <w:rPr>
          <w:color w:val="64748B"/>
          <w:sz w:val="20"/>
        </w:rPr>
        <w:t>15 July 2026  •  Internal — TrueState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Sequencing Principle</w:t>
      </w:r>
    </w:p>
    <w:p>
      <w:pPr>
        <w:spacing w:before="120" w:after="120"/>
        <w:ind w:left="288"/>
      </w:pPr>
      <w:r>
        <w:rPr>
          <w:rFonts w:ascii="Calibri" w:hAnsi="Calibri"/>
          <w:b/>
          <w:i w:val="0"/>
          <w:color w:val="16A34A"/>
          <w:sz w:val="21"/>
        </w:rPr>
        <w:t xml:space="preserve">Decision made:  </w:t>
      </w:r>
      <w:r>
        <w:rPr>
          <w:rFonts w:ascii="Calibri" w:hAnsi="Calibri"/>
          <w:b w:val="0"/>
          <w:i w:val="0"/>
          <w:color w:val="475569"/>
          <w:sz w:val="21"/>
        </w:rPr>
        <w:t>Fix the data foundation first. Then run the ML model build-out and the AllDoors delivery simultaneously — AllDoors ships on the current rule-based engine and does not wait for ML.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color w:val="475569"/>
          <w:sz w:val="21"/>
        </w:rPr>
        <w:t>Dates below are proposed placeholders for today's meeting — confirm/adjust owners and week numbers live.</w:t>
      </w:r>
    </w:p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Phase 0 — Alignment (Today)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Confirm AllDoors integration mode (API / widget / batch export).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Confirm BBMP eAasthi coverage target and owner.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Confirm ML model build owner and AllDoors delivery owner (can be different people working in parallel).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Confirm lead-qualification deviation threshold with AllDoors.</w:t>
      </w:r>
    </w:p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Phase 1 — Data Foundation (Weeks 1–3)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6A34A"/>
          </w:tcPr>
          <w:p>
            <w:r>
              <w:rPr>
                <w:b/>
                <w:color w:val="FFFFFF"/>
                <w:sz w:val="19"/>
              </w:rPr>
              <w:t>Workstream</w:t>
            </w:r>
          </w:p>
        </w:tc>
        <w:tc>
          <w:tcPr>
            <w:tcW w:type="dxa" w:w="3135"/>
            <w:shd w:val="clear" w:color="auto" w:fill="16A34A"/>
          </w:tcPr>
          <w:p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3135"/>
            <w:shd w:val="clear" w:color="auto" w:fill="16A34A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BBMP eAasthi fetch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Root-cause the ~50% gap; ship fix; hit agreed coverage %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TBD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Owner/EPID → Kaveri lookup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Exact + fuzzy match live once BBMP data improves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TBD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Kaveri → APEX linked DB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1.5L apartment rows cleaned, deduped, matched to APEX geocoded projects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TBD</w:t>
            </w:r>
          </w:p>
        </w:tc>
      </w:tr>
    </w:tbl>
    <w:p>
      <w:pPr>
        <w:spacing w:after="80"/>
        <w:ind w:left="0"/>
      </w:pPr>
      <w:r>
        <w:rPr>
          <w:rFonts w:ascii="Calibri" w:hAnsi="Calibri"/>
          <w:b w:val="0"/>
          <w:i w:val="0"/>
          <w:color w:val="475569"/>
          <w:sz w:val="21"/>
        </w:rPr>
        <w:t>This phase is the hard gate — both the ML model and the full AllDoors location-enrichment depend on it. Nothing in Phase 2 should start against unclean or unlinked data.</w:t>
      </w:r>
    </w:p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Phase 2 — Parallel Build (Weeks 3–8)</w:t>
      </w:r>
    </w:p>
    <w:p>
      <w:pPr>
        <w:spacing w:before="200" w:after="80"/>
      </w:pPr>
      <w:r>
        <w:rPr>
          <w:rFonts w:ascii="Calibri" w:hAnsi="Calibri"/>
          <w:b/>
          <w:i w:val="0"/>
          <w:color w:val="1E293B"/>
          <w:sz w:val="28"/>
        </w:rPr>
        <w:t>Track A — ML Valuation Model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Baseline OLS hedonic regression vs. current rule-based engine on the same holdout set.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Iterate: log-linear → penalized regression (Ridge/Lasso/ElasticNet) → tree ensembles (RandomForest/GBM) → XGBoost as data volume allows.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Track MAPE against the rule-based benchmark at every iteration; do not cut over until it wins.</w:t>
      </w:r>
    </w:p>
    <w:p>
      <w:pPr>
        <w:spacing w:before="200" w:after="80"/>
      </w:pPr>
      <w:r>
        <w:rPr>
          <w:rFonts w:ascii="Calibri" w:hAnsi="Calibri"/>
          <w:b/>
          <w:i w:val="0"/>
          <w:color w:val="1E293B"/>
          <w:sz w:val="28"/>
        </w:rPr>
        <w:t>Track B — AllDoors Delivery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Integrate the chosen mode (API/widget/batch) on the current rule-based engine + APEX-enriched data.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Ship lead-qualification logic reusing the existing QC deviation/label framework.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Ship the seller-facing shareable estimate card (reusing the GTM §5.3 concept).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Run a small validation batch before the full 200–400 property rollout.</w:t>
      </w:r>
    </w:p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Phase 3 — Validation &amp; Iteration (Weeks 8–12)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Feed real AllDoors pilot outcomes (accepted/rejected leads, seller reactions) back as signal for the ML model — the same data-flywheel logic the GTM doc describes for bank partnerships.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Cut the engine over from rule-based to ML once the model beats the benchmark on holdout.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Extend the Kaveri dataset window from ~5 months to 11–12 months (~3x usable training volume per the ML research estimate).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Full rollout across the 200–400 AllDoors properties if the validation batch holds up.</w:t>
      </w:r>
    </w:p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Phase 4 — Beyond (3–6 months)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Broader B2B rollout per the existing GTM strategy — HFC/bank pilots using the AllDoors engagement as the first reference case study.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Extend valuation beyond apartments — villa/plot (survey-number based)/commercial (lease-duration dependent), each per its own approach from the ML research doc.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Build the standalone project-comparison scoring model (over/under/fair-priced vs. comparables) — currently gated behind the disabled ProjectComparison.jsx component.</w:t>
      </w:r>
    </w:p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Timeline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6A34A"/>
          </w:tcPr>
          <w:p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35"/>
            <w:shd w:val="clear" w:color="auto" w:fill="16A34A"/>
          </w:tcPr>
          <w:p>
            <w:r>
              <w:rPr>
                <w:b/>
                <w:color w:val="FFFFFF"/>
                <w:sz w:val="19"/>
              </w:rPr>
              <w:t>Weeks</w:t>
            </w:r>
          </w:p>
        </w:tc>
        <w:tc>
          <w:tcPr>
            <w:tcW w:type="dxa" w:w="3135"/>
            <w:shd w:val="clear" w:color="auto" w:fill="16A34A"/>
          </w:tcPr>
          <w:p>
            <w:r>
              <w:rPr>
                <w:b/>
                <w:color w:val="FFFFFF"/>
                <w:sz w:val="19"/>
              </w:rPr>
              <w:t>Focus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0 — Alignment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Today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Decisions, owners, thresholds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1 — Data Foundation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1–3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BBMP fix, Kaveri→APEX DB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2 — Parallel Build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3–8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ML model + AllDoors delivery, simultaneously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3 — Validation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8–12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Pilot feedback loop, ML cutover, dataset extension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4 — Beyond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3–6 months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Broader B2B, non-apartment asset classes, comparison model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