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Storyboards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Solution 1: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       </w:t>
        <w:tab/>
        <w:t xml:space="preserve">Storyboard 1: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Quicksand" w:cs="Quicksand" w:eastAsia="Quicksand" w:hAnsi="Quicksand"/>
          <w:sz w:val="2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Picture of classroom setting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Quicksand" w:cs="Quicksand" w:eastAsia="Quicksand" w:hAnsi="Quicksand"/>
          <w:sz w:val="2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Flow of events in playing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       </w:t>
        <w:tab/>
        <w:t xml:space="preserve">Storyboard 2: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Quicksand" w:cs="Quicksand" w:eastAsia="Quicksand" w:hAnsi="Quicksand"/>
          <w:sz w:val="2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Mock up of system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Solution 2: Interactive Lecture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       </w:t>
        <w:tab/>
        <w:t xml:space="preserve">Storyboard 1: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Quicksand" w:cs="Quicksand" w:eastAsia="Quicksand" w:hAnsi="Quicksand"/>
          <w:sz w:val="2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Picture of classroom setting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Quicksand" w:cs="Quicksand" w:eastAsia="Quicksand" w:hAnsi="Quicksand"/>
          <w:sz w:val="2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Professor lecturing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Quicksand" w:cs="Quicksand" w:eastAsia="Quicksand" w:hAnsi="Quicksand"/>
          <w:sz w:val="2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Student using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       </w:t>
        <w:tab/>
        <w:t xml:space="preserve">Storyboard 2: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Quicksand" w:cs="Quicksand" w:eastAsia="Quicksand" w:hAnsi="Quicksand"/>
          <w:sz w:val="2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Mockup of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Solution 3: LED Screen around classroom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       </w:t>
        <w:tab/>
        <w:t xml:space="preserve">Storyboard 1: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Quicksand" w:cs="Quicksand" w:eastAsia="Quicksand" w:hAnsi="Quicksand"/>
          <w:sz w:val="20"/>
        </w:rPr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high-level classroom depiction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        </w:t>
        <w:tab/>
        <w:t xml:space="preserve">Storyboard 2: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Quicksand" w:cs="Quicksand" w:eastAsia="Quicksand" w:hAnsi="Quicksand"/>
          <w:sz w:val="2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0"/>
          <w:rtl w:val="0"/>
        </w:rPr>
        <w:t xml:space="preserve">the solutions being used from solution 1 &amp;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Quicksand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